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A7632">
      <w:pPr>
        <w:pStyle w:val="3"/>
        <w:keepNext/>
        <w:keepLines/>
        <w:autoSpaceDE/>
        <w:autoSpaceDN/>
        <w:adjustRightInd/>
        <w:spacing w:before="340" w:after="330" w:line="578" w:lineRule="auto"/>
        <w:jc w:val="center"/>
        <w:rPr>
          <w:rFonts w:hint="eastAsia" w:ascii="宋体" w:hAnsi="宋体" w:cs="宋体"/>
          <w:b/>
          <w:sz w:val="36"/>
          <w:szCs w:val="36"/>
        </w:rPr>
      </w:pPr>
      <w:bookmarkStart w:id="0" w:name="_Toc21536715"/>
      <w:r>
        <w:rPr>
          <w:rFonts w:hint="eastAsia" w:ascii="宋体" w:hAnsi="宋体" w:cs="宋体"/>
          <w:b/>
          <w:sz w:val="36"/>
          <w:szCs w:val="36"/>
        </w:rPr>
        <w:t>湖北机场集团航空物流有限公司2026年度国际库货物组板业务外包入库服务采购</w:t>
      </w:r>
      <w:r>
        <w:rPr>
          <w:rFonts w:hint="eastAsia" w:ascii="宋体" w:hAnsi="宋体" w:cs="宋体"/>
          <w:b/>
          <w:sz w:val="36"/>
          <w:szCs w:val="36"/>
          <w:lang w:val="en-US" w:eastAsia="zh-CN"/>
        </w:rPr>
        <w:t>招标</w:t>
      </w:r>
      <w:r>
        <w:rPr>
          <w:rFonts w:hint="eastAsia" w:ascii="宋体" w:hAnsi="宋体" w:cs="宋体"/>
          <w:b/>
          <w:sz w:val="36"/>
          <w:szCs w:val="36"/>
        </w:rPr>
        <w:t>公告</w:t>
      </w:r>
      <w:bookmarkEnd w:id="0"/>
    </w:p>
    <w:p w14:paraId="784DB4B9">
      <w:pPr>
        <w:pStyle w:val="4"/>
        <w:adjustRightInd w:val="0"/>
        <w:snapToGrid w:val="0"/>
        <w:spacing w:before="0" w:after="0" w:line="360" w:lineRule="auto"/>
        <w:jc w:val="left"/>
        <w:rPr>
          <w:rFonts w:hint="eastAsia" w:ascii="宋体" w:hAnsi="宋体"/>
          <w:color w:val="auto"/>
          <w:sz w:val="24"/>
          <w:szCs w:val="24"/>
        </w:rPr>
      </w:pPr>
      <w:bookmarkStart w:id="1" w:name="_Toc12830"/>
      <w:r>
        <w:rPr>
          <w:rFonts w:hint="eastAsia" w:ascii="宋体" w:hAnsi="宋体"/>
          <w:color w:val="auto"/>
          <w:sz w:val="24"/>
          <w:szCs w:val="24"/>
        </w:rPr>
        <w:t>一、招标条件</w:t>
      </w:r>
      <w:bookmarkEnd w:id="1"/>
    </w:p>
    <w:p w14:paraId="0B372E5A">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本招标项目</w:t>
      </w:r>
      <w:r>
        <w:rPr>
          <w:rFonts w:hint="eastAsia" w:ascii="宋体" w:hAnsi="宋体"/>
          <w:color w:val="auto"/>
          <w:sz w:val="24"/>
          <w:szCs w:val="24"/>
          <w:u w:val="single"/>
          <w:lang w:eastAsia="zh-CN"/>
        </w:rPr>
        <w:t>湖北机场集团航空物流有限公司2026年度国际库货物组板业务外包入库服务采购</w:t>
      </w:r>
      <w:r>
        <w:rPr>
          <w:rFonts w:hint="eastAsia" w:ascii="宋体" w:hAnsi="宋体"/>
          <w:color w:val="auto"/>
          <w:sz w:val="24"/>
          <w:szCs w:val="24"/>
        </w:rPr>
        <w:t>（项目名称）已经批准建设，项目业主为</w:t>
      </w:r>
      <w:r>
        <w:rPr>
          <w:rFonts w:hint="eastAsia" w:ascii="宋体" w:hAnsi="宋体"/>
          <w:color w:val="auto"/>
          <w:sz w:val="24"/>
          <w:szCs w:val="24"/>
          <w:u w:val="single"/>
          <w:lang w:eastAsia="zh-CN"/>
        </w:rPr>
        <w:t>湖北机场集团航空物流有限公司</w:t>
      </w:r>
      <w:r>
        <w:rPr>
          <w:rFonts w:hint="eastAsia" w:ascii="宋体" w:hAnsi="宋体"/>
          <w:color w:val="auto"/>
          <w:sz w:val="24"/>
          <w:szCs w:val="24"/>
        </w:rPr>
        <w:t>，建设资金来自</w:t>
      </w:r>
      <w:r>
        <w:rPr>
          <w:rFonts w:hint="eastAsia" w:ascii="宋体" w:hAnsi="宋体"/>
          <w:color w:val="auto"/>
          <w:sz w:val="24"/>
          <w:szCs w:val="24"/>
          <w:u w:val="single"/>
        </w:rPr>
        <w:t>自筹</w:t>
      </w:r>
      <w:r>
        <w:rPr>
          <w:rFonts w:hint="eastAsia" w:ascii="宋体" w:hAnsi="宋体"/>
          <w:color w:val="auto"/>
          <w:sz w:val="24"/>
          <w:szCs w:val="24"/>
        </w:rPr>
        <w:t>，出资比例为</w:t>
      </w:r>
      <w:r>
        <w:rPr>
          <w:rFonts w:hint="eastAsia" w:ascii="宋体" w:hAnsi="宋体"/>
          <w:color w:val="auto"/>
          <w:sz w:val="24"/>
          <w:szCs w:val="24"/>
          <w:u w:val="single"/>
        </w:rPr>
        <w:t>100%</w:t>
      </w:r>
      <w:r>
        <w:rPr>
          <w:rFonts w:hint="eastAsia" w:ascii="宋体" w:hAnsi="宋体"/>
          <w:color w:val="auto"/>
          <w:sz w:val="24"/>
          <w:szCs w:val="24"/>
        </w:rPr>
        <w:t>，招标人为</w:t>
      </w:r>
      <w:r>
        <w:rPr>
          <w:rFonts w:hint="eastAsia" w:ascii="宋体" w:hAnsi="宋体"/>
          <w:color w:val="auto"/>
          <w:sz w:val="24"/>
          <w:szCs w:val="24"/>
          <w:u w:val="single"/>
          <w:lang w:eastAsia="zh-CN"/>
        </w:rPr>
        <w:t>湖北机场集团航空物流有限公司</w:t>
      </w:r>
      <w:r>
        <w:rPr>
          <w:rFonts w:hint="eastAsia" w:ascii="宋体" w:hAnsi="宋体"/>
          <w:color w:val="auto"/>
          <w:sz w:val="24"/>
          <w:szCs w:val="24"/>
        </w:rPr>
        <w:t>，招标代理机构为</w:t>
      </w:r>
      <w:r>
        <w:rPr>
          <w:rFonts w:hint="eastAsia" w:ascii="宋体" w:hAnsi="宋体"/>
          <w:color w:val="auto"/>
          <w:sz w:val="24"/>
          <w:szCs w:val="24"/>
          <w:u w:val="single"/>
        </w:rPr>
        <w:t>公诚管理咨询有限公司</w:t>
      </w:r>
      <w:r>
        <w:rPr>
          <w:rFonts w:hint="eastAsia" w:ascii="宋体" w:hAnsi="宋体"/>
          <w:color w:val="auto"/>
          <w:sz w:val="24"/>
          <w:szCs w:val="24"/>
        </w:rPr>
        <w:t>。本项目已具备招标条件，现进行公开招标。</w:t>
      </w:r>
    </w:p>
    <w:p w14:paraId="56B1CFB4">
      <w:pPr>
        <w:snapToGrid w:val="0"/>
        <w:spacing w:line="360" w:lineRule="auto"/>
        <w:ind w:firstLine="480" w:firstLineChars="200"/>
        <w:rPr>
          <w:rFonts w:hint="eastAsia" w:ascii="宋体" w:hAnsi="宋体"/>
          <w:color w:val="auto"/>
          <w:sz w:val="24"/>
          <w:szCs w:val="24"/>
        </w:rPr>
      </w:pPr>
    </w:p>
    <w:p w14:paraId="7778AF34">
      <w:pPr>
        <w:pStyle w:val="4"/>
        <w:adjustRightInd w:val="0"/>
        <w:snapToGrid w:val="0"/>
        <w:spacing w:before="0" w:after="0" w:line="360" w:lineRule="auto"/>
        <w:jc w:val="left"/>
        <w:rPr>
          <w:rFonts w:hint="eastAsia" w:ascii="宋体" w:hAnsi="宋体"/>
          <w:color w:val="auto"/>
          <w:sz w:val="24"/>
          <w:szCs w:val="24"/>
        </w:rPr>
      </w:pPr>
      <w:bookmarkStart w:id="2" w:name="_Toc13656"/>
      <w:r>
        <w:rPr>
          <w:rFonts w:hint="eastAsia" w:ascii="宋体" w:hAnsi="宋体"/>
          <w:color w:val="auto"/>
          <w:sz w:val="24"/>
          <w:szCs w:val="24"/>
        </w:rPr>
        <w:t>二、项目概况与招标范围</w:t>
      </w:r>
      <w:bookmarkEnd w:id="2"/>
    </w:p>
    <w:p w14:paraId="54FFD158">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1、项目编号：ZB-16-04A-2026-D-F-E12739</w:t>
      </w:r>
    </w:p>
    <w:p w14:paraId="73AF49CF">
      <w:pPr>
        <w:widowControl/>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湖北机场集团航空物流有限公司2026年度国际库货物组板业务外包入库服务采购</w:t>
      </w:r>
    </w:p>
    <w:p w14:paraId="796580FD">
      <w:pPr>
        <w:widowControl/>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项目概况与招标范围</w:t>
      </w:r>
    </w:p>
    <w:p w14:paraId="71EC5C7F">
      <w:pPr>
        <w:widowControl/>
        <w:spacing w:line="360" w:lineRule="auto"/>
        <w:ind w:firstLine="480" w:firstLineChars="200"/>
        <w:jc w:val="left"/>
        <w:rPr>
          <w:rFonts w:hint="eastAsia" w:ascii="宋体" w:hAnsi="宋体" w:cs="宋体"/>
          <w:color w:val="FF0000"/>
          <w:kern w:val="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.1</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项目概况：</w:t>
      </w:r>
    </w:p>
    <w:p w14:paraId="615795E7">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本次公开招标，服务具体需求如下。详见本项目招标文件发包人要求。</w:t>
      </w:r>
    </w:p>
    <w:tbl>
      <w:tblPr>
        <w:tblStyle w:val="11"/>
        <w:tblW w:w="7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3447"/>
        <w:gridCol w:w="1969"/>
      </w:tblGrid>
      <w:tr w14:paraId="155F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429" w:type="dxa"/>
            <w:noWrap w:val="0"/>
            <w:vAlign w:val="top"/>
          </w:tcPr>
          <w:p w14:paraId="2801024F">
            <w:pPr>
              <w:adjustRightInd w:val="0"/>
              <w:snapToGrid w:val="0"/>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招标内容</w:t>
            </w:r>
          </w:p>
        </w:tc>
        <w:tc>
          <w:tcPr>
            <w:tcW w:w="3447" w:type="dxa"/>
            <w:noWrap w:val="0"/>
            <w:vAlign w:val="top"/>
          </w:tcPr>
          <w:p w14:paraId="7618BC05">
            <w:pPr>
              <w:adjustRightInd w:val="0"/>
              <w:snapToGrid w:val="0"/>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入库服务商数量</w:t>
            </w:r>
          </w:p>
        </w:tc>
        <w:tc>
          <w:tcPr>
            <w:tcW w:w="1969" w:type="dxa"/>
            <w:noWrap w:val="0"/>
            <w:vAlign w:val="top"/>
          </w:tcPr>
          <w:p w14:paraId="50F78A72">
            <w:pPr>
              <w:adjustRightInd w:val="0"/>
              <w:snapToGrid w:val="0"/>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预估组板业务量</w:t>
            </w:r>
          </w:p>
        </w:tc>
      </w:tr>
      <w:tr w14:paraId="02A9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2429" w:type="dxa"/>
            <w:noWrap w:val="0"/>
            <w:vAlign w:val="center"/>
          </w:tcPr>
          <w:p w14:paraId="34334E81">
            <w:pPr>
              <w:adjustRightInd w:val="0"/>
              <w:snapToGrid w:val="0"/>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国际库货物组板业务</w:t>
            </w:r>
            <w:r>
              <w:rPr>
                <w:rFonts w:ascii="宋体" w:hAnsi="宋体" w:eastAsia="宋体" w:cs="宋体"/>
                <w:sz w:val="24"/>
                <w:szCs w:val="24"/>
              </w:rPr>
              <w:t>外包入库</w:t>
            </w:r>
          </w:p>
        </w:tc>
        <w:tc>
          <w:tcPr>
            <w:tcW w:w="3447" w:type="dxa"/>
            <w:noWrap w:val="0"/>
            <w:vAlign w:val="center"/>
          </w:tcPr>
          <w:p w14:paraId="7AB4FFC9">
            <w:pPr>
              <w:adjustRightInd w:val="0"/>
              <w:snapToGrid w:val="0"/>
              <w:spacing w:line="360" w:lineRule="auto"/>
              <w:jc w:val="center"/>
              <w:rPr>
                <w:rFonts w:hint="eastAsia" w:ascii="宋体" w:hAnsi="宋体" w:eastAsia="宋体" w:cs="宋体"/>
                <w:color w:val="000000"/>
                <w:sz w:val="24"/>
                <w:szCs w:val="24"/>
                <w:lang w:eastAsia="zh-CN"/>
              </w:rPr>
            </w:pPr>
            <w:r>
              <w:rPr>
                <w:rFonts w:ascii="宋体" w:hAnsi="宋体" w:eastAsia="宋体" w:cs="宋体"/>
                <w:bCs/>
                <w:color w:val="auto"/>
                <w:sz w:val="24"/>
                <w:szCs w:val="24"/>
              </w:rPr>
              <w:t>入选单位</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家，备选</w:t>
            </w:r>
            <w:r>
              <w:rPr>
                <w:rFonts w:ascii="宋体" w:hAnsi="宋体" w:eastAsia="宋体" w:cs="宋体"/>
                <w:bCs/>
                <w:color w:val="auto"/>
                <w:sz w:val="24"/>
                <w:szCs w:val="24"/>
              </w:rPr>
              <w:t>单位</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家</w:t>
            </w:r>
            <w:r>
              <w:rPr>
                <w:rFonts w:hint="eastAsia" w:ascii="宋体" w:hAnsi="宋体" w:eastAsia="宋体" w:cs="宋体"/>
                <w:color w:val="auto"/>
                <w:sz w:val="24"/>
                <w:szCs w:val="24"/>
                <w:lang w:eastAsia="zh-CN"/>
              </w:rPr>
              <w:t>。</w:t>
            </w:r>
          </w:p>
        </w:tc>
        <w:tc>
          <w:tcPr>
            <w:tcW w:w="1969" w:type="dxa"/>
            <w:noWrap w:val="0"/>
            <w:vAlign w:val="center"/>
          </w:tcPr>
          <w:p w14:paraId="3634E664">
            <w:pPr>
              <w:adjustRightInd w:val="0"/>
              <w:snapToGrid w:val="0"/>
              <w:spacing w:line="360" w:lineRule="auto"/>
              <w:jc w:val="center"/>
              <w:rPr>
                <w:rFonts w:ascii="宋体" w:hAnsi="宋体" w:eastAsia="宋体" w:cs="宋体"/>
                <w:bCs/>
                <w:sz w:val="24"/>
                <w:szCs w:val="24"/>
              </w:rPr>
            </w:pPr>
            <w:r>
              <w:rPr>
                <w:rFonts w:hint="eastAsia" w:ascii="宋体" w:hAnsi="宋体" w:eastAsia="宋体" w:cs="宋体"/>
                <w:bCs/>
                <w:color w:val="auto"/>
                <w:sz w:val="24"/>
                <w:szCs w:val="24"/>
                <w:lang w:val="en-US" w:eastAsia="zh-CN"/>
              </w:rPr>
              <w:t>2</w:t>
            </w:r>
            <w:r>
              <w:rPr>
                <w:rFonts w:ascii="宋体" w:hAnsi="宋体" w:eastAsia="宋体" w:cs="宋体"/>
                <w:bCs/>
                <w:color w:val="auto"/>
                <w:sz w:val="24"/>
                <w:szCs w:val="24"/>
              </w:rPr>
              <w:t>万吨</w:t>
            </w:r>
          </w:p>
        </w:tc>
      </w:tr>
    </w:tbl>
    <w:p w14:paraId="6E8EAA55">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3</w:t>
      </w:r>
      <w:r>
        <w:rPr>
          <w:rFonts w:hint="eastAsia" w:ascii="宋体" w:hAnsi="宋体" w:cs="宋体"/>
          <w:kern w:val="0"/>
          <w:sz w:val="24"/>
          <w:szCs w:val="24"/>
        </w:rPr>
        <w:t>.2招标范围</w:t>
      </w:r>
    </w:p>
    <w:tbl>
      <w:tblPr>
        <w:tblStyle w:val="11"/>
        <w:tblW w:w="10084" w:type="dxa"/>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8760"/>
      </w:tblGrid>
      <w:tr w14:paraId="5A4A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324" w:type="dxa"/>
            <w:noWrap w:val="0"/>
            <w:vAlign w:val="center"/>
          </w:tcPr>
          <w:p w14:paraId="35644457">
            <w:pPr>
              <w:spacing w:line="360" w:lineRule="auto"/>
              <w:jc w:val="center"/>
              <w:rPr>
                <w:rFonts w:hint="default" w:ascii="宋体" w:hAnsi="宋体" w:eastAsia="宋体" w:cs="宋体"/>
                <w:color w:val="auto"/>
                <w:sz w:val="24"/>
                <w:szCs w:val="24"/>
              </w:rPr>
            </w:pPr>
            <w:r>
              <w:rPr>
                <w:rFonts w:ascii="宋体" w:hAnsi="宋体" w:eastAsia="宋体" w:cs="宋体"/>
                <w:bCs/>
                <w:color w:val="auto"/>
                <w:sz w:val="24"/>
                <w:szCs w:val="24"/>
              </w:rPr>
              <w:t>入选单位</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家</w:t>
            </w:r>
          </w:p>
        </w:tc>
        <w:tc>
          <w:tcPr>
            <w:tcW w:w="8760" w:type="dxa"/>
            <w:noWrap w:val="0"/>
            <w:vAlign w:val="top"/>
          </w:tcPr>
          <w:p w14:paraId="1EC25F04">
            <w:pPr>
              <w:spacing w:line="360" w:lineRule="auto"/>
              <w:jc w:val="left"/>
              <w:rPr>
                <w:rFonts w:ascii="宋体" w:hAnsi="宋体" w:eastAsia="宋体" w:cs="宋体"/>
                <w:color w:val="auto"/>
                <w:sz w:val="24"/>
                <w:szCs w:val="24"/>
              </w:rPr>
            </w:pPr>
            <w:r>
              <w:rPr>
                <w:rFonts w:ascii="宋体" w:hAnsi="宋体" w:eastAsia="宋体" w:cs="宋体"/>
                <w:color w:val="auto"/>
                <w:sz w:val="24"/>
                <w:szCs w:val="24"/>
              </w:rPr>
              <w:t>服务范围设为库内安检机后转货至移交过磅之间的业务，包含但不限于货物通过安检机后的货物入库转货、找货、组板、复磅转运、检</w:t>
            </w:r>
            <w:r>
              <w:rPr>
                <w:rFonts w:ascii="宋体" w:hAnsi="宋体" w:eastAsia="宋体" w:cs="宋体"/>
                <w:color w:val="auto"/>
                <w:sz w:val="24"/>
                <w:szCs w:val="24"/>
                <w:highlight w:val="none"/>
              </w:rPr>
              <w:t>板等。入库转</w:t>
            </w:r>
            <w:r>
              <w:rPr>
                <w:rFonts w:ascii="宋体" w:hAnsi="宋体" w:eastAsia="宋体" w:cs="宋体"/>
                <w:color w:val="auto"/>
                <w:sz w:val="24"/>
                <w:szCs w:val="24"/>
              </w:rPr>
              <w:t>货指通过安全检查后的货物搬运、清点，外包装检查，在指定区域的存放码放；找货指根据组装计划及货站货运员的要求，完成组装前货物出库（含找货），集装器材（承载设备）的领取、退还及适航检查；组板指人员、车辆及辅材（均为自备）的准备，货物组装作业，填写装机指示牌基础信息，完成组板数据的递交，配合海关查验等工作。检板指机下货物打板检查、货物拆解及辅助整理等工作。以及招标人要求的中转货物拆解、辅助整理等工作，以及随着业务发展，若国际货站出港搬运业务产生新的公共服务，</w:t>
            </w:r>
            <w:r>
              <w:rPr>
                <w:rFonts w:hint="eastAsia" w:ascii="宋体" w:hAnsi="宋体" w:eastAsia="宋体" w:cs="宋体"/>
                <w:color w:val="auto"/>
                <w:sz w:val="24"/>
                <w:szCs w:val="24"/>
                <w:lang w:eastAsia="zh-CN"/>
              </w:rPr>
              <w:t>投标人</w:t>
            </w:r>
            <w:r>
              <w:rPr>
                <w:rFonts w:ascii="宋体" w:hAnsi="宋体" w:eastAsia="宋体" w:cs="宋体"/>
                <w:color w:val="auto"/>
                <w:sz w:val="24"/>
                <w:szCs w:val="24"/>
              </w:rPr>
              <w:t>无条件服从</w:t>
            </w:r>
            <w:r>
              <w:rPr>
                <w:rFonts w:hint="eastAsia" w:ascii="宋体" w:hAnsi="宋体" w:eastAsia="宋体" w:cs="宋体"/>
                <w:color w:val="auto"/>
                <w:sz w:val="24"/>
                <w:szCs w:val="24"/>
                <w:lang w:eastAsia="zh-CN"/>
              </w:rPr>
              <w:t>招标人</w:t>
            </w:r>
            <w:r>
              <w:rPr>
                <w:rFonts w:ascii="宋体" w:hAnsi="宋体" w:eastAsia="宋体" w:cs="宋体"/>
                <w:color w:val="auto"/>
                <w:sz w:val="24"/>
                <w:szCs w:val="24"/>
              </w:rPr>
              <w:t>安排。</w:t>
            </w:r>
          </w:p>
        </w:tc>
      </w:tr>
      <w:tr w14:paraId="25D1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324" w:type="dxa"/>
            <w:noWrap w:val="0"/>
            <w:vAlign w:val="center"/>
          </w:tcPr>
          <w:p w14:paraId="44490952">
            <w:pPr>
              <w:spacing w:line="360" w:lineRule="auto"/>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备选</w:t>
            </w:r>
            <w:r>
              <w:rPr>
                <w:rFonts w:ascii="宋体" w:hAnsi="宋体" w:eastAsia="宋体" w:cs="宋体"/>
                <w:bCs/>
                <w:color w:val="auto"/>
                <w:sz w:val="24"/>
                <w:szCs w:val="24"/>
                <w:highlight w:val="none"/>
              </w:rPr>
              <w:t>单位</w:t>
            </w: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家</w:t>
            </w:r>
          </w:p>
        </w:tc>
        <w:tc>
          <w:tcPr>
            <w:tcW w:w="8760" w:type="dxa"/>
            <w:noWrap w:val="0"/>
            <w:vAlign w:val="center"/>
          </w:tcPr>
          <w:p w14:paraId="1260D461">
            <w:pPr>
              <w:spacing w:line="360" w:lineRule="auto"/>
              <w:jc w:val="left"/>
              <w:rPr>
                <w:rFonts w:hint="eastAsia" w:ascii="宋体" w:hAnsi="宋体" w:eastAsia="宋体" w:cs="宋体"/>
                <w:color w:val="auto"/>
                <w:sz w:val="24"/>
                <w:szCs w:val="24"/>
                <w:highlight w:val="none"/>
                <w:lang w:eastAsia="zh-CN"/>
              </w:rPr>
            </w:pPr>
            <w:r>
              <w:rPr>
                <w:rFonts w:ascii="宋体" w:hAnsi="宋体" w:eastAsia="宋体" w:cs="宋体"/>
                <w:sz w:val="24"/>
                <w:szCs w:val="24"/>
              </w:rPr>
              <w:t>若</w:t>
            </w:r>
            <w:r>
              <w:rPr>
                <w:rFonts w:hint="eastAsia" w:asciiTheme="minorEastAsia" w:hAnsiTheme="minorEastAsia" w:eastAsiaTheme="minorEastAsia" w:cstheme="minorEastAsia"/>
                <w:bCs/>
                <w:sz w:val="24"/>
                <w:szCs w:val="24"/>
              </w:rPr>
              <w:t>入选</w:t>
            </w:r>
            <w:r>
              <w:rPr>
                <w:rFonts w:ascii="宋体" w:hAnsi="宋体" w:eastAsia="宋体" w:cs="宋体"/>
                <w:sz w:val="24"/>
                <w:szCs w:val="24"/>
              </w:rPr>
              <w:t>单位在合同履约期内，出现</w:t>
            </w:r>
            <w:r>
              <w:rPr>
                <w:rStyle w:val="13"/>
                <w:rFonts w:ascii="宋体" w:hAnsi="宋体" w:eastAsia="宋体" w:cs="宋体"/>
                <w:b/>
                <w:bCs/>
                <w:color w:val="000000"/>
                <w:sz w:val="24"/>
                <w:szCs w:val="24"/>
              </w:rPr>
              <w:t>无法按合同要求履约、不能完成约定工作内容、服务评价不合格</w:t>
            </w:r>
            <w:r>
              <w:rPr>
                <w:rFonts w:ascii="宋体" w:hAnsi="宋体" w:eastAsia="宋体" w:cs="宋体"/>
                <w:sz w:val="24"/>
                <w:szCs w:val="24"/>
              </w:rPr>
              <w:t>等情形，采购人有权</w:t>
            </w:r>
            <w:r>
              <w:rPr>
                <w:rStyle w:val="13"/>
                <w:rFonts w:ascii="宋体" w:hAnsi="宋体" w:eastAsia="宋体" w:cs="宋体"/>
                <w:b/>
                <w:bCs/>
                <w:color w:val="000000"/>
                <w:sz w:val="24"/>
                <w:szCs w:val="24"/>
              </w:rPr>
              <w:t>单方终止与中标单位的合同</w:t>
            </w:r>
            <w:r>
              <w:rPr>
                <w:rFonts w:ascii="宋体" w:hAnsi="宋体" w:eastAsia="宋体" w:cs="宋体"/>
                <w:sz w:val="24"/>
                <w:szCs w:val="24"/>
              </w:rPr>
              <w:t>，并</w:t>
            </w:r>
            <w:r>
              <w:rPr>
                <w:rStyle w:val="13"/>
                <w:rFonts w:ascii="宋体" w:hAnsi="宋体" w:eastAsia="宋体" w:cs="宋体"/>
                <w:b/>
                <w:bCs/>
                <w:color w:val="000000"/>
                <w:sz w:val="24"/>
                <w:szCs w:val="24"/>
              </w:rPr>
              <w:t>直接启用备选单位承接本项目剩余服务工作</w:t>
            </w:r>
            <w:r>
              <w:rPr>
                <w:rFonts w:ascii="宋体" w:hAnsi="宋体" w:eastAsia="宋体" w:cs="宋体"/>
                <w:sz w:val="24"/>
                <w:szCs w:val="24"/>
              </w:rPr>
              <w:t>，服务内容、标准及合同条款保持不变。</w:t>
            </w:r>
          </w:p>
        </w:tc>
      </w:tr>
      <w:tr w14:paraId="37FA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324" w:type="dxa"/>
            <w:noWrap w:val="0"/>
            <w:vAlign w:val="center"/>
          </w:tcPr>
          <w:p w14:paraId="0DB0D2EB">
            <w:pPr>
              <w:spacing w:line="360" w:lineRule="auto"/>
              <w:jc w:val="center"/>
              <w:rPr>
                <w:rFonts w:ascii="宋体" w:hAnsi="宋体" w:eastAsia="宋体" w:cs="宋体"/>
                <w:color w:val="auto"/>
                <w:sz w:val="24"/>
                <w:szCs w:val="24"/>
                <w:highlight w:val="none"/>
              </w:rPr>
            </w:pPr>
            <w:r>
              <w:rPr>
                <w:rFonts w:hint="eastAsia" w:asciiTheme="minorEastAsia" w:hAnsiTheme="minorEastAsia" w:eastAsiaTheme="minorEastAsia" w:cstheme="minorEastAsia"/>
                <w:sz w:val="24"/>
                <w:szCs w:val="24"/>
                <w:highlight w:val="none"/>
                <w:lang w:val="en-US" w:eastAsia="zh-CN"/>
              </w:rPr>
              <w:t>中标价确认</w:t>
            </w:r>
          </w:p>
        </w:tc>
        <w:tc>
          <w:tcPr>
            <w:tcW w:w="8760" w:type="dxa"/>
            <w:noWrap w:val="0"/>
            <w:vAlign w:val="center"/>
          </w:tcPr>
          <w:p w14:paraId="378381B5">
            <w:pPr>
              <w:spacing w:line="360" w:lineRule="auto"/>
              <w:rPr>
                <w:rFonts w:hint="default" w:ascii="宋体" w:hAnsi="宋体" w:eastAsia="宋体" w:cs="宋体"/>
                <w:sz w:val="24"/>
                <w:szCs w:val="24"/>
                <w:lang w:val="en-US" w:eastAsia="zh-CN"/>
              </w:rPr>
            </w:pPr>
            <w:r>
              <w:rPr>
                <w:rFonts w:ascii="宋体" w:hAnsi="宋体" w:eastAsia="宋体" w:cs="宋体"/>
                <w:sz w:val="24"/>
                <w:szCs w:val="24"/>
                <w:lang w:val="en-US" w:eastAsia="zh-CN"/>
              </w:rPr>
              <w:t>合同执行价格按第一中标候选人与第二中标</w:t>
            </w:r>
            <w:r>
              <w:rPr>
                <w:rFonts w:hint="default" w:ascii="宋体" w:hAnsi="宋体" w:eastAsia="宋体" w:cs="宋体"/>
                <w:sz w:val="24"/>
                <w:szCs w:val="24"/>
                <w:lang w:val="en-US" w:eastAsia="zh-CN"/>
              </w:rPr>
              <w:t>候选人的报价算术平均值确定。无论后续出现何种情形，均执行上述合同执行价格，不再另行调整。</w:t>
            </w:r>
          </w:p>
          <w:p w14:paraId="0C0ED929">
            <w:pPr>
              <w:spacing w:line="360" w:lineRule="auto"/>
              <w:rPr>
                <w:rFonts w:hint="eastAsia" w:asciiTheme="minorEastAsia" w:hAnsiTheme="minorEastAsia" w:eastAsiaTheme="minorEastAsia" w:cstheme="minorEastAsia"/>
                <w:sz w:val="24"/>
                <w:szCs w:val="24"/>
                <w:highlight w:val="none"/>
              </w:rPr>
            </w:pPr>
            <w:r>
              <w:rPr>
                <w:rFonts w:hint="default" w:ascii="宋体" w:hAnsi="宋体" w:eastAsia="宋体" w:cs="宋体"/>
                <w:sz w:val="24"/>
                <w:szCs w:val="24"/>
                <w:lang w:val="en-US" w:eastAsia="zh-CN"/>
              </w:rPr>
              <w:t>投标人须按招标文件要求提供《合同价格执行承诺书》，具体格式详见</w:t>
            </w:r>
            <w:r>
              <w:rPr>
                <w:rFonts w:hint="eastAsia" w:ascii="宋体" w:hAnsi="宋体" w:cs="宋体"/>
                <w:sz w:val="24"/>
                <w:szCs w:val="24"/>
                <w:lang w:val="en-US" w:eastAsia="zh-CN"/>
              </w:rPr>
              <w:t>第六章投标文件</w:t>
            </w:r>
            <w:r>
              <w:rPr>
                <w:rFonts w:hint="default" w:ascii="宋体" w:hAnsi="宋体" w:eastAsia="宋体" w:cs="宋体"/>
                <w:sz w:val="24"/>
                <w:szCs w:val="24"/>
                <w:lang w:val="en-US" w:eastAsia="zh-CN"/>
              </w:rPr>
              <w:t>格式合同价格执行承诺书，未按要求提供的，</w:t>
            </w:r>
            <w:r>
              <w:rPr>
                <w:rFonts w:hint="default" w:ascii="宋体" w:hAnsi="宋体" w:eastAsia="宋体" w:cs="宋体"/>
                <w:b/>
                <w:bCs/>
                <w:sz w:val="24"/>
                <w:szCs w:val="24"/>
                <w:lang w:val="en-US" w:eastAsia="zh-CN"/>
              </w:rPr>
              <w:t>按无效投标处理。</w:t>
            </w:r>
          </w:p>
        </w:tc>
      </w:tr>
    </w:tbl>
    <w:p w14:paraId="2D94F0C5">
      <w:pPr>
        <w:widowControl/>
        <w:spacing w:line="360" w:lineRule="auto"/>
        <w:ind w:firstLine="480" w:firstLineChars="200"/>
        <w:jc w:val="left"/>
        <w:rPr>
          <w:rFonts w:hint="eastAsia" w:ascii="宋体" w:hAnsi="宋体" w:eastAsia="宋体" w:cs="宋体"/>
          <w:color w:val="000000"/>
          <w:kern w:val="0"/>
          <w:sz w:val="24"/>
          <w:szCs w:val="24"/>
          <w:lang w:val="en-US" w:eastAsia="zh-CN"/>
        </w:rPr>
      </w:pPr>
    </w:p>
    <w:p w14:paraId="6BFA2D22">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服务期：</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年。</w:t>
      </w:r>
    </w:p>
    <w:p w14:paraId="011044E1">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最高限价：</w:t>
      </w:r>
      <w:r>
        <w:rPr>
          <w:rFonts w:hint="eastAsia" w:ascii="宋体" w:hAnsi="宋体" w:eastAsia="宋体" w:cs="宋体"/>
          <w:color w:val="000000"/>
          <w:kern w:val="0"/>
          <w:sz w:val="24"/>
          <w:szCs w:val="24"/>
          <w:lang w:val="en-US" w:eastAsia="zh-CN"/>
        </w:rPr>
        <w:t>1</w:t>
      </w:r>
      <w:r>
        <w:rPr>
          <w:rFonts w:hint="eastAsia" w:ascii="宋体" w:hAnsi="宋体" w:cs="宋体"/>
          <w:color w:val="000000"/>
          <w:kern w:val="0"/>
          <w:sz w:val="24"/>
          <w:szCs w:val="24"/>
          <w:lang w:val="en-US" w:eastAsia="zh-CN"/>
        </w:rPr>
        <w:t>60</w:t>
      </w:r>
      <w:r>
        <w:rPr>
          <w:rFonts w:hint="eastAsia" w:ascii="宋体" w:hAnsi="宋体" w:eastAsia="宋体" w:cs="宋体"/>
          <w:color w:val="000000"/>
          <w:kern w:val="0"/>
          <w:sz w:val="24"/>
          <w:szCs w:val="24"/>
        </w:rPr>
        <w:t>元/吨，投标人报价不得超过最高限价，否则其报价无效。</w:t>
      </w:r>
    </w:p>
    <w:p w14:paraId="64A453E4">
      <w:pPr>
        <w:widowControl/>
        <w:spacing w:line="360" w:lineRule="auto"/>
        <w:ind w:firstLine="480" w:firstLineChars="200"/>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该价格包含税金、</w:t>
      </w:r>
      <w:r>
        <w:rPr>
          <w:rFonts w:hint="eastAsia" w:ascii="宋体" w:hAnsi="宋体" w:eastAsia="宋体" w:cs="宋体"/>
          <w:color w:val="000000"/>
          <w:kern w:val="0"/>
          <w:sz w:val="24"/>
          <w:szCs w:val="24"/>
          <w:lang w:val="en-US" w:eastAsia="zh-CN"/>
        </w:rPr>
        <w:t>人工费、</w:t>
      </w:r>
      <w:r>
        <w:rPr>
          <w:rFonts w:hint="eastAsia" w:ascii="宋体" w:hAnsi="宋体" w:eastAsia="宋体" w:cs="宋体"/>
          <w:color w:val="000000"/>
          <w:kern w:val="0"/>
          <w:sz w:val="24"/>
          <w:szCs w:val="24"/>
        </w:rPr>
        <w:t>设备费、保养费、卫生清洁费和车辆设</w:t>
      </w:r>
      <w:bookmarkStart w:id="17" w:name="_GoBack"/>
      <w:bookmarkEnd w:id="17"/>
      <w:r>
        <w:rPr>
          <w:rFonts w:hint="eastAsia" w:ascii="宋体" w:hAnsi="宋体" w:eastAsia="宋体" w:cs="宋体"/>
          <w:color w:val="000000"/>
          <w:kern w:val="0"/>
          <w:sz w:val="24"/>
          <w:szCs w:val="24"/>
        </w:rPr>
        <w:t>施费用等，</w:t>
      </w:r>
      <w:r>
        <w:rPr>
          <w:rFonts w:hint="eastAsia" w:ascii="宋体" w:hAnsi="宋体" w:eastAsia="宋体" w:cs="宋体"/>
          <w:color w:val="000000"/>
          <w:kern w:val="0"/>
          <w:sz w:val="24"/>
          <w:szCs w:val="24"/>
          <w:lang w:eastAsia="zh-CN"/>
        </w:rPr>
        <w:t>甲方</w:t>
      </w:r>
      <w:r>
        <w:rPr>
          <w:rFonts w:hint="eastAsia" w:ascii="宋体" w:hAnsi="宋体" w:eastAsia="宋体" w:cs="宋体"/>
          <w:color w:val="000000"/>
          <w:kern w:val="0"/>
          <w:sz w:val="24"/>
          <w:szCs w:val="24"/>
        </w:rPr>
        <w:t>不提供车辆和辅材</w:t>
      </w:r>
      <w:r>
        <w:rPr>
          <w:rFonts w:hint="eastAsia" w:ascii="宋体" w:hAnsi="宋体" w:eastAsia="宋体" w:cs="宋体"/>
          <w:color w:val="000000"/>
          <w:kern w:val="0"/>
          <w:sz w:val="24"/>
          <w:szCs w:val="24"/>
          <w:lang w:eastAsia="zh-CN"/>
        </w:rPr>
        <w:t>。</w:t>
      </w:r>
    </w:p>
    <w:p w14:paraId="6DBEE240">
      <w:pPr>
        <w:widowControl/>
        <w:spacing w:line="360" w:lineRule="auto"/>
        <w:ind w:firstLine="480" w:firstLineChars="2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w:t>
      </w:r>
      <w:r>
        <w:rPr>
          <w:rFonts w:hint="eastAsia" w:ascii="宋体" w:hAnsi="宋体" w:cs="宋体"/>
          <w:color w:val="auto"/>
          <w:sz w:val="24"/>
          <w:szCs w:val="24"/>
          <w:highlight w:val="none"/>
        </w:rPr>
        <w:t>本项目（不接受）联合体投标。</w:t>
      </w:r>
    </w:p>
    <w:p w14:paraId="0D9372B6">
      <w:pPr>
        <w:snapToGrid w:val="0"/>
        <w:spacing w:line="360" w:lineRule="auto"/>
        <w:ind w:firstLine="480" w:firstLineChars="200"/>
        <w:rPr>
          <w:color w:val="auto"/>
          <w:sz w:val="24"/>
          <w:szCs w:val="24"/>
        </w:rPr>
      </w:pPr>
    </w:p>
    <w:p w14:paraId="04594D28">
      <w:pPr>
        <w:pStyle w:val="4"/>
        <w:adjustRightInd w:val="0"/>
        <w:snapToGrid w:val="0"/>
        <w:spacing w:before="0" w:after="0" w:line="360" w:lineRule="auto"/>
        <w:jc w:val="left"/>
        <w:rPr>
          <w:rFonts w:hint="eastAsia" w:ascii="宋体" w:hAnsi="宋体"/>
          <w:color w:val="auto"/>
          <w:sz w:val="24"/>
          <w:szCs w:val="24"/>
        </w:rPr>
      </w:pPr>
      <w:bookmarkStart w:id="3" w:name="_Toc6102"/>
      <w:r>
        <w:rPr>
          <w:rFonts w:hint="eastAsia" w:ascii="宋体" w:hAnsi="宋体"/>
          <w:color w:val="auto"/>
          <w:sz w:val="24"/>
          <w:szCs w:val="24"/>
        </w:rPr>
        <w:t>三、投标人资格要求</w:t>
      </w:r>
      <w:bookmarkEnd w:id="3"/>
    </w:p>
    <w:p w14:paraId="254EB6B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1、投标人须是中华人民共和国境内正式注册并具有独立法人资格，须提供合格有效的企业法人营业执照。</w:t>
      </w:r>
    </w:p>
    <w:p w14:paraId="5027A44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lang w:eastAsia="zh-CN"/>
        </w:rPr>
        <w:t>、业绩要求：投标人</w:t>
      </w:r>
      <w:r>
        <w:rPr>
          <w:rFonts w:hint="eastAsia" w:asciiTheme="minorEastAsia" w:hAnsiTheme="minorEastAsia" w:cstheme="minorEastAsia"/>
          <w:sz w:val="24"/>
          <w:szCs w:val="24"/>
          <w:highlight w:val="none"/>
          <w:lang w:val="en-US" w:eastAsia="zh-CN"/>
        </w:rPr>
        <w:t>自</w:t>
      </w:r>
      <w:r>
        <w:rPr>
          <w:rFonts w:hint="eastAsia" w:asciiTheme="minorEastAsia" w:hAnsiTheme="minorEastAsia" w:cstheme="minorEastAsia"/>
          <w:sz w:val="24"/>
          <w:szCs w:val="24"/>
          <w:highlight w:val="none"/>
          <w:lang w:eastAsia="zh-CN"/>
        </w:rPr>
        <w:t>2021年1月1日至投标截止日（以合同签订时间为准），至少承担过1项</w:t>
      </w:r>
      <w:r>
        <w:rPr>
          <w:rFonts w:hint="eastAsia" w:asciiTheme="minorEastAsia" w:hAnsiTheme="minorEastAsia" w:cstheme="minorEastAsia"/>
          <w:sz w:val="24"/>
          <w:szCs w:val="24"/>
          <w:highlight w:val="none"/>
          <w:lang w:val="en-US" w:eastAsia="zh-CN"/>
        </w:rPr>
        <w:t>总</w:t>
      </w:r>
      <w:r>
        <w:rPr>
          <w:rFonts w:hint="eastAsia" w:asciiTheme="minorEastAsia" w:hAnsiTheme="minorEastAsia" w:eastAsiaTheme="minorEastAsia" w:cstheme="minorEastAsia"/>
          <w:sz w:val="24"/>
          <w:szCs w:val="24"/>
          <w:highlight w:val="none"/>
          <w:lang w:eastAsia="zh-CN"/>
        </w:rPr>
        <w:t>合同金额不低于110万元的</w:t>
      </w:r>
      <w:r>
        <w:rPr>
          <w:rFonts w:hint="eastAsia" w:asciiTheme="minorEastAsia" w:hAnsiTheme="minorEastAsia" w:eastAsiaTheme="minorEastAsia" w:cstheme="minorEastAsia"/>
          <w:sz w:val="24"/>
          <w:szCs w:val="24"/>
          <w:highlight w:val="none"/>
          <w:lang w:val="en-US" w:eastAsia="zh-CN"/>
        </w:rPr>
        <w:t>国际</w:t>
      </w:r>
      <w:r>
        <w:rPr>
          <w:rFonts w:hint="eastAsia" w:asciiTheme="minorEastAsia" w:hAnsiTheme="minorEastAsia" w:cstheme="minorEastAsia"/>
          <w:sz w:val="24"/>
          <w:szCs w:val="24"/>
          <w:highlight w:val="none"/>
          <w:lang w:eastAsia="zh-CN"/>
        </w:rPr>
        <w:t>货站货物组板项目业绩。</w:t>
      </w:r>
    </w:p>
    <w:p w14:paraId="7B2C926D">
      <w:pPr>
        <w:keepNext w:val="0"/>
        <w:keepLines w:val="0"/>
        <w:widowControl w:val="0"/>
        <w:suppressLineNumbers w:val="0"/>
        <w:wordWrap w:val="0"/>
        <w:adjustRightInd/>
        <w:spacing w:line="360" w:lineRule="auto"/>
        <w:ind w:firstLine="480" w:firstLineChars="200"/>
        <w:jc w:val="both"/>
        <w:textAlignment w:val="auto"/>
        <w:rPr>
          <w:sz w:val="24"/>
          <w:szCs w:val="24"/>
        </w:rPr>
      </w:pPr>
      <w:r>
        <w:rPr>
          <w:rFonts w:hint="eastAsia" w:asciiTheme="minorEastAsia" w:hAnsiTheme="minorEastAsia" w:cstheme="minorEastAsia"/>
          <w:sz w:val="24"/>
          <w:szCs w:val="24"/>
          <w:highlight w:val="none"/>
          <w:lang w:val="en-US" w:eastAsia="zh-CN"/>
        </w:rPr>
        <w:t>备注：须提供合同关键页（含项目服务内容页、签章页）及该项目发票至少一张（发票二维码清晰可辨，</w:t>
      </w:r>
      <w:r>
        <w:rPr>
          <w:rFonts w:hint="default" w:ascii="瀹嬩綋" w:hAnsi="瀹嬩綋" w:eastAsia="瀹嬩綋" w:cs="瀹嬩綋"/>
          <w:color w:val="000000"/>
          <w:kern w:val="0"/>
          <w:sz w:val="24"/>
          <w:szCs w:val="24"/>
          <w:lang w:val="en-US" w:eastAsia="zh-CN" w:bidi="ar"/>
        </w:rPr>
        <w:t>并</w:t>
      </w:r>
      <w:r>
        <w:rPr>
          <w:rFonts w:hint="eastAsia" w:asciiTheme="minorEastAsia" w:hAnsiTheme="minorEastAsia" w:cstheme="minorEastAsia"/>
          <w:sz w:val="24"/>
          <w:szCs w:val="24"/>
          <w:highlight w:val="none"/>
          <w:lang w:val="en-US" w:eastAsia="zh-CN"/>
        </w:rPr>
        <w:t>附税务平台发票查验截图，</w:t>
      </w:r>
      <w:r>
        <w:rPr>
          <w:rFonts w:hint="default" w:ascii="瀹嬩綋" w:hAnsi="瀹嬩綋" w:eastAsia="瀹嬩綋" w:cs="瀹嬩綋"/>
          <w:color w:val="000000"/>
          <w:kern w:val="0"/>
          <w:sz w:val="24"/>
          <w:szCs w:val="24"/>
          <w:lang w:val="en-US" w:eastAsia="zh-CN" w:bidi="ar"/>
        </w:rPr>
        <w:t>发票开具时间须在本项目招标公告发布之日前</w:t>
      </w:r>
      <w:r>
        <w:rPr>
          <w:rFonts w:hint="eastAsia" w:asciiTheme="minorEastAsia" w:hAnsiTheme="minorEastAsia" w:cstheme="minorEastAsia"/>
          <w:sz w:val="24"/>
          <w:szCs w:val="24"/>
          <w:highlight w:val="none"/>
          <w:lang w:val="en-US" w:eastAsia="zh-CN"/>
        </w:rPr>
        <w:t>）。</w:t>
      </w:r>
      <w:r>
        <w:rPr>
          <w:rFonts w:hint="default" w:ascii="瀹嬩綋" w:hAnsi="瀹嬩綋" w:eastAsia="瀹嬩綋" w:cs="瀹嬩綋"/>
          <w:color w:val="000000"/>
          <w:kern w:val="0"/>
          <w:sz w:val="24"/>
          <w:szCs w:val="24"/>
          <w:lang w:val="en-US" w:eastAsia="zh-CN" w:bidi="ar"/>
        </w:rPr>
        <w:t>若合同内容无法体现上述业绩规模指标，则</w:t>
      </w:r>
      <w:r>
        <w:rPr>
          <w:rFonts w:hint="eastAsia" w:ascii="瀹嬩綋" w:hAnsi="瀹嬩綋" w:eastAsia="瀹嬩綋" w:cs="瀹嬩綋"/>
          <w:color w:val="000000"/>
          <w:kern w:val="0"/>
          <w:sz w:val="24"/>
          <w:szCs w:val="24"/>
          <w:lang w:val="en-US" w:eastAsia="zh-CN" w:bidi="ar"/>
        </w:rPr>
        <w:t>还</w:t>
      </w:r>
      <w:r>
        <w:rPr>
          <w:rFonts w:hint="default" w:ascii="瀹嬩綋" w:hAnsi="瀹嬩綋" w:eastAsia="瀹嬩綋" w:cs="瀹嬩綋"/>
          <w:color w:val="000000"/>
          <w:kern w:val="0"/>
          <w:sz w:val="24"/>
          <w:szCs w:val="24"/>
          <w:lang w:val="en-US" w:eastAsia="zh-CN" w:bidi="ar"/>
        </w:rPr>
        <w:t>须提供</w:t>
      </w:r>
      <w:r>
        <w:rPr>
          <w:rFonts w:hint="eastAsia" w:ascii="瀹嬩綋" w:hAnsi="瀹嬩綋" w:eastAsia="瀹嬩綋" w:cs="瀹嬩綋"/>
          <w:color w:val="000000"/>
          <w:kern w:val="0"/>
          <w:sz w:val="24"/>
          <w:szCs w:val="24"/>
          <w:lang w:val="en-US" w:eastAsia="zh-CN" w:bidi="ar"/>
        </w:rPr>
        <w:t>如下材料之一①</w:t>
      </w:r>
      <w:r>
        <w:rPr>
          <w:rFonts w:hint="default" w:ascii="瀹嬩綋" w:hAnsi="瀹嬩綋" w:eastAsia="瀹嬩綋" w:cs="瀹嬩綋"/>
          <w:color w:val="000000"/>
          <w:kern w:val="0"/>
          <w:sz w:val="24"/>
          <w:szCs w:val="24"/>
          <w:lang w:val="en-US" w:eastAsia="zh-CN" w:bidi="ar"/>
        </w:rPr>
        <w:t>业主单位加盖公章的补充证明材料</w:t>
      </w:r>
      <w:r>
        <w:rPr>
          <w:rFonts w:hint="eastAsia" w:ascii="瀹嬩綋" w:hAnsi="瀹嬩綋" w:eastAsia="瀹嬩綋" w:cs="瀹嬩綋"/>
          <w:color w:val="000000"/>
          <w:kern w:val="0"/>
          <w:sz w:val="24"/>
          <w:szCs w:val="24"/>
          <w:lang w:val="en-US" w:eastAsia="zh-CN" w:bidi="ar"/>
        </w:rPr>
        <w:t>；②累计金额满足业绩金额要求的该项目</w:t>
      </w:r>
      <w:r>
        <w:rPr>
          <w:rFonts w:hint="default" w:ascii="瀹嬩綋" w:hAnsi="瀹嬩綋" w:eastAsia="瀹嬩綋" w:cs="瀹嬩綋"/>
          <w:color w:val="000000"/>
          <w:kern w:val="0"/>
          <w:sz w:val="24"/>
          <w:szCs w:val="24"/>
          <w:lang w:val="en-US" w:eastAsia="zh-CN" w:bidi="ar"/>
        </w:rPr>
        <w:t>发票（发票二维码清晰可辨，并附税务系统发票查询截图，发票开具时间须在本项目招标公告发布之日前）。未按要求提供证明材料的，该业绩不予认可。</w:t>
      </w:r>
    </w:p>
    <w:p w14:paraId="41CC2C2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cstheme="minorEastAsia"/>
          <w:sz w:val="24"/>
          <w:szCs w:val="24"/>
          <w:highlight w:val="none"/>
          <w:lang w:eastAsia="zh-CN"/>
        </w:rPr>
        <w:t>、信誉要求：投标人未被列入“信用中国”网站(www.creditchina.gov.cn)或者“中国执行信息公开网”（zxgk.court.gov.cn）失信被执行人名单（提供网站查询截图）。</w:t>
      </w:r>
    </w:p>
    <w:p w14:paraId="2B4EEFBD">
      <w:pPr>
        <w:numPr>
          <w:ilvl w:val="0"/>
          <w:numId w:val="0"/>
        </w:numPr>
        <w:snapToGrid w:val="0"/>
        <w:spacing w:line="360" w:lineRule="auto"/>
        <w:ind w:firstLine="480" w:firstLineChars="200"/>
        <w:rPr>
          <w:rFonts w:hint="eastAsia" w:ascii="宋体" w:hAnsi="宋体"/>
          <w:color w:val="auto"/>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lang w:eastAsia="zh-CN"/>
        </w:rPr>
        <w:t>、投标人需针对《湖北机场集团“供应商不良行为”管理办法》在投标文件中做出承诺，格式详见第六章投标文件格式。</w:t>
      </w:r>
    </w:p>
    <w:p w14:paraId="6B19BC86">
      <w:pPr>
        <w:pStyle w:val="19"/>
        <w:spacing w:line="360" w:lineRule="auto"/>
        <w:rPr>
          <w:color w:val="auto"/>
          <w:sz w:val="24"/>
          <w:szCs w:val="24"/>
        </w:rPr>
      </w:pPr>
    </w:p>
    <w:p w14:paraId="2CFCC8FA">
      <w:pPr>
        <w:pStyle w:val="4"/>
        <w:adjustRightInd w:val="0"/>
        <w:snapToGrid w:val="0"/>
        <w:spacing w:before="0" w:after="0" w:line="360" w:lineRule="auto"/>
        <w:jc w:val="left"/>
        <w:rPr>
          <w:rFonts w:hint="eastAsia" w:ascii="宋体" w:hAnsi="宋体"/>
          <w:color w:val="auto"/>
          <w:sz w:val="24"/>
          <w:szCs w:val="24"/>
        </w:rPr>
      </w:pPr>
      <w:bookmarkStart w:id="4" w:name="_Toc26185"/>
      <w:r>
        <w:rPr>
          <w:rFonts w:hint="eastAsia" w:ascii="宋体" w:hAnsi="宋体"/>
          <w:color w:val="auto"/>
          <w:sz w:val="24"/>
          <w:szCs w:val="24"/>
        </w:rPr>
        <w:t>四、招标文件的获取</w:t>
      </w:r>
      <w:bookmarkEnd w:id="4"/>
    </w:p>
    <w:p w14:paraId="798E05D8">
      <w:pPr>
        <w:tabs>
          <w:tab w:val="left" w:pos="360"/>
        </w:tabs>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1、获取时间：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17</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00</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23</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17</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00</w:t>
      </w:r>
      <w:r>
        <w:rPr>
          <w:rFonts w:hint="eastAsia" w:ascii="宋体" w:hAnsi="宋体" w:cs="宋体"/>
          <w:color w:val="auto"/>
          <w:sz w:val="24"/>
          <w:szCs w:val="24"/>
          <w:highlight w:val="none"/>
        </w:rPr>
        <w:t>分</w:t>
      </w:r>
      <w:r>
        <w:rPr>
          <w:rFonts w:hint="eastAsia" w:ascii="宋体" w:hAnsi="宋体" w:cs="宋体"/>
          <w:color w:val="auto"/>
          <w:sz w:val="24"/>
          <w:szCs w:val="24"/>
        </w:rPr>
        <w:t>（北京时间，下同）。</w:t>
      </w:r>
    </w:p>
    <w:p w14:paraId="4264A90B">
      <w:pPr>
        <w:tabs>
          <w:tab w:val="left" w:pos="360"/>
        </w:tabs>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2、招标文件获取方式：</w:t>
      </w:r>
    </w:p>
    <w:p w14:paraId="7EDC2D79">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1)凡有意参加投标者，在“诚E招电子采购交易平台”，完成本项目文件的获取与下载。</w:t>
      </w:r>
    </w:p>
    <w:p w14:paraId="06698AC6">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2）输入网址，点击【新用户注册】（注册步骤详见门户网站：【投标人操作指南】-【注册指引】）。登录账号后点击【常用文件】，下载《投标人&amp;投标人操作手册》。</w:t>
      </w:r>
    </w:p>
    <w:p w14:paraId="002EA150">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3）注册成功后登录平台，点击【商机发现】，检索本项目并直接支付（无需上传任何材料）。</w:t>
      </w:r>
    </w:p>
    <w:p w14:paraId="50E1B39E">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疑问反馈：具体操作若有疑问，可致电客服热线：详见诚E招首页客服热线。</w:t>
      </w:r>
    </w:p>
    <w:p w14:paraId="4303B3CF">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免责声明：“诚E招电子采购交易平台”为本项目文件获取的唯一渠道，其他平台的文件获取及支付均属无效。</w:t>
      </w:r>
    </w:p>
    <w:p w14:paraId="5093B2F7">
      <w:pPr>
        <w:tabs>
          <w:tab w:val="left" w:pos="360"/>
        </w:tabs>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3、招标文件每套售价</w:t>
      </w:r>
      <w:r>
        <w:rPr>
          <w:rFonts w:hint="eastAsia" w:ascii="宋体" w:hAnsi="宋体" w:cs="宋体"/>
          <w:color w:val="auto"/>
          <w:sz w:val="24"/>
          <w:szCs w:val="24"/>
          <w:u w:val="single"/>
        </w:rPr>
        <w:t>500</w:t>
      </w:r>
      <w:r>
        <w:rPr>
          <w:rFonts w:hint="eastAsia" w:ascii="宋体" w:hAnsi="宋体" w:cs="宋体"/>
          <w:color w:val="auto"/>
          <w:sz w:val="24"/>
          <w:szCs w:val="24"/>
        </w:rPr>
        <w:t>元，售后不退。</w:t>
      </w:r>
    </w:p>
    <w:p w14:paraId="6227C2DB">
      <w:pPr>
        <w:snapToGrid w:val="0"/>
        <w:spacing w:line="360" w:lineRule="auto"/>
        <w:ind w:firstLine="480" w:firstLineChars="200"/>
        <w:rPr>
          <w:rFonts w:hint="eastAsia" w:ascii="宋体" w:hAnsi="宋体"/>
          <w:color w:val="auto"/>
          <w:sz w:val="24"/>
          <w:szCs w:val="24"/>
        </w:rPr>
      </w:pPr>
    </w:p>
    <w:p w14:paraId="7630C05F">
      <w:pPr>
        <w:pStyle w:val="4"/>
        <w:adjustRightInd w:val="0"/>
        <w:snapToGrid w:val="0"/>
        <w:spacing w:before="0" w:after="0" w:line="360" w:lineRule="auto"/>
        <w:jc w:val="left"/>
        <w:rPr>
          <w:rFonts w:hint="eastAsia" w:ascii="宋体" w:hAnsi="宋体"/>
          <w:color w:val="auto"/>
          <w:sz w:val="24"/>
          <w:szCs w:val="24"/>
        </w:rPr>
      </w:pPr>
      <w:bookmarkStart w:id="5" w:name="_Toc10715"/>
      <w:r>
        <w:rPr>
          <w:rFonts w:hint="eastAsia" w:ascii="宋体" w:hAnsi="宋体"/>
          <w:color w:val="auto"/>
          <w:sz w:val="24"/>
          <w:szCs w:val="24"/>
        </w:rPr>
        <w:t>五、投标文件的递交</w:t>
      </w:r>
      <w:bookmarkEnd w:id="5"/>
    </w:p>
    <w:p w14:paraId="22F005C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rPr>
        <w:t>1、投标文件递交的截止时间（投标截止时间，下</w:t>
      </w:r>
      <w:r>
        <w:rPr>
          <w:rFonts w:hint="eastAsia" w:ascii="宋体" w:hAnsi="宋体" w:cs="宋体"/>
          <w:color w:val="auto"/>
          <w:sz w:val="24"/>
          <w:szCs w:val="24"/>
          <w:highlight w:val="none"/>
        </w:rPr>
        <w:t>同）为</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30</w:t>
      </w:r>
      <w:r>
        <w:rPr>
          <w:rFonts w:hint="eastAsia" w:ascii="宋体" w:hAnsi="宋体" w:cs="宋体"/>
          <w:color w:val="auto"/>
          <w:sz w:val="24"/>
          <w:szCs w:val="24"/>
          <w:highlight w:val="none"/>
        </w:rPr>
        <w:t>分，地点为</w:t>
      </w:r>
      <w:r>
        <w:rPr>
          <w:rFonts w:hint="eastAsia" w:ascii="宋体" w:hAnsi="宋体" w:cs="宋体"/>
          <w:color w:val="auto"/>
          <w:sz w:val="24"/>
          <w:szCs w:val="24"/>
          <w:highlight w:val="none"/>
          <w:u w:val="single"/>
        </w:rPr>
        <w:t>武汉市武昌区徐东二路2号东创创意园（中国农业科学院油料所内）2栋1楼（会议室5）</w:t>
      </w:r>
      <w:r>
        <w:rPr>
          <w:rFonts w:hint="eastAsia" w:ascii="宋体" w:hAnsi="宋体" w:cs="宋体"/>
          <w:color w:val="auto"/>
          <w:sz w:val="24"/>
          <w:szCs w:val="24"/>
          <w:highlight w:val="none"/>
        </w:rPr>
        <w:t>。</w:t>
      </w:r>
    </w:p>
    <w:p w14:paraId="65B9D18C">
      <w:pPr>
        <w:snapToGrid w:val="0"/>
        <w:spacing w:line="360" w:lineRule="auto"/>
        <w:ind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rPr>
        <w:t>2、逾期送达或未送达指定地点的或者不按照招标文件要求密封的投标文件，招标代理机构不予受理</w:t>
      </w:r>
      <w:r>
        <w:rPr>
          <w:rFonts w:hint="eastAsia" w:ascii="宋体" w:hAnsi="宋体"/>
          <w:color w:val="auto"/>
          <w:sz w:val="24"/>
          <w:szCs w:val="24"/>
          <w:highlight w:val="none"/>
        </w:rPr>
        <w:t>。</w:t>
      </w:r>
    </w:p>
    <w:p w14:paraId="72F5E932">
      <w:pPr>
        <w:pStyle w:val="19"/>
        <w:spacing w:line="360" w:lineRule="auto"/>
        <w:rPr>
          <w:color w:val="auto"/>
          <w:sz w:val="24"/>
          <w:szCs w:val="24"/>
          <w:highlight w:val="none"/>
        </w:rPr>
      </w:pPr>
    </w:p>
    <w:p w14:paraId="6AAE7FB8">
      <w:pPr>
        <w:pStyle w:val="4"/>
        <w:adjustRightInd w:val="0"/>
        <w:snapToGrid w:val="0"/>
        <w:spacing w:before="0" w:after="0" w:line="360" w:lineRule="auto"/>
        <w:jc w:val="left"/>
        <w:rPr>
          <w:rFonts w:hint="eastAsia" w:ascii="宋体" w:hAnsi="宋体"/>
          <w:color w:val="auto"/>
          <w:sz w:val="24"/>
          <w:szCs w:val="24"/>
          <w:highlight w:val="none"/>
        </w:rPr>
      </w:pPr>
      <w:bookmarkStart w:id="6" w:name="_Toc24661"/>
      <w:r>
        <w:rPr>
          <w:rFonts w:hint="eastAsia" w:ascii="宋体" w:hAnsi="宋体"/>
          <w:color w:val="auto"/>
          <w:sz w:val="24"/>
          <w:szCs w:val="24"/>
          <w:highlight w:val="none"/>
        </w:rPr>
        <w:t>六、开标方式、时间、地点</w:t>
      </w:r>
      <w:bookmarkEnd w:id="6"/>
    </w:p>
    <w:p w14:paraId="6B9BBD8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1、开标方式：现场开标。</w:t>
      </w:r>
    </w:p>
    <w:p w14:paraId="3292DD0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2、开标时间（投标截止时间）：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30</w:t>
      </w:r>
      <w:r>
        <w:rPr>
          <w:rFonts w:hint="eastAsia" w:ascii="宋体" w:hAnsi="宋体" w:cs="宋体"/>
          <w:color w:val="auto"/>
          <w:sz w:val="24"/>
          <w:szCs w:val="24"/>
          <w:highlight w:val="none"/>
        </w:rPr>
        <w:t>分。</w:t>
      </w:r>
    </w:p>
    <w:p w14:paraId="12FFF9A5">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3、开标地点：</w:t>
      </w:r>
      <w:r>
        <w:rPr>
          <w:rFonts w:hint="eastAsia" w:ascii="宋体" w:hAnsi="宋体" w:cs="宋体"/>
          <w:color w:val="auto"/>
          <w:sz w:val="24"/>
          <w:szCs w:val="24"/>
          <w:u w:val="single"/>
        </w:rPr>
        <w:t>武汉市武昌区徐东二路2号东创创意园（中国农业科学院油料所内）2栋1楼（会议室5）</w:t>
      </w:r>
      <w:r>
        <w:rPr>
          <w:rFonts w:hint="eastAsia" w:ascii="宋体" w:hAnsi="宋体" w:cs="宋体"/>
          <w:color w:val="auto"/>
          <w:sz w:val="24"/>
          <w:szCs w:val="24"/>
        </w:rPr>
        <w:t>。</w:t>
      </w:r>
    </w:p>
    <w:p w14:paraId="448AE100">
      <w:pPr>
        <w:pStyle w:val="19"/>
        <w:spacing w:line="360" w:lineRule="auto"/>
        <w:rPr>
          <w:color w:val="auto"/>
          <w:sz w:val="24"/>
          <w:szCs w:val="24"/>
        </w:rPr>
      </w:pPr>
    </w:p>
    <w:p w14:paraId="623297F1">
      <w:pPr>
        <w:pStyle w:val="4"/>
        <w:adjustRightInd w:val="0"/>
        <w:snapToGrid w:val="0"/>
        <w:spacing w:before="0" w:after="0" w:line="360" w:lineRule="auto"/>
        <w:jc w:val="left"/>
        <w:rPr>
          <w:rFonts w:hint="eastAsia" w:ascii="宋体" w:hAnsi="宋体"/>
          <w:color w:val="auto"/>
          <w:sz w:val="24"/>
          <w:szCs w:val="24"/>
        </w:rPr>
      </w:pPr>
      <w:bookmarkStart w:id="7" w:name="_Toc20360"/>
      <w:r>
        <w:rPr>
          <w:rFonts w:hint="eastAsia" w:ascii="宋体" w:hAnsi="宋体"/>
          <w:color w:val="auto"/>
          <w:sz w:val="24"/>
          <w:szCs w:val="24"/>
        </w:rPr>
        <w:t>七、发布公告的媒介</w:t>
      </w:r>
      <w:bookmarkEnd w:id="7"/>
    </w:p>
    <w:p w14:paraId="18BFE64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color w:val="auto"/>
          <w:sz w:val="24"/>
          <w:szCs w:val="24"/>
        </w:rPr>
      </w:pPr>
      <w:r>
        <w:rPr>
          <w:rFonts w:hint="eastAsia" w:ascii="宋体" w:hAnsi="宋体"/>
          <w:color w:val="auto"/>
          <w:sz w:val="24"/>
          <w:szCs w:val="24"/>
        </w:rPr>
        <w:t>本次公告在中国招标投标公共服务平台（http://www.cebpubservice.com/）、湖北机场集团有限公司官网（</w:t>
      </w:r>
      <w:r>
        <w:rPr>
          <w:rFonts w:hint="eastAsia" w:ascii="宋体" w:hAnsi="宋体" w:eastAsia="宋体" w:cs="宋体"/>
          <w:color w:val="auto"/>
          <w:sz w:val="24"/>
          <w:szCs w:val="24"/>
          <w:highlight w:val="none"/>
        </w:rPr>
        <w:t>http://www.hbairport.com/</w:t>
      </w:r>
      <w:r>
        <w:rPr>
          <w:rFonts w:hint="eastAsia" w:ascii="宋体" w:hAnsi="宋体"/>
          <w:color w:val="auto"/>
          <w:sz w:val="24"/>
          <w:szCs w:val="24"/>
        </w:rPr>
        <w:t>）、诚E招电子采购交易平台（http://www.chengezhao.com/）上发布，其他媒体转载无效。本公告在各媒体发布的文本如有不同之处，以在中国招标投标公共服务平台发布的文本为准。</w:t>
      </w:r>
    </w:p>
    <w:p w14:paraId="734A5C6C">
      <w:pPr>
        <w:snapToGrid w:val="0"/>
        <w:spacing w:line="360" w:lineRule="auto"/>
        <w:ind w:firstLine="480" w:firstLineChars="200"/>
        <w:rPr>
          <w:color w:val="auto"/>
          <w:sz w:val="24"/>
          <w:szCs w:val="24"/>
        </w:rPr>
      </w:pPr>
    </w:p>
    <w:p w14:paraId="7B436B09">
      <w:pPr>
        <w:pStyle w:val="4"/>
        <w:adjustRightInd w:val="0"/>
        <w:snapToGrid w:val="0"/>
        <w:spacing w:before="0" w:after="0" w:line="360" w:lineRule="auto"/>
        <w:jc w:val="left"/>
        <w:rPr>
          <w:rFonts w:hint="eastAsia" w:ascii="宋体" w:hAnsi="宋体"/>
          <w:color w:val="auto"/>
          <w:sz w:val="24"/>
          <w:szCs w:val="24"/>
        </w:rPr>
      </w:pPr>
      <w:bookmarkStart w:id="8" w:name="_Toc300834935"/>
      <w:bookmarkStart w:id="9" w:name="_Toc18299"/>
      <w:bookmarkStart w:id="10" w:name="_Toc152045517"/>
      <w:bookmarkStart w:id="11" w:name="_Toc247513940"/>
      <w:bookmarkStart w:id="12" w:name="_Toc144974485"/>
      <w:bookmarkStart w:id="13" w:name="_Toc152042293"/>
      <w:bookmarkStart w:id="14" w:name="_Toc247527541"/>
      <w:r>
        <w:rPr>
          <w:rFonts w:hint="eastAsia" w:ascii="宋体" w:hAnsi="宋体"/>
          <w:color w:val="auto"/>
          <w:sz w:val="24"/>
          <w:szCs w:val="24"/>
        </w:rPr>
        <w:t>八、</w:t>
      </w:r>
      <w:r>
        <w:rPr>
          <w:rFonts w:ascii="宋体" w:hAnsi="宋体"/>
          <w:color w:val="auto"/>
          <w:sz w:val="24"/>
          <w:szCs w:val="24"/>
        </w:rPr>
        <w:t>联系方式</w:t>
      </w:r>
      <w:bookmarkEnd w:id="8"/>
      <w:bookmarkEnd w:id="9"/>
      <w:bookmarkEnd w:id="10"/>
      <w:bookmarkEnd w:id="11"/>
      <w:bookmarkEnd w:id="12"/>
      <w:bookmarkEnd w:id="13"/>
      <w:bookmarkEnd w:id="14"/>
    </w:p>
    <w:p w14:paraId="76DA5F7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1.采购人信息</w:t>
      </w:r>
    </w:p>
    <w:p w14:paraId="270EAFE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名称：湖北机场集团航空物流有限公司</w:t>
      </w:r>
    </w:p>
    <w:p w14:paraId="1DACF3C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地址：湖北省武汉市黄陂区武汉天河国际机场</w:t>
      </w:r>
    </w:p>
    <w:p w14:paraId="1862DB1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2.采购代理机构信息</w:t>
      </w:r>
    </w:p>
    <w:p w14:paraId="7E4B7AE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名称：公诚管理咨询有限公司</w:t>
      </w:r>
    </w:p>
    <w:p w14:paraId="0517AF0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地址：武汉市武昌区徐东二路2号东创创意园（中国农业科学院油料所内）2栋1楼</w:t>
      </w:r>
    </w:p>
    <w:p w14:paraId="63BD60E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项目联系人：李百川、乐皖鄂、宋晋刚、戚琳、章纯、徐茂盛</w:t>
      </w:r>
    </w:p>
    <w:p w14:paraId="5917907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联系方式：027-87500052-8001/13098818058/libc3@gcbidding.com</w:t>
      </w:r>
    </w:p>
    <w:p w14:paraId="6A4775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color w:val="auto"/>
          <w:sz w:val="24"/>
          <w:szCs w:val="24"/>
          <w:lang w:val="en-US" w:eastAsia="zh-CN"/>
        </w:rPr>
      </w:pPr>
      <w:bookmarkStart w:id="15" w:name="_Toc395816435"/>
      <w:bookmarkEnd w:id="15"/>
      <w:bookmarkStart w:id="16" w:name="_Toc395816530"/>
      <w:bookmarkEnd w:id="16"/>
      <w:r>
        <w:rPr>
          <w:rFonts w:hint="eastAsia" w:ascii="宋体" w:hAnsi="宋体" w:eastAsia="宋体" w:cs="Times New Roman"/>
          <w:color w:val="auto"/>
          <w:sz w:val="24"/>
          <w:szCs w:val="24"/>
          <w:lang w:val="en-US" w:eastAsia="zh-CN"/>
        </w:rPr>
        <w:t>3、异议联系人</w:t>
      </w:r>
    </w:p>
    <w:p w14:paraId="1FD1DEB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名称：公诚管理咨询有限公司</w:t>
      </w:r>
    </w:p>
    <w:p w14:paraId="5621DED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联系人：</w:t>
      </w:r>
      <w:r>
        <w:rPr>
          <w:rFonts w:hint="eastAsia" w:ascii="宋体" w:hAnsi="宋体" w:eastAsia="宋体" w:cs="Times New Roman"/>
          <w:color w:val="auto"/>
          <w:sz w:val="24"/>
          <w:szCs w:val="24"/>
          <w:lang w:val="en-US" w:eastAsia="zh-CN"/>
        </w:rPr>
        <w:t>乐皖鄂</w:t>
      </w:r>
    </w:p>
    <w:p w14:paraId="0A719B31">
      <w:pPr>
        <w:spacing w:line="360" w:lineRule="auto"/>
        <w:ind w:firstLine="480" w:firstLineChars="200"/>
        <w:rPr>
          <w:sz w:val="24"/>
          <w:szCs w:val="24"/>
        </w:rPr>
      </w:pPr>
      <w:r>
        <w:rPr>
          <w:rFonts w:hint="eastAsia" w:ascii="宋体" w:hAnsi="宋体" w:eastAsia="宋体" w:cs="Times New Roman"/>
          <w:color w:val="auto"/>
          <w:sz w:val="24"/>
          <w:szCs w:val="24"/>
        </w:rPr>
        <w:t>联系方式：027-87500052-800</w:t>
      </w:r>
      <w:r>
        <w:rPr>
          <w:rFonts w:hint="eastAsia" w:ascii="宋体" w:hAnsi="宋体" w:eastAsia="宋体" w:cs="Times New Roman"/>
          <w:color w:val="auto"/>
          <w:sz w:val="24"/>
          <w:szCs w:val="24"/>
          <w:lang w:val="en-US" w:eastAsia="zh-CN"/>
        </w:rPr>
        <w:t>3</w:t>
      </w:r>
    </w:p>
    <w:sectPr>
      <w:footerReference r:id="rId3" w:type="default"/>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44C57">
    <w:pPr>
      <w:widowControl w:val="0"/>
      <w:snapToGrid w:val="0"/>
      <w:spacing w:line="360" w:lineRule="auto"/>
      <w:ind w:right="360"/>
      <w:jc w:val="center"/>
      <w:rPr>
        <w:rFonts w:ascii="Times New Roman" w:hAnsi="Times New Roman" w:eastAsia="宋体" w:cs="Times New Roman"/>
        <w:kern w:val="2"/>
        <w:sz w:val="18"/>
        <w:szCs w:val="18"/>
        <w:lang w:val="en-US" w:eastAsia="zh-CN" w:bidi="ar-SA"/>
      </w:rPr>
    </w:pPr>
    <w:r>
      <w:rPr>
        <w:rFonts w:ascii="Times New Roman" w:hAnsi="Times New Roman" w:eastAsia="宋体" w:cs="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540B74">
                          <w:pPr>
                            <w:widowControl w:val="0"/>
                            <w:snapToGrid w:val="0"/>
                            <w:spacing w:line="360" w:lineRule="auto"/>
                            <w:rPr>
                              <w:rFonts w:hint="eastAsia" w:ascii="Times New Roman" w:hAnsi="Times New Roman" w:eastAsia="宋体" w:cs="Calibri"/>
                              <w:kern w:val="2"/>
                              <w:sz w:val="18"/>
                              <w:szCs w:val="18"/>
                              <w:lang w:val="en-US" w:eastAsia="zh-CN" w:bidi="ar-SA"/>
                            </w:rPr>
                          </w:pPr>
                          <w:r>
                            <w:rPr>
                              <w:rFonts w:hint="eastAsia" w:ascii="Times New Roman" w:hAnsi="Times New Roman" w:eastAsia="宋体" w:cs="Calibri"/>
                              <w:kern w:val="2"/>
                              <w:sz w:val="18"/>
                              <w:szCs w:val="18"/>
                              <w:lang w:val="en-US" w:eastAsia="zh-CN" w:bidi="ar-SA"/>
                            </w:rPr>
                            <w:fldChar w:fldCharType="begin"/>
                          </w:r>
                          <w:r>
                            <w:rPr>
                              <w:rFonts w:hint="eastAsia" w:ascii="Times New Roman" w:hAnsi="Times New Roman" w:eastAsia="宋体" w:cs="Calibri"/>
                              <w:kern w:val="2"/>
                              <w:sz w:val="18"/>
                              <w:szCs w:val="18"/>
                              <w:lang w:val="en-US" w:eastAsia="zh-CN" w:bidi="ar-SA"/>
                            </w:rPr>
                            <w:instrText xml:space="preserve"> PAGE  \* MERGEFORMAT </w:instrText>
                          </w:r>
                          <w:r>
                            <w:rPr>
                              <w:rFonts w:hint="eastAsia" w:ascii="Times New Roman" w:hAnsi="Times New Roman" w:eastAsia="宋体" w:cs="Calibri"/>
                              <w:kern w:val="2"/>
                              <w:sz w:val="18"/>
                              <w:szCs w:val="18"/>
                              <w:lang w:val="en-US" w:eastAsia="zh-CN" w:bidi="ar-SA"/>
                            </w:rPr>
                            <w:fldChar w:fldCharType="separate"/>
                          </w:r>
                          <w:r>
                            <w:rPr>
                              <w:rFonts w:ascii="Times New Roman" w:hAnsi="Times New Roman" w:eastAsia="宋体" w:cs="Calibri"/>
                              <w:kern w:val="2"/>
                              <w:sz w:val="18"/>
                              <w:szCs w:val="18"/>
                              <w:lang w:val="en-US" w:eastAsia="zh-CN" w:bidi="ar-SA"/>
                            </w:rPr>
                            <w:t>4</w:t>
                          </w:r>
                          <w:r>
                            <w:rPr>
                              <w:rFonts w:hint="eastAsia" w:ascii="Times New Roman" w:hAnsi="Times New Roman" w:eastAsia="宋体" w:cs="Calibri"/>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QsZs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hCxmyQEAAJkDAAAOAAAAAAAAAAEAIAAAAB4BAABkcnMvZTJvRG9j&#10;LnhtbFBLBQYAAAAABgAGAFkBAABZBQAAAAA=&#10;">
              <v:fill on="f" focussize="0,0"/>
              <v:stroke on="f"/>
              <v:imagedata o:title=""/>
              <o:lock v:ext="edit" aspectratio="f"/>
              <v:textbox inset="0mm,0mm,0mm,0mm" style="mso-fit-shape-to-text:t;">
                <w:txbxContent>
                  <w:p w14:paraId="40540B74">
                    <w:pPr>
                      <w:widowControl w:val="0"/>
                      <w:snapToGrid w:val="0"/>
                      <w:spacing w:line="360" w:lineRule="auto"/>
                      <w:rPr>
                        <w:rFonts w:hint="eastAsia" w:ascii="Times New Roman" w:hAnsi="Times New Roman" w:eastAsia="宋体" w:cs="Calibri"/>
                        <w:kern w:val="2"/>
                        <w:sz w:val="18"/>
                        <w:szCs w:val="18"/>
                        <w:lang w:val="en-US" w:eastAsia="zh-CN" w:bidi="ar-SA"/>
                      </w:rPr>
                    </w:pPr>
                    <w:r>
                      <w:rPr>
                        <w:rFonts w:hint="eastAsia" w:ascii="Times New Roman" w:hAnsi="Times New Roman" w:eastAsia="宋体" w:cs="Calibri"/>
                        <w:kern w:val="2"/>
                        <w:sz w:val="18"/>
                        <w:szCs w:val="18"/>
                        <w:lang w:val="en-US" w:eastAsia="zh-CN" w:bidi="ar-SA"/>
                      </w:rPr>
                      <w:fldChar w:fldCharType="begin"/>
                    </w:r>
                    <w:r>
                      <w:rPr>
                        <w:rFonts w:hint="eastAsia" w:ascii="Times New Roman" w:hAnsi="Times New Roman" w:eastAsia="宋体" w:cs="Calibri"/>
                        <w:kern w:val="2"/>
                        <w:sz w:val="18"/>
                        <w:szCs w:val="18"/>
                        <w:lang w:val="en-US" w:eastAsia="zh-CN" w:bidi="ar-SA"/>
                      </w:rPr>
                      <w:instrText xml:space="preserve"> PAGE  \* MERGEFORMAT </w:instrText>
                    </w:r>
                    <w:r>
                      <w:rPr>
                        <w:rFonts w:hint="eastAsia" w:ascii="Times New Roman" w:hAnsi="Times New Roman" w:eastAsia="宋体" w:cs="Calibri"/>
                        <w:kern w:val="2"/>
                        <w:sz w:val="18"/>
                        <w:szCs w:val="18"/>
                        <w:lang w:val="en-US" w:eastAsia="zh-CN" w:bidi="ar-SA"/>
                      </w:rPr>
                      <w:fldChar w:fldCharType="separate"/>
                    </w:r>
                    <w:r>
                      <w:rPr>
                        <w:rFonts w:ascii="Times New Roman" w:hAnsi="Times New Roman" w:eastAsia="宋体" w:cs="Calibri"/>
                        <w:kern w:val="2"/>
                        <w:sz w:val="18"/>
                        <w:szCs w:val="18"/>
                        <w:lang w:val="en-US" w:eastAsia="zh-CN" w:bidi="ar-SA"/>
                      </w:rPr>
                      <w:t>4</w:t>
                    </w:r>
                    <w:r>
                      <w:rPr>
                        <w:rFonts w:hint="eastAsia" w:ascii="Times New Roman" w:hAnsi="Times New Roman" w:eastAsia="宋体" w:cs="Calibri"/>
                        <w:kern w:val="2"/>
                        <w:sz w:val="18"/>
                        <w:szCs w:val="1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YWI4N2IwMDdmOWUyMmY5NzI5ZDRhZTg4MjM1NDcifQ=="/>
  </w:docVars>
  <w:rsids>
    <w:rsidRoot w:val="47342539"/>
    <w:rsid w:val="0D434983"/>
    <w:rsid w:val="0D7705D1"/>
    <w:rsid w:val="133631BD"/>
    <w:rsid w:val="15A53DED"/>
    <w:rsid w:val="47342539"/>
    <w:rsid w:val="4B9042FB"/>
    <w:rsid w:val="4FDC0EDA"/>
    <w:rsid w:val="587208DA"/>
    <w:rsid w:val="597345A2"/>
    <w:rsid w:val="66C30E30"/>
    <w:rsid w:val="686B7473"/>
    <w:rsid w:val="6CD60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9"/>
    <w:pPr>
      <w:autoSpaceDE w:val="0"/>
      <w:autoSpaceDN w:val="0"/>
      <w:adjustRightInd w:val="0"/>
      <w:jc w:val="left"/>
      <w:outlineLvl w:val="0"/>
    </w:pPr>
    <w:rPr>
      <w:rFonts w:ascii="Times New Roman" w:hAnsi="Times New Roman" w:eastAsia="宋体"/>
      <w:kern w:val="0"/>
      <w:sz w:val="24"/>
      <w:szCs w:val="2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sz w:val="18"/>
      <w:szCs w:val="18"/>
    </w:rPr>
  </w:style>
  <w:style w:type="paragraph" w:styleId="5">
    <w:name w:val="Normal Indent"/>
    <w:basedOn w:val="1"/>
    <w:qFormat/>
    <w:uiPriority w:val="99"/>
    <w:pPr>
      <w:ind w:firstLine="420" w:firstLineChars="200"/>
    </w:pPr>
  </w:style>
  <w:style w:type="paragraph" w:styleId="6">
    <w:name w:val="Body Text"/>
    <w:basedOn w:val="1"/>
    <w:next w:val="1"/>
    <w:qFormat/>
    <w:uiPriority w:val="1"/>
    <w:rPr>
      <w:rFonts w:ascii="宋体" w:hAnsi="宋体" w:eastAsia="宋体" w:cs="宋体"/>
      <w:sz w:val="21"/>
      <w:szCs w:val="21"/>
    </w:rPr>
  </w:style>
  <w:style w:type="paragraph" w:styleId="7">
    <w:name w:val="Body Text Indent"/>
    <w:basedOn w:val="1"/>
    <w:qFormat/>
    <w:uiPriority w:val="0"/>
    <w:pPr>
      <w:spacing w:after="120"/>
      <w:ind w:left="420" w:leftChars="200"/>
    </w:pPr>
  </w:style>
  <w:style w:type="paragraph" w:styleId="8">
    <w:name w:val="Body Text Indent 2"/>
    <w:basedOn w:val="9"/>
    <w:next w:val="9"/>
    <w:uiPriority w:val="0"/>
    <w:pPr>
      <w:tabs>
        <w:tab w:val="left" w:pos="540"/>
      </w:tabs>
      <w:autoSpaceDE w:val="0"/>
      <w:autoSpaceDN w:val="0"/>
      <w:adjustRightInd w:val="0"/>
      <w:spacing w:line="489" w:lineRule="atLeast"/>
      <w:ind w:firstLine="709"/>
      <w:jc w:val="left"/>
    </w:pPr>
    <w:rPr>
      <w:rFonts w:ascii="华文仿宋" w:hAnsi="华文仿宋" w:eastAsia="华文仿宋"/>
      <w:color w:val="000000"/>
      <w:kern w:val="0"/>
      <w:sz w:val="32"/>
      <w:szCs w:val="32"/>
    </w:rPr>
  </w:style>
  <w:style w:type="paragraph" w:styleId="9">
    <w:name w:val="Body Text First Indent 2"/>
    <w:basedOn w:val="7"/>
    <w:unhideWhenUsed/>
    <w:qFormat/>
    <w:uiPriority w:val="0"/>
    <w:pPr>
      <w:tabs>
        <w:tab w:val="left" w:pos="540"/>
      </w:tabs>
      <w:spacing w:after="120"/>
      <w:ind w:left="420" w:leftChars="200" w:firstLine="420" w:firstLineChars="200"/>
    </w:pPr>
    <w:rPr>
      <w:rFonts w:ascii="Calibri" w:hAnsi="Calibri"/>
      <w:sz w:val="21"/>
      <w:szCs w:val="21"/>
    </w:rPr>
  </w:style>
  <w:style w:type="paragraph" w:styleId="10">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character" w:styleId="13">
    <w:name w:val="Strong"/>
    <w:basedOn w:val="12"/>
    <w:qFormat/>
    <w:uiPriority w:val="22"/>
    <w:rPr>
      <w:b/>
      <w:bCs/>
    </w:rPr>
  </w:style>
  <w:style w:type="character" w:styleId="14">
    <w:name w:val="Hyperlink"/>
    <w:qFormat/>
    <w:uiPriority w:val="99"/>
    <w:rPr>
      <w:rFonts w:cs="Times New Roman"/>
      <w:color w:val="0000FF"/>
      <w:u w:val="single"/>
    </w:rPr>
  </w:style>
  <w:style w:type="character" w:customStyle="1" w:styleId="15">
    <w:name w:val="NormalCharacter"/>
    <w:semiHidden/>
    <w:qFormat/>
    <w:uiPriority w:val="0"/>
  </w:style>
  <w:style w:type="paragraph" w:customStyle="1" w:styleId="16">
    <w:name w:val="CM1"/>
    <w:basedOn w:val="17"/>
    <w:next w:val="17"/>
    <w:qFormat/>
    <w:uiPriority w:val="99"/>
    <w:rPr>
      <w:color w:val="auto"/>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18">
    <w:name w:val="列出段落1"/>
    <w:basedOn w:val="1"/>
    <w:qFormat/>
    <w:uiPriority w:val="34"/>
    <w:pPr>
      <w:ind w:firstLine="420" w:firstLineChars="200"/>
    </w:pPr>
    <w:rPr>
      <w:rFonts w:ascii="Calibri" w:hAnsi="Calibri"/>
      <w:kern w:val="0"/>
      <w:sz w:val="20"/>
      <w:szCs w:val="20"/>
    </w:rPr>
  </w:style>
  <w:style w:type="paragraph" w:customStyle="1" w:styleId="19">
    <w:name w:val="正文 New"/>
    <w:qFormat/>
    <w:uiPriority w:val="99"/>
    <w:pPr>
      <w:widowControl w:val="0"/>
      <w:spacing w:line="440" w:lineRule="exact"/>
      <w:ind w:left="357" w:hanging="357"/>
      <w:jc w:val="both"/>
    </w:pPr>
    <w:rPr>
      <w:rFonts w:ascii="Calibri" w:hAnsi="Calibri" w:eastAsia="仿宋"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1743</Words>
  <Characters>2129</Characters>
  <Lines>0</Lines>
  <Paragraphs>0</Paragraphs>
  <TotalTime>1</TotalTime>
  <ScaleCrop>false</ScaleCrop>
  <LinksUpToDate>false</LinksUpToDate>
  <CharactersWithSpaces>2137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2021-04-15T10:18:00Z</dcterms:created>
  <dc:creator>LI</dc:creator>
  <cp:lastModifiedBy>公诚</cp:lastModifiedBy>
  <dcterms:modified xsi:type="dcterms:W3CDTF">2026-06-16T09:57:40Z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35ECC0EAE00F45A6B5370A959581CBAC</vt:lpwstr>
  </property>
  <property fmtid="{D5CDD505-2E9C-101B-9397-08002B2CF9AE}" pid="4" name="KSOTemplateDocerSaveRecord">
    <vt:lpwstr>eyJoZGlkIjoiMWM0NTcwODkxMjJjYzZkNzJkMGJhYTMxZGI4NDg2NTgiLCJ1c2VySWQiOiIyNDc1OTUxNjIifQ==</vt:lpwstr>
  </property>
</Properties>
</file>