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05A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sz w:val="36"/>
          <w:szCs w:val="36"/>
          <w:highlight w:val="none"/>
          <w:lang w:eastAsia="zh-CN"/>
        </w:rPr>
      </w:pPr>
      <w:r>
        <w:rPr>
          <w:rFonts w:hint="eastAsia" w:ascii="宋体" w:hAnsi="宋体" w:cs="宋体"/>
          <w:sz w:val="36"/>
          <w:szCs w:val="36"/>
          <w:highlight w:val="none"/>
          <w:lang w:eastAsia="zh-CN"/>
        </w:rPr>
        <w:t>武汉机场T3航站楼新增及部分改造媒体招商项目</w:t>
      </w:r>
    </w:p>
    <w:p w14:paraId="1D4FE5EE">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b w:val="0"/>
          <w:sz w:val="36"/>
          <w:szCs w:val="36"/>
          <w:highlight w:val="none"/>
        </w:rPr>
      </w:pPr>
      <w:r>
        <w:rPr>
          <w:rFonts w:hint="eastAsia" w:ascii="宋体" w:hAnsi="宋体" w:cs="宋体"/>
          <w:sz w:val="36"/>
          <w:szCs w:val="36"/>
          <w:highlight w:val="none"/>
        </w:rPr>
        <w:t>招商公告</w:t>
      </w:r>
    </w:p>
    <w:p w14:paraId="550EAD09">
      <w:pPr>
        <w:spacing w:line="360" w:lineRule="auto"/>
        <w:ind w:firstLine="437"/>
        <w:jc w:val="left"/>
        <w:rPr>
          <w:rFonts w:hint="eastAsia" w:ascii="宋体" w:hAnsi="宋体" w:cs="宋体"/>
          <w:szCs w:val="21"/>
          <w:highlight w:val="none"/>
        </w:rPr>
      </w:pPr>
      <w:r>
        <w:rPr>
          <w:rFonts w:hint="eastAsia" w:ascii="宋体" w:hAnsi="宋体" w:cs="宋体"/>
          <w:szCs w:val="21"/>
          <w:highlight w:val="none"/>
        </w:rPr>
        <w:t>湖北国华项目管理咨询有限公司（以下简称“招商代理机构”）受</w:t>
      </w:r>
      <w:r>
        <w:rPr>
          <w:rFonts w:hint="eastAsia" w:ascii="Times New Roman" w:hAnsi="宋体" w:cs="Times New Roman"/>
          <w:b/>
          <w:szCs w:val="21"/>
          <w:highlight w:val="none"/>
          <w:u w:val="single"/>
        </w:rPr>
        <w:t>湖北空港首广联合传媒有限公司</w:t>
      </w:r>
      <w:r>
        <w:rPr>
          <w:rFonts w:hint="eastAsia" w:ascii="宋体" w:hAnsi="宋体" w:cs="宋体"/>
          <w:szCs w:val="21"/>
          <w:highlight w:val="none"/>
        </w:rPr>
        <w:t>（以下简称“招商人”）的委托，对</w:t>
      </w:r>
      <w:r>
        <w:rPr>
          <w:rFonts w:hint="eastAsia" w:ascii="宋体" w:hAnsi="宋体" w:cs="宋体"/>
          <w:b/>
          <w:bCs/>
          <w:szCs w:val="21"/>
          <w:highlight w:val="none"/>
          <w:u w:val="single"/>
          <w:lang w:eastAsia="zh-CN"/>
        </w:rPr>
        <w:t>武汉机场T3航站楼新增及部分改造媒体招商项目</w:t>
      </w:r>
      <w:r>
        <w:rPr>
          <w:rFonts w:hint="eastAsia" w:ascii="宋体" w:hAnsi="宋体" w:cs="宋体"/>
          <w:szCs w:val="21"/>
          <w:highlight w:val="none"/>
        </w:rPr>
        <w:t>进行招商。资金来源：</w:t>
      </w:r>
      <w:r>
        <w:rPr>
          <w:rFonts w:hint="eastAsia" w:ascii="Times New Roman" w:hAnsi="宋体" w:cs="Times New Roman"/>
          <w:b/>
          <w:szCs w:val="21"/>
          <w:highlight w:val="none"/>
          <w:u w:val="single"/>
        </w:rPr>
        <w:t xml:space="preserve">招商响应人自筹 </w:t>
      </w:r>
      <w:r>
        <w:rPr>
          <w:rFonts w:hint="eastAsia" w:ascii="宋体" w:hAnsi="宋体" w:cs="宋体"/>
          <w:szCs w:val="21"/>
          <w:highlight w:val="none"/>
        </w:rPr>
        <w:t>。欢迎符合资格条件的招商响应人参加磋商。</w:t>
      </w:r>
    </w:p>
    <w:p w14:paraId="7EFA9403">
      <w:pPr>
        <w:spacing w:before="120" w:beforeLines="50" w:after="120" w:afterLines="50" w:line="360" w:lineRule="auto"/>
        <w:outlineLvl w:val="1"/>
        <w:rPr>
          <w:rFonts w:hint="eastAsia" w:ascii="宋体" w:hAnsi="宋体" w:cs="宋体"/>
          <w:b/>
          <w:szCs w:val="21"/>
          <w:highlight w:val="none"/>
        </w:rPr>
      </w:pPr>
      <w:bookmarkStart w:id="0" w:name="_Toc380747815"/>
      <w:bookmarkStart w:id="1" w:name="_Toc365302267"/>
      <w:bookmarkStart w:id="2" w:name="_Toc6581"/>
      <w:bookmarkStart w:id="3" w:name="_Toc1449"/>
      <w:r>
        <w:rPr>
          <w:rFonts w:hint="eastAsia" w:ascii="宋体" w:hAnsi="宋体" w:cs="宋体"/>
          <w:b/>
          <w:szCs w:val="21"/>
          <w:highlight w:val="none"/>
        </w:rPr>
        <w:t>一、项目</w:t>
      </w:r>
      <w:bookmarkEnd w:id="0"/>
      <w:bookmarkEnd w:id="1"/>
      <w:bookmarkEnd w:id="2"/>
      <w:r>
        <w:rPr>
          <w:rFonts w:hint="eastAsia" w:ascii="宋体" w:hAnsi="宋体" w:cs="宋体"/>
          <w:b/>
          <w:szCs w:val="21"/>
          <w:highlight w:val="none"/>
        </w:rPr>
        <w:t>概况</w:t>
      </w:r>
      <w:bookmarkEnd w:id="3"/>
    </w:p>
    <w:p w14:paraId="17B64B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1.招商人：</w:t>
      </w:r>
      <w:r>
        <w:rPr>
          <w:rFonts w:hint="eastAsia" w:ascii="Times New Roman" w:hAnsi="宋体" w:cs="Times New Roman"/>
          <w:b/>
          <w:szCs w:val="21"/>
          <w:highlight w:val="none"/>
          <w:u w:val="single"/>
        </w:rPr>
        <w:t>湖北空港首广联合传媒有限公司</w:t>
      </w:r>
    </w:p>
    <w:p w14:paraId="2DBDAC7E">
      <w:pPr>
        <w:spacing w:line="360" w:lineRule="auto"/>
        <w:ind w:firstLine="420" w:firstLineChars="200"/>
        <w:rPr>
          <w:rFonts w:hint="eastAsia" w:ascii="Times New Roman" w:hAnsi="宋体" w:eastAsia="宋体" w:cs="Times New Roman"/>
          <w:b/>
          <w:szCs w:val="21"/>
          <w:highlight w:val="none"/>
          <w:u w:val="single"/>
          <w:lang w:eastAsia="zh-CN"/>
        </w:rPr>
      </w:pPr>
      <w:r>
        <w:rPr>
          <w:rFonts w:hint="eastAsia" w:ascii="宋体" w:hAnsi="宋体" w:cs="宋体"/>
          <w:szCs w:val="21"/>
          <w:highlight w:val="none"/>
        </w:rPr>
        <w:t>2.项目名称：</w:t>
      </w:r>
      <w:r>
        <w:rPr>
          <w:rFonts w:hint="eastAsia" w:hAnsi="宋体" w:cs="Times New Roman"/>
          <w:b/>
          <w:szCs w:val="21"/>
          <w:highlight w:val="none"/>
          <w:u w:val="single"/>
          <w:lang w:eastAsia="zh-CN"/>
        </w:rPr>
        <w:t>武汉机场T3航站楼新增及部分改造媒体招商项目</w:t>
      </w:r>
    </w:p>
    <w:p w14:paraId="7DE036D9">
      <w:pPr>
        <w:spacing w:line="360" w:lineRule="auto"/>
        <w:ind w:firstLine="420" w:firstLineChars="200"/>
        <w:rPr>
          <w:rFonts w:hint="eastAsia" w:ascii="Times New Roman" w:hAnsi="宋体" w:cs="Times New Roman"/>
          <w:b/>
          <w:szCs w:val="21"/>
          <w:highlight w:val="none"/>
          <w:u w:val="single"/>
        </w:rPr>
      </w:pPr>
      <w:r>
        <w:rPr>
          <w:rFonts w:hint="eastAsia" w:ascii="宋体" w:hAnsi="宋体" w:cs="宋体"/>
          <w:szCs w:val="21"/>
          <w:highlight w:val="none"/>
        </w:rPr>
        <w:t>3.项目编号：</w:t>
      </w:r>
      <w:r>
        <w:rPr>
          <w:rFonts w:hint="eastAsia" w:ascii="宋体" w:hAnsi="宋体" w:cs="宋体"/>
          <w:b/>
          <w:bCs/>
          <w:szCs w:val="21"/>
          <w:highlight w:val="none"/>
          <w:u w:val="single"/>
        </w:rPr>
        <w:t>ZB0102-202606-FZBFW0818</w:t>
      </w:r>
    </w:p>
    <w:p w14:paraId="08518185">
      <w:pPr>
        <w:tabs>
          <w:tab w:val="left" w:pos="3306"/>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4.招商内容：</w:t>
      </w:r>
      <w:r>
        <w:rPr>
          <w:rFonts w:hint="eastAsia" w:ascii="宋体" w:hAnsi="宋体" w:cs="宋体"/>
          <w:szCs w:val="21"/>
          <w:highlight w:val="none"/>
          <w:u w:val="single"/>
        </w:rPr>
        <w:t>本项目对</w:t>
      </w:r>
      <w:r>
        <w:rPr>
          <w:rFonts w:hint="eastAsia" w:ascii="宋体" w:hAnsi="宋体" w:cs="宋体"/>
          <w:szCs w:val="21"/>
          <w:highlight w:val="none"/>
          <w:u w:val="single"/>
          <w:lang w:val="en-US" w:eastAsia="zh-CN"/>
        </w:rPr>
        <w:t>四</w:t>
      </w:r>
      <w:r>
        <w:rPr>
          <w:rFonts w:hint="eastAsia" w:ascii="宋体" w:hAnsi="宋体" w:cs="宋体"/>
          <w:szCs w:val="21"/>
          <w:highlight w:val="none"/>
          <w:u w:val="single"/>
        </w:rPr>
        <w:t>个标段进行招商</w:t>
      </w:r>
      <w:r>
        <w:rPr>
          <w:rFonts w:hint="eastAsia" w:ascii="宋体" w:hAnsi="宋体" w:cs="宋体"/>
          <w:szCs w:val="21"/>
          <w:highlight w:val="none"/>
        </w:rPr>
        <w:t>。</w:t>
      </w:r>
    </w:p>
    <w:tbl>
      <w:tblPr>
        <w:tblStyle w:val="4"/>
        <w:tblW w:w="89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5"/>
        <w:gridCol w:w="748"/>
        <w:gridCol w:w="1005"/>
        <w:gridCol w:w="1059"/>
        <w:gridCol w:w="2010"/>
        <w:gridCol w:w="825"/>
        <w:gridCol w:w="1590"/>
        <w:gridCol w:w="1090"/>
      </w:tblGrid>
      <w:tr w14:paraId="6C09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shd w:val="clear" w:color="auto" w:fill="auto"/>
            <w:noWrap/>
            <w:vAlign w:val="center"/>
          </w:tcPr>
          <w:p w14:paraId="153A0A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标段划分</w:t>
            </w:r>
          </w:p>
        </w:tc>
        <w:tc>
          <w:tcPr>
            <w:tcW w:w="748" w:type="dxa"/>
            <w:shd w:val="clear" w:color="auto" w:fill="auto"/>
            <w:vAlign w:val="center"/>
          </w:tcPr>
          <w:p w14:paraId="122667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楼层</w:t>
            </w:r>
          </w:p>
        </w:tc>
        <w:tc>
          <w:tcPr>
            <w:tcW w:w="1005" w:type="dxa"/>
            <w:shd w:val="clear" w:color="auto" w:fill="auto"/>
            <w:vAlign w:val="center"/>
          </w:tcPr>
          <w:p w14:paraId="166732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媒体区域</w:t>
            </w:r>
          </w:p>
        </w:tc>
        <w:tc>
          <w:tcPr>
            <w:tcW w:w="1059" w:type="dxa"/>
            <w:shd w:val="clear" w:color="auto" w:fill="auto"/>
            <w:noWrap/>
            <w:vAlign w:val="center"/>
          </w:tcPr>
          <w:p w14:paraId="5BF7E8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媒体类型</w:t>
            </w:r>
          </w:p>
        </w:tc>
        <w:tc>
          <w:tcPr>
            <w:tcW w:w="2010" w:type="dxa"/>
            <w:shd w:val="clear" w:color="auto" w:fill="auto"/>
            <w:noWrap/>
            <w:vAlign w:val="center"/>
          </w:tcPr>
          <w:p w14:paraId="42C83D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媒体编号</w:t>
            </w:r>
          </w:p>
        </w:tc>
        <w:tc>
          <w:tcPr>
            <w:tcW w:w="825" w:type="dxa"/>
            <w:shd w:val="clear" w:color="auto" w:fill="auto"/>
            <w:noWrap/>
            <w:vAlign w:val="center"/>
          </w:tcPr>
          <w:p w14:paraId="3F2DA5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媒体数量</w:t>
            </w:r>
          </w:p>
        </w:tc>
        <w:tc>
          <w:tcPr>
            <w:tcW w:w="1590" w:type="dxa"/>
            <w:shd w:val="clear" w:color="auto" w:fill="auto"/>
            <w:vAlign w:val="center"/>
          </w:tcPr>
          <w:p w14:paraId="3E5307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媒体规格（m)</w:t>
            </w:r>
          </w:p>
        </w:tc>
        <w:tc>
          <w:tcPr>
            <w:tcW w:w="1090" w:type="dxa"/>
            <w:shd w:val="clear" w:color="auto" w:fill="auto"/>
            <w:noWrap/>
            <w:vAlign w:val="center"/>
          </w:tcPr>
          <w:p w14:paraId="28E087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合同可发布起始时间</w:t>
            </w:r>
          </w:p>
        </w:tc>
      </w:tr>
      <w:tr w14:paraId="735D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2" w:hRule="atLeast"/>
        </w:trPr>
        <w:tc>
          <w:tcPr>
            <w:tcW w:w="585" w:type="dxa"/>
            <w:vMerge w:val="restart"/>
            <w:shd w:val="clear" w:color="auto" w:fill="auto"/>
            <w:noWrap/>
            <w:vAlign w:val="center"/>
          </w:tcPr>
          <w:p w14:paraId="1FFFF3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8" w:type="dxa"/>
            <w:vMerge w:val="restart"/>
            <w:shd w:val="clear" w:color="auto" w:fill="auto"/>
            <w:vAlign w:val="center"/>
          </w:tcPr>
          <w:p w14:paraId="0AF6D82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T3航站楼二层</w:t>
            </w:r>
          </w:p>
        </w:tc>
        <w:tc>
          <w:tcPr>
            <w:tcW w:w="1005" w:type="dxa"/>
            <w:vMerge w:val="restart"/>
            <w:shd w:val="clear" w:color="auto" w:fill="auto"/>
            <w:vAlign w:val="center"/>
          </w:tcPr>
          <w:p w14:paraId="56B966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迎客厅</w:t>
            </w:r>
          </w:p>
        </w:tc>
        <w:tc>
          <w:tcPr>
            <w:tcW w:w="1059" w:type="dxa"/>
            <w:vMerge w:val="restart"/>
            <w:shd w:val="clear" w:color="auto" w:fill="auto"/>
            <w:noWrap/>
            <w:vAlign w:val="center"/>
          </w:tcPr>
          <w:p w14:paraId="07C2C80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包柱灯箱</w:t>
            </w:r>
          </w:p>
        </w:tc>
        <w:tc>
          <w:tcPr>
            <w:tcW w:w="2010" w:type="dxa"/>
            <w:shd w:val="clear" w:color="auto" w:fill="auto"/>
            <w:noWrap/>
            <w:vAlign w:val="center"/>
          </w:tcPr>
          <w:p w14:paraId="1EB191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HBWUH-32G-D009</w:t>
            </w:r>
          </w:p>
        </w:tc>
        <w:tc>
          <w:tcPr>
            <w:tcW w:w="825" w:type="dxa"/>
            <w:shd w:val="clear" w:color="auto" w:fill="auto"/>
            <w:noWrap/>
            <w:vAlign w:val="center"/>
          </w:tcPr>
          <w:p w14:paraId="6E2FA2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vAlign w:val="center"/>
          </w:tcPr>
          <w:p w14:paraId="1F7E5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6.05mx2.5mx4面</w:t>
            </w:r>
          </w:p>
        </w:tc>
        <w:tc>
          <w:tcPr>
            <w:tcW w:w="1090" w:type="dxa"/>
            <w:vMerge w:val="restart"/>
            <w:shd w:val="clear" w:color="auto" w:fill="auto"/>
            <w:noWrap/>
            <w:vAlign w:val="center"/>
          </w:tcPr>
          <w:p w14:paraId="1F438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中标后以合同约定时间起算</w:t>
            </w:r>
          </w:p>
        </w:tc>
      </w:tr>
      <w:tr w14:paraId="155F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continue"/>
            <w:shd w:val="clear" w:color="auto" w:fill="auto"/>
            <w:noWrap/>
            <w:vAlign w:val="center"/>
          </w:tcPr>
          <w:p w14:paraId="4012D22E">
            <w:pPr>
              <w:jc w:val="center"/>
              <w:rPr>
                <w:rFonts w:hint="default" w:ascii="宋体" w:hAnsi="宋体" w:eastAsia="宋体" w:cs="宋体"/>
                <w:i w:val="0"/>
                <w:iCs w:val="0"/>
                <w:color w:val="000000"/>
                <w:kern w:val="0"/>
                <w:sz w:val="20"/>
                <w:szCs w:val="20"/>
                <w:u w:val="none"/>
                <w:lang w:val="en-US" w:eastAsia="zh-CN" w:bidi="ar"/>
              </w:rPr>
            </w:pPr>
          </w:p>
        </w:tc>
        <w:tc>
          <w:tcPr>
            <w:tcW w:w="748" w:type="dxa"/>
            <w:vMerge w:val="continue"/>
            <w:shd w:val="clear" w:color="auto" w:fill="auto"/>
            <w:vAlign w:val="center"/>
          </w:tcPr>
          <w:p w14:paraId="3301D302">
            <w:pPr>
              <w:rPr>
                <w:rFonts w:hint="default" w:ascii="宋体" w:hAnsi="宋体" w:eastAsia="宋体" w:cs="宋体"/>
                <w:i w:val="0"/>
                <w:iCs w:val="0"/>
                <w:color w:val="000000"/>
                <w:kern w:val="0"/>
                <w:sz w:val="20"/>
                <w:szCs w:val="20"/>
                <w:u w:val="none"/>
                <w:lang w:val="en-US" w:eastAsia="zh-CN" w:bidi="ar"/>
              </w:rPr>
            </w:pPr>
          </w:p>
        </w:tc>
        <w:tc>
          <w:tcPr>
            <w:tcW w:w="1005" w:type="dxa"/>
            <w:vMerge w:val="continue"/>
            <w:shd w:val="clear" w:color="auto" w:fill="auto"/>
            <w:vAlign w:val="center"/>
          </w:tcPr>
          <w:p w14:paraId="42AB9D49">
            <w:pPr>
              <w:jc w:val="center"/>
              <w:rPr>
                <w:rFonts w:hint="default" w:ascii="宋体" w:hAnsi="宋体" w:eastAsia="宋体" w:cs="宋体"/>
                <w:i w:val="0"/>
                <w:iCs w:val="0"/>
                <w:color w:val="000000"/>
                <w:sz w:val="20"/>
                <w:szCs w:val="20"/>
                <w:u w:val="none"/>
                <w:lang w:val="en-US" w:eastAsia="zh-CN"/>
              </w:rPr>
            </w:pPr>
          </w:p>
        </w:tc>
        <w:tc>
          <w:tcPr>
            <w:tcW w:w="1059" w:type="dxa"/>
            <w:vMerge w:val="continue"/>
            <w:shd w:val="clear" w:color="auto" w:fill="auto"/>
            <w:noWrap/>
            <w:vAlign w:val="center"/>
          </w:tcPr>
          <w:p w14:paraId="55C31F45">
            <w:pPr>
              <w:jc w:val="center"/>
              <w:rPr>
                <w:rFonts w:hint="default" w:ascii="宋体" w:hAnsi="宋体" w:eastAsia="宋体" w:cs="宋体"/>
                <w:i w:val="0"/>
                <w:iCs w:val="0"/>
                <w:color w:val="000000"/>
                <w:sz w:val="20"/>
                <w:szCs w:val="20"/>
                <w:u w:val="none"/>
                <w:lang w:val="en-US" w:eastAsia="zh-CN"/>
              </w:rPr>
            </w:pPr>
          </w:p>
        </w:tc>
        <w:tc>
          <w:tcPr>
            <w:tcW w:w="2010" w:type="dxa"/>
            <w:shd w:val="clear" w:color="auto" w:fill="auto"/>
            <w:noWrap/>
            <w:vAlign w:val="center"/>
          </w:tcPr>
          <w:p w14:paraId="7C841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HBWUH-32G-D010</w:t>
            </w:r>
          </w:p>
        </w:tc>
        <w:tc>
          <w:tcPr>
            <w:tcW w:w="825" w:type="dxa"/>
            <w:shd w:val="clear" w:color="auto" w:fill="auto"/>
            <w:noWrap/>
            <w:vAlign w:val="center"/>
          </w:tcPr>
          <w:p w14:paraId="0C46C1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25394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6.05mx2.5mx4面</w:t>
            </w:r>
          </w:p>
        </w:tc>
        <w:tc>
          <w:tcPr>
            <w:tcW w:w="1090" w:type="dxa"/>
            <w:vMerge w:val="continue"/>
            <w:shd w:val="clear" w:color="auto" w:fill="auto"/>
            <w:vAlign w:val="center"/>
          </w:tcPr>
          <w:p w14:paraId="136848E4">
            <w:pPr>
              <w:jc w:val="center"/>
              <w:rPr>
                <w:rFonts w:hint="default" w:ascii="宋体" w:hAnsi="宋体" w:eastAsia="宋体" w:cs="宋体"/>
                <w:i w:val="0"/>
                <w:iCs w:val="0"/>
                <w:color w:val="000000"/>
                <w:kern w:val="0"/>
                <w:sz w:val="20"/>
                <w:szCs w:val="20"/>
                <w:u w:val="none"/>
                <w:lang w:val="en-US" w:eastAsia="zh-CN" w:bidi="ar"/>
              </w:rPr>
            </w:pPr>
          </w:p>
        </w:tc>
      </w:tr>
      <w:tr w14:paraId="0BDE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continue"/>
            <w:shd w:val="clear" w:color="auto" w:fill="auto"/>
            <w:noWrap/>
            <w:vAlign w:val="center"/>
          </w:tcPr>
          <w:p w14:paraId="7C08B711">
            <w:pPr>
              <w:jc w:val="center"/>
              <w:rPr>
                <w:rFonts w:hint="default" w:ascii="宋体" w:hAnsi="宋体" w:eastAsia="宋体" w:cs="宋体"/>
                <w:i w:val="0"/>
                <w:iCs w:val="0"/>
                <w:color w:val="000000"/>
                <w:kern w:val="0"/>
                <w:sz w:val="20"/>
                <w:szCs w:val="20"/>
                <w:u w:val="none"/>
                <w:lang w:val="en-US" w:eastAsia="zh-CN" w:bidi="ar"/>
              </w:rPr>
            </w:pPr>
          </w:p>
        </w:tc>
        <w:tc>
          <w:tcPr>
            <w:tcW w:w="748" w:type="dxa"/>
            <w:vMerge w:val="continue"/>
            <w:shd w:val="clear" w:color="auto" w:fill="auto"/>
            <w:vAlign w:val="center"/>
          </w:tcPr>
          <w:p w14:paraId="304F2211">
            <w:pPr>
              <w:rPr>
                <w:rFonts w:hint="eastAsia" w:ascii="宋体" w:hAnsi="宋体" w:eastAsia="宋体" w:cs="宋体"/>
                <w:i w:val="0"/>
                <w:iCs w:val="0"/>
                <w:color w:val="000000"/>
                <w:kern w:val="0"/>
                <w:sz w:val="20"/>
                <w:szCs w:val="20"/>
                <w:u w:val="none"/>
                <w:lang w:val="en-US" w:eastAsia="zh-CN" w:bidi="ar"/>
              </w:rPr>
            </w:pPr>
          </w:p>
        </w:tc>
        <w:tc>
          <w:tcPr>
            <w:tcW w:w="1005" w:type="dxa"/>
            <w:vMerge w:val="continue"/>
            <w:shd w:val="clear" w:color="auto" w:fill="auto"/>
            <w:vAlign w:val="center"/>
          </w:tcPr>
          <w:p w14:paraId="76E0BB13">
            <w:pPr>
              <w:jc w:val="center"/>
              <w:rPr>
                <w:rFonts w:hint="eastAsia" w:ascii="宋体" w:hAnsi="宋体" w:eastAsia="宋体" w:cs="宋体"/>
                <w:i w:val="0"/>
                <w:iCs w:val="0"/>
                <w:color w:val="000000"/>
                <w:sz w:val="20"/>
                <w:szCs w:val="20"/>
                <w:u w:val="none"/>
              </w:rPr>
            </w:pPr>
          </w:p>
        </w:tc>
        <w:tc>
          <w:tcPr>
            <w:tcW w:w="1059" w:type="dxa"/>
            <w:vMerge w:val="continue"/>
            <w:shd w:val="clear" w:color="auto" w:fill="auto"/>
            <w:noWrap/>
            <w:vAlign w:val="center"/>
          </w:tcPr>
          <w:p w14:paraId="2270CD22">
            <w:pPr>
              <w:jc w:val="center"/>
              <w:rPr>
                <w:rFonts w:hint="eastAsia" w:ascii="宋体" w:hAnsi="宋体" w:eastAsia="宋体" w:cs="宋体"/>
                <w:i w:val="0"/>
                <w:iCs w:val="0"/>
                <w:color w:val="000000"/>
                <w:sz w:val="20"/>
                <w:szCs w:val="20"/>
                <w:u w:val="none"/>
              </w:rPr>
            </w:pPr>
          </w:p>
        </w:tc>
        <w:tc>
          <w:tcPr>
            <w:tcW w:w="2010" w:type="dxa"/>
            <w:shd w:val="clear" w:color="auto" w:fill="auto"/>
            <w:noWrap/>
            <w:vAlign w:val="center"/>
          </w:tcPr>
          <w:p w14:paraId="0F8C0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HBWUH-32G-D011</w:t>
            </w:r>
          </w:p>
        </w:tc>
        <w:tc>
          <w:tcPr>
            <w:tcW w:w="825" w:type="dxa"/>
            <w:shd w:val="clear" w:color="auto" w:fill="auto"/>
            <w:noWrap/>
            <w:vAlign w:val="center"/>
          </w:tcPr>
          <w:p w14:paraId="32385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6D1A9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6.05mx2.5mx4面</w:t>
            </w:r>
          </w:p>
        </w:tc>
        <w:tc>
          <w:tcPr>
            <w:tcW w:w="1090" w:type="dxa"/>
            <w:vMerge w:val="continue"/>
            <w:shd w:val="clear" w:color="auto" w:fill="auto"/>
            <w:vAlign w:val="center"/>
          </w:tcPr>
          <w:p w14:paraId="711F5774">
            <w:pPr>
              <w:jc w:val="center"/>
              <w:rPr>
                <w:rFonts w:hint="eastAsia" w:ascii="宋体" w:hAnsi="宋体" w:eastAsia="宋体" w:cs="宋体"/>
                <w:i w:val="0"/>
                <w:iCs w:val="0"/>
                <w:color w:val="000000"/>
                <w:kern w:val="0"/>
                <w:sz w:val="20"/>
                <w:szCs w:val="20"/>
                <w:u w:val="none"/>
                <w:lang w:val="en-US" w:eastAsia="zh-CN" w:bidi="ar"/>
              </w:rPr>
            </w:pPr>
          </w:p>
        </w:tc>
      </w:tr>
      <w:tr w14:paraId="68C7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continue"/>
            <w:shd w:val="clear" w:color="auto" w:fill="auto"/>
            <w:noWrap/>
            <w:vAlign w:val="center"/>
          </w:tcPr>
          <w:p w14:paraId="3B3DA026">
            <w:pPr>
              <w:jc w:val="center"/>
              <w:rPr>
                <w:rFonts w:hint="default" w:ascii="宋体" w:hAnsi="宋体" w:eastAsia="宋体" w:cs="宋体"/>
                <w:i w:val="0"/>
                <w:iCs w:val="0"/>
                <w:color w:val="000000"/>
                <w:kern w:val="0"/>
                <w:sz w:val="20"/>
                <w:szCs w:val="20"/>
                <w:u w:val="none"/>
                <w:lang w:val="en-US" w:eastAsia="zh-CN" w:bidi="ar"/>
              </w:rPr>
            </w:pPr>
          </w:p>
        </w:tc>
        <w:tc>
          <w:tcPr>
            <w:tcW w:w="748" w:type="dxa"/>
            <w:vMerge w:val="continue"/>
            <w:shd w:val="clear" w:color="auto" w:fill="auto"/>
            <w:vAlign w:val="center"/>
          </w:tcPr>
          <w:p w14:paraId="39984230">
            <w:pPr>
              <w:rPr>
                <w:rFonts w:hint="eastAsia" w:ascii="宋体" w:hAnsi="宋体" w:eastAsia="宋体" w:cs="宋体"/>
                <w:i w:val="0"/>
                <w:iCs w:val="0"/>
                <w:color w:val="000000"/>
                <w:kern w:val="0"/>
                <w:sz w:val="20"/>
                <w:szCs w:val="20"/>
                <w:u w:val="none"/>
                <w:lang w:val="en-US" w:eastAsia="zh-CN" w:bidi="ar"/>
              </w:rPr>
            </w:pPr>
          </w:p>
        </w:tc>
        <w:tc>
          <w:tcPr>
            <w:tcW w:w="1005" w:type="dxa"/>
            <w:vMerge w:val="continue"/>
            <w:shd w:val="clear" w:color="auto" w:fill="auto"/>
            <w:vAlign w:val="center"/>
          </w:tcPr>
          <w:p w14:paraId="26CCC0FB">
            <w:pPr>
              <w:jc w:val="center"/>
              <w:rPr>
                <w:rFonts w:hint="eastAsia" w:ascii="宋体" w:hAnsi="宋体" w:eastAsia="宋体" w:cs="宋体"/>
                <w:i w:val="0"/>
                <w:iCs w:val="0"/>
                <w:color w:val="000000"/>
                <w:sz w:val="20"/>
                <w:szCs w:val="20"/>
                <w:u w:val="none"/>
              </w:rPr>
            </w:pPr>
          </w:p>
        </w:tc>
        <w:tc>
          <w:tcPr>
            <w:tcW w:w="1059" w:type="dxa"/>
            <w:vMerge w:val="continue"/>
            <w:shd w:val="clear" w:color="auto" w:fill="auto"/>
            <w:noWrap/>
            <w:vAlign w:val="center"/>
          </w:tcPr>
          <w:p w14:paraId="3F688E35">
            <w:pPr>
              <w:jc w:val="center"/>
              <w:rPr>
                <w:rFonts w:hint="eastAsia" w:ascii="宋体" w:hAnsi="宋体" w:eastAsia="宋体" w:cs="宋体"/>
                <w:i w:val="0"/>
                <w:iCs w:val="0"/>
                <w:color w:val="000000"/>
                <w:sz w:val="20"/>
                <w:szCs w:val="20"/>
                <w:u w:val="none"/>
              </w:rPr>
            </w:pPr>
          </w:p>
        </w:tc>
        <w:tc>
          <w:tcPr>
            <w:tcW w:w="2010" w:type="dxa"/>
            <w:shd w:val="clear" w:color="auto" w:fill="auto"/>
            <w:noWrap/>
            <w:vAlign w:val="center"/>
          </w:tcPr>
          <w:p w14:paraId="64355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HBWUH-32G-D01</w:t>
            </w:r>
            <w:r>
              <w:rPr>
                <w:rFonts w:hint="eastAsia" w:ascii="宋体" w:hAnsi="宋体" w:cs="宋体"/>
                <w:i w:val="0"/>
                <w:iCs w:val="0"/>
                <w:color w:val="000000"/>
                <w:kern w:val="0"/>
                <w:sz w:val="24"/>
                <w:szCs w:val="24"/>
                <w:u w:val="none"/>
                <w:lang w:val="en-US" w:eastAsia="zh-CN" w:bidi="ar"/>
              </w:rPr>
              <w:t>3</w:t>
            </w:r>
          </w:p>
        </w:tc>
        <w:tc>
          <w:tcPr>
            <w:tcW w:w="825" w:type="dxa"/>
            <w:shd w:val="clear" w:color="auto" w:fill="auto"/>
            <w:noWrap/>
            <w:vAlign w:val="center"/>
          </w:tcPr>
          <w:p w14:paraId="089A9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57EB7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6.05mx2.5mx4面</w:t>
            </w:r>
          </w:p>
        </w:tc>
        <w:tc>
          <w:tcPr>
            <w:tcW w:w="1090" w:type="dxa"/>
            <w:vMerge w:val="continue"/>
            <w:shd w:val="clear" w:color="auto" w:fill="auto"/>
            <w:vAlign w:val="center"/>
          </w:tcPr>
          <w:p w14:paraId="7D189B3E">
            <w:pPr>
              <w:jc w:val="center"/>
              <w:rPr>
                <w:rFonts w:hint="eastAsia" w:ascii="宋体" w:hAnsi="宋体" w:eastAsia="宋体" w:cs="宋体"/>
                <w:i w:val="0"/>
                <w:iCs w:val="0"/>
                <w:color w:val="000000"/>
                <w:kern w:val="0"/>
                <w:sz w:val="20"/>
                <w:szCs w:val="20"/>
                <w:u w:val="none"/>
                <w:lang w:val="en-US" w:eastAsia="zh-CN" w:bidi="ar"/>
              </w:rPr>
            </w:pPr>
          </w:p>
        </w:tc>
      </w:tr>
      <w:tr w14:paraId="23D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restart"/>
            <w:shd w:val="clear" w:color="auto" w:fill="auto"/>
            <w:noWrap/>
            <w:vAlign w:val="center"/>
          </w:tcPr>
          <w:p w14:paraId="3404B8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48" w:type="dxa"/>
            <w:vMerge w:val="restart"/>
            <w:shd w:val="clear" w:color="auto" w:fill="auto"/>
            <w:vAlign w:val="center"/>
          </w:tcPr>
          <w:p w14:paraId="18B308CC">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T3航站楼二层</w:t>
            </w:r>
          </w:p>
        </w:tc>
        <w:tc>
          <w:tcPr>
            <w:tcW w:w="1005" w:type="dxa"/>
            <w:vMerge w:val="restart"/>
            <w:shd w:val="clear" w:color="auto" w:fill="auto"/>
            <w:vAlign w:val="center"/>
          </w:tcPr>
          <w:p w14:paraId="185DE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A/B国内到达通廊</w:t>
            </w:r>
          </w:p>
        </w:tc>
        <w:tc>
          <w:tcPr>
            <w:tcW w:w="1059" w:type="dxa"/>
            <w:vMerge w:val="restart"/>
            <w:shd w:val="clear" w:color="auto" w:fill="auto"/>
            <w:noWrap/>
            <w:vAlign w:val="center"/>
          </w:tcPr>
          <w:p w14:paraId="652655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墙面灯箱</w:t>
            </w:r>
          </w:p>
        </w:tc>
        <w:tc>
          <w:tcPr>
            <w:tcW w:w="2010" w:type="dxa"/>
            <w:shd w:val="clear" w:color="auto" w:fill="auto"/>
            <w:noWrap/>
            <w:vAlign w:val="center"/>
          </w:tcPr>
          <w:p w14:paraId="7DC2F4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HBWUH-32N-D008</w:t>
            </w:r>
          </w:p>
        </w:tc>
        <w:tc>
          <w:tcPr>
            <w:tcW w:w="825" w:type="dxa"/>
            <w:shd w:val="clear" w:color="auto" w:fill="auto"/>
            <w:noWrap/>
            <w:vAlign w:val="center"/>
          </w:tcPr>
          <w:p w14:paraId="74804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590" w:type="dxa"/>
            <w:shd w:val="clear" w:color="auto" w:fill="auto"/>
            <w:noWrap/>
            <w:vAlign w:val="center"/>
          </w:tcPr>
          <w:p w14:paraId="28454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2.95mX7.63m</w:t>
            </w:r>
          </w:p>
        </w:tc>
        <w:tc>
          <w:tcPr>
            <w:tcW w:w="1090" w:type="dxa"/>
            <w:vMerge w:val="continue"/>
            <w:shd w:val="clear" w:color="auto" w:fill="auto"/>
            <w:vAlign w:val="center"/>
          </w:tcPr>
          <w:p w14:paraId="7383FA23">
            <w:pPr>
              <w:jc w:val="center"/>
              <w:rPr>
                <w:rFonts w:hint="eastAsia" w:ascii="宋体" w:hAnsi="宋体" w:eastAsia="宋体" w:cs="宋体"/>
                <w:i w:val="0"/>
                <w:iCs w:val="0"/>
                <w:color w:val="000000"/>
                <w:kern w:val="0"/>
                <w:sz w:val="20"/>
                <w:szCs w:val="20"/>
                <w:u w:val="none"/>
                <w:lang w:val="en-US" w:eastAsia="zh-CN" w:bidi="ar"/>
              </w:rPr>
            </w:pPr>
          </w:p>
        </w:tc>
      </w:tr>
      <w:tr w14:paraId="1C24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585" w:type="dxa"/>
            <w:vMerge w:val="continue"/>
            <w:shd w:val="clear" w:color="auto" w:fill="auto"/>
            <w:noWrap/>
            <w:vAlign w:val="center"/>
          </w:tcPr>
          <w:p w14:paraId="305CAA1F">
            <w:pPr>
              <w:jc w:val="center"/>
              <w:rPr>
                <w:rFonts w:hint="default" w:ascii="宋体" w:hAnsi="宋体" w:eastAsia="宋体" w:cs="宋体"/>
                <w:i w:val="0"/>
                <w:iCs w:val="0"/>
                <w:color w:val="auto"/>
                <w:sz w:val="20"/>
                <w:szCs w:val="20"/>
                <w:u w:val="none"/>
                <w:lang w:val="en-US"/>
              </w:rPr>
            </w:pPr>
          </w:p>
        </w:tc>
        <w:tc>
          <w:tcPr>
            <w:tcW w:w="748" w:type="dxa"/>
            <w:vMerge w:val="continue"/>
            <w:shd w:val="clear" w:color="auto" w:fill="auto"/>
            <w:vAlign w:val="center"/>
          </w:tcPr>
          <w:p w14:paraId="6C119D9C">
            <w:pPr>
              <w:rPr>
                <w:rFonts w:hint="default" w:ascii="宋体" w:hAnsi="宋体" w:eastAsia="宋体" w:cs="宋体"/>
                <w:i w:val="0"/>
                <w:iCs w:val="0"/>
                <w:color w:val="000000"/>
                <w:sz w:val="20"/>
                <w:szCs w:val="20"/>
                <w:u w:val="none"/>
                <w:lang w:val="en-US" w:eastAsia="zh-CN"/>
              </w:rPr>
            </w:pPr>
          </w:p>
        </w:tc>
        <w:tc>
          <w:tcPr>
            <w:tcW w:w="1005" w:type="dxa"/>
            <w:vMerge w:val="continue"/>
            <w:shd w:val="clear" w:color="auto" w:fill="auto"/>
            <w:vAlign w:val="center"/>
          </w:tcPr>
          <w:p w14:paraId="2C92A198">
            <w:pPr>
              <w:jc w:val="center"/>
              <w:rPr>
                <w:rFonts w:hint="eastAsia" w:ascii="宋体" w:hAnsi="宋体" w:eastAsia="宋体" w:cs="宋体"/>
                <w:i w:val="0"/>
                <w:iCs w:val="0"/>
                <w:color w:val="000000"/>
                <w:sz w:val="20"/>
                <w:szCs w:val="20"/>
                <w:u w:val="none"/>
                <w:lang w:val="en-US" w:eastAsia="zh-CN"/>
              </w:rPr>
            </w:pPr>
          </w:p>
        </w:tc>
        <w:tc>
          <w:tcPr>
            <w:tcW w:w="1059" w:type="dxa"/>
            <w:vMerge w:val="continue"/>
            <w:shd w:val="clear" w:color="auto" w:fill="auto"/>
            <w:noWrap/>
            <w:vAlign w:val="center"/>
          </w:tcPr>
          <w:p w14:paraId="65346988">
            <w:pPr>
              <w:jc w:val="center"/>
              <w:rPr>
                <w:rFonts w:hint="eastAsia" w:ascii="宋体" w:hAnsi="宋体" w:eastAsia="宋体" w:cs="宋体"/>
                <w:i w:val="0"/>
                <w:iCs w:val="0"/>
                <w:color w:val="000000"/>
                <w:kern w:val="0"/>
                <w:sz w:val="20"/>
                <w:szCs w:val="20"/>
                <w:u w:val="none"/>
                <w:lang w:val="en-US" w:eastAsia="zh-CN" w:bidi="ar"/>
              </w:rPr>
            </w:pPr>
          </w:p>
        </w:tc>
        <w:tc>
          <w:tcPr>
            <w:tcW w:w="2010" w:type="dxa"/>
            <w:shd w:val="clear" w:color="auto" w:fill="auto"/>
            <w:noWrap/>
            <w:vAlign w:val="center"/>
          </w:tcPr>
          <w:p w14:paraId="2F3E4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HBWUH-32N-D011</w:t>
            </w:r>
          </w:p>
        </w:tc>
        <w:tc>
          <w:tcPr>
            <w:tcW w:w="825" w:type="dxa"/>
            <w:shd w:val="clear" w:color="auto" w:fill="auto"/>
            <w:vAlign w:val="center"/>
          </w:tcPr>
          <w:p w14:paraId="231AE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vAlign w:val="center"/>
          </w:tcPr>
          <w:p w14:paraId="04C406C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2.95mX7.63m</w:t>
            </w:r>
          </w:p>
        </w:tc>
        <w:tc>
          <w:tcPr>
            <w:tcW w:w="1090" w:type="dxa"/>
            <w:vMerge w:val="continue"/>
            <w:shd w:val="clear" w:color="auto" w:fill="auto"/>
            <w:vAlign w:val="center"/>
          </w:tcPr>
          <w:p w14:paraId="2523340C">
            <w:pPr>
              <w:jc w:val="center"/>
              <w:rPr>
                <w:rFonts w:hint="eastAsia" w:ascii="宋体" w:hAnsi="宋体" w:eastAsia="宋体" w:cs="宋体"/>
                <w:i w:val="0"/>
                <w:iCs w:val="0"/>
                <w:color w:val="000000"/>
                <w:sz w:val="20"/>
                <w:szCs w:val="20"/>
                <w:u w:val="none"/>
              </w:rPr>
            </w:pPr>
          </w:p>
        </w:tc>
      </w:tr>
      <w:tr w14:paraId="204E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restart"/>
            <w:shd w:val="clear" w:color="auto" w:fill="auto"/>
            <w:noWrap/>
            <w:vAlign w:val="center"/>
          </w:tcPr>
          <w:p w14:paraId="2C5854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2"/>
                <w:szCs w:val="22"/>
                <w:u w:val="none"/>
                <w:lang w:val="en-US" w:eastAsia="zh-CN" w:bidi="ar"/>
              </w:rPr>
              <w:t>3</w:t>
            </w:r>
          </w:p>
        </w:tc>
        <w:tc>
          <w:tcPr>
            <w:tcW w:w="748" w:type="dxa"/>
            <w:vMerge w:val="restart"/>
            <w:shd w:val="clear" w:color="auto" w:fill="auto"/>
            <w:vAlign w:val="center"/>
          </w:tcPr>
          <w:p w14:paraId="1F70A9C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T3航站楼四层</w:t>
            </w:r>
          </w:p>
        </w:tc>
        <w:tc>
          <w:tcPr>
            <w:tcW w:w="1005" w:type="dxa"/>
            <w:vMerge w:val="restart"/>
            <w:shd w:val="clear" w:color="auto" w:fill="auto"/>
            <w:vAlign w:val="center"/>
          </w:tcPr>
          <w:p w14:paraId="37B6B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A/B四层国内出发安检后方</w:t>
            </w:r>
          </w:p>
        </w:tc>
        <w:tc>
          <w:tcPr>
            <w:tcW w:w="1059" w:type="dxa"/>
            <w:vMerge w:val="restart"/>
            <w:shd w:val="clear" w:color="auto" w:fill="auto"/>
            <w:noWrap/>
            <w:vAlign w:val="center"/>
          </w:tcPr>
          <w:p w14:paraId="53167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站立式灯箱</w:t>
            </w:r>
          </w:p>
        </w:tc>
        <w:tc>
          <w:tcPr>
            <w:tcW w:w="2010" w:type="dxa"/>
            <w:shd w:val="clear" w:color="auto" w:fill="auto"/>
            <w:noWrap/>
            <w:vAlign w:val="center"/>
          </w:tcPr>
          <w:p w14:paraId="4D25C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HBWUH-34N-D005</w:t>
            </w:r>
          </w:p>
        </w:tc>
        <w:tc>
          <w:tcPr>
            <w:tcW w:w="825" w:type="dxa"/>
            <w:shd w:val="clear" w:color="auto" w:fill="auto"/>
            <w:noWrap/>
            <w:vAlign w:val="center"/>
          </w:tcPr>
          <w:p w14:paraId="6FD1B3F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4E4C3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3.49mX15.14m</w:t>
            </w:r>
          </w:p>
        </w:tc>
        <w:tc>
          <w:tcPr>
            <w:tcW w:w="1090" w:type="dxa"/>
            <w:vMerge w:val="continue"/>
            <w:shd w:val="clear" w:color="auto" w:fill="auto"/>
            <w:vAlign w:val="center"/>
          </w:tcPr>
          <w:p w14:paraId="66F2E351">
            <w:pPr>
              <w:jc w:val="center"/>
              <w:rPr>
                <w:rFonts w:hint="eastAsia" w:ascii="宋体" w:hAnsi="宋体" w:eastAsia="宋体" w:cs="宋体"/>
                <w:i w:val="0"/>
                <w:iCs w:val="0"/>
                <w:color w:val="000000"/>
                <w:sz w:val="20"/>
                <w:szCs w:val="20"/>
                <w:u w:val="none"/>
              </w:rPr>
            </w:pPr>
          </w:p>
        </w:tc>
      </w:tr>
      <w:tr w14:paraId="2F19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continue"/>
            <w:shd w:val="clear" w:color="auto" w:fill="auto"/>
            <w:noWrap/>
            <w:vAlign w:val="center"/>
          </w:tcPr>
          <w:p w14:paraId="56AFA98D">
            <w:pPr>
              <w:jc w:val="center"/>
              <w:rPr>
                <w:rFonts w:hint="eastAsia" w:ascii="宋体" w:hAnsi="宋体" w:eastAsia="宋体" w:cs="宋体"/>
                <w:i w:val="0"/>
                <w:iCs w:val="0"/>
                <w:color w:val="auto"/>
                <w:sz w:val="20"/>
                <w:szCs w:val="20"/>
                <w:highlight w:val="none"/>
                <w:u w:val="none"/>
              </w:rPr>
            </w:pPr>
          </w:p>
        </w:tc>
        <w:tc>
          <w:tcPr>
            <w:tcW w:w="748" w:type="dxa"/>
            <w:vMerge w:val="continue"/>
            <w:shd w:val="clear" w:color="auto" w:fill="auto"/>
            <w:vAlign w:val="center"/>
          </w:tcPr>
          <w:p w14:paraId="2255E5DF">
            <w:pPr>
              <w:jc w:val="center"/>
              <w:rPr>
                <w:rFonts w:hint="eastAsia" w:ascii="宋体" w:hAnsi="宋体" w:eastAsia="宋体" w:cs="宋体"/>
                <w:i w:val="0"/>
                <w:iCs w:val="0"/>
                <w:color w:val="000000"/>
                <w:sz w:val="20"/>
                <w:szCs w:val="20"/>
                <w:u w:val="none"/>
              </w:rPr>
            </w:pPr>
          </w:p>
        </w:tc>
        <w:tc>
          <w:tcPr>
            <w:tcW w:w="1005" w:type="dxa"/>
            <w:vMerge w:val="continue"/>
            <w:shd w:val="clear" w:color="auto" w:fill="auto"/>
            <w:vAlign w:val="center"/>
          </w:tcPr>
          <w:p w14:paraId="74BA3334">
            <w:pPr>
              <w:jc w:val="center"/>
              <w:rPr>
                <w:rFonts w:hint="eastAsia" w:ascii="宋体" w:hAnsi="宋体" w:eastAsia="宋体" w:cs="宋体"/>
                <w:i w:val="0"/>
                <w:iCs w:val="0"/>
                <w:color w:val="000000"/>
                <w:sz w:val="20"/>
                <w:szCs w:val="20"/>
                <w:u w:val="none"/>
                <w:lang w:val="en-US" w:eastAsia="zh-CN"/>
              </w:rPr>
            </w:pPr>
          </w:p>
        </w:tc>
        <w:tc>
          <w:tcPr>
            <w:tcW w:w="1059" w:type="dxa"/>
            <w:vMerge w:val="continue"/>
            <w:shd w:val="clear" w:color="auto" w:fill="auto"/>
            <w:noWrap/>
            <w:vAlign w:val="center"/>
          </w:tcPr>
          <w:p w14:paraId="458C43E2">
            <w:pPr>
              <w:jc w:val="center"/>
              <w:rPr>
                <w:rFonts w:hint="default" w:ascii="宋体" w:hAnsi="宋体" w:eastAsia="宋体" w:cs="宋体"/>
                <w:i w:val="0"/>
                <w:iCs w:val="0"/>
                <w:color w:val="000000"/>
                <w:sz w:val="20"/>
                <w:szCs w:val="20"/>
                <w:u w:val="none"/>
                <w:lang w:val="en-US"/>
              </w:rPr>
            </w:pPr>
          </w:p>
        </w:tc>
        <w:tc>
          <w:tcPr>
            <w:tcW w:w="2010" w:type="dxa"/>
            <w:shd w:val="clear" w:color="auto" w:fill="auto"/>
            <w:noWrap/>
            <w:vAlign w:val="center"/>
          </w:tcPr>
          <w:p w14:paraId="46161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HBWUH-34N-D006</w:t>
            </w:r>
          </w:p>
        </w:tc>
        <w:tc>
          <w:tcPr>
            <w:tcW w:w="825" w:type="dxa"/>
            <w:shd w:val="clear" w:color="auto" w:fill="auto"/>
            <w:noWrap/>
            <w:vAlign w:val="center"/>
          </w:tcPr>
          <w:p w14:paraId="0EB5D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219D4B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3.49mX15.14m</w:t>
            </w:r>
          </w:p>
        </w:tc>
        <w:tc>
          <w:tcPr>
            <w:tcW w:w="1090" w:type="dxa"/>
            <w:vMerge w:val="continue"/>
            <w:shd w:val="clear" w:color="auto" w:fill="auto"/>
            <w:vAlign w:val="center"/>
          </w:tcPr>
          <w:p w14:paraId="63B1F4F7">
            <w:pPr>
              <w:jc w:val="center"/>
              <w:rPr>
                <w:rFonts w:hint="eastAsia" w:ascii="宋体" w:hAnsi="宋体" w:eastAsia="宋体" w:cs="宋体"/>
                <w:i w:val="0"/>
                <w:iCs w:val="0"/>
                <w:color w:val="000000"/>
                <w:sz w:val="20"/>
                <w:szCs w:val="20"/>
                <w:u w:val="none"/>
              </w:rPr>
            </w:pPr>
          </w:p>
        </w:tc>
      </w:tr>
      <w:tr w14:paraId="5BCC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restart"/>
            <w:shd w:val="clear" w:color="auto" w:fill="auto"/>
            <w:noWrap/>
            <w:vAlign w:val="center"/>
          </w:tcPr>
          <w:p w14:paraId="4BFB06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748" w:type="dxa"/>
            <w:vMerge w:val="restart"/>
            <w:shd w:val="clear" w:color="auto" w:fill="auto"/>
            <w:vAlign w:val="center"/>
          </w:tcPr>
          <w:p w14:paraId="5402D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T3航站楼四层</w:t>
            </w:r>
          </w:p>
        </w:tc>
        <w:tc>
          <w:tcPr>
            <w:tcW w:w="1005" w:type="dxa"/>
            <w:vMerge w:val="restart"/>
            <w:shd w:val="clear" w:color="auto" w:fill="auto"/>
            <w:vAlign w:val="center"/>
          </w:tcPr>
          <w:p w14:paraId="16AC070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A/B四层国内出发安检后方</w:t>
            </w:r>
          </w:p>
        </w:tc>
        <w:tc>
          <w:tcPr>
            <w:tcW w:w="1059" w:type="dxa"/>
            <w:vMerge w:val="restart"/>
            <w:shd w:val="clear" w:color="auto" w:fill="auto"/>
            <w:noWrap/>
            <w:vAlign w:val="center"/>
          </w:tcPr>
          <w:p w14:paraId="62DC0F5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吊旗灯箱</w:t>
            </w:r>
          </w:p>
        </w:tc>
        <w:tc>
          <w:tcPr>
            <w:tcW w:w="2010" w:type="dxa"/>
            <w:shd w:val="clear" w:color="auto" w:fill="auto"/>
            <w:noWrap/>
            <w:vAlign w:val="center"/>
          </w:tcPr>
          <w:p w14:paraId="4DBF5F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HBWUH-34N-D007</w:t>
            </w:r>
          </w:p>
        </w:tc>
        <w:tc>
          <w:tcPr>
            <w:tcW w:w="825" w:type="dxa"/>
            <w:shd w:val="clear" w:color="auto" w:fill="auto"/>
            <w:noWrap/>
            <w:vAlign w:val="center"/>
          </w:tcPr>
          <w:p w14:paraId="49E7E3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06621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5mX10mX2面</w:t>
            </w:r>
          </w:p>
        </w:tc>
        <w:tc>
          <w:tcPr>
            <w:tcW w:w="1090" w:type="dxa"/>
            <w:vMerge w:val="continue"/>
            <w:shd w:val="clear" w:color="auto" w:fill="auto"/>
            <w:vAlign w:val="center"/>
          </w:tcPr>
          <w:p w14:paraId="5707B0D2">
            <w:pPr>
              <w:jc w:val="center"/>
              <w:rPr>
                <w:rFonts w:hint="eastAsia" w:ascii="宋体" w:hAnsi="宋体" w:eastAsia="宋体" w:cs="宋体"/>
                <w:i w:val="0"/>
                <w:iCs w:val="0"/>
                <w:color w:val="000000"/>
                <w:sz w:val="20"/>
                <w:szCs w:val="20"/>
                <w:u w:val="none"/>
              </w:rPr>
            </w:pPr>
          </w:p>
        </w:tc>
      </w:tr>
      <w:tr w14:paraId="08E6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85" w:type="dxa"/>
            <w:vMerge w:val="continue"/>
            <w:shd w:val="clear" w:color="auto" w:fill="auto"/>
            <w:noWrap/>
            <w:vAlign w:val="center"/>
          </w:tcPr>
          <w:p w14:paraId="3F5A4108">
            <w:pPr>
              <w:jc w:val="center"/>
              <w:rPr>
                <w:rFonts w:hint="eastAsia" w:ascii="宋体" w:hAnsi="宋体" w:eastAsia="宋体" w:cs="宋体"/>
                <w:i w:val="0"/>
                <w:iCs w:val="0"/>
                <w:color w:val="auto"/>
                <w:sz w:val="20"/>
                <w:szCs w:val="20"/>
                <w:highlight w:val="none"/>
                <w:u w:val="none"/>
              </w:rPr>
            </w:pPr>
          </w:p>
        </w:tc>
        <w:tc>
          <w:tcPr>
            <w:tcW w:w="748" w:type="dxa"/>
            <w:vMerge w:val="continue"/>
            <w:shd w:val="clear" w:color="auto" w:fill="auto"/>
            <w:vAlign w:val="center"/>
          </w:tcPr>
          <w:p w14:paraId="00FAA1C4">
            <w:pPr>
              <w:jc w:val="center"/>
              <w:rPr>
                <w:rFonts w:hint="eastAsia" w:ascii="宋体" w:hAnsi="宋体" w:eastAsia="宋体" w:cs="宋体"/>
                <w:i w:val="0"/>
                <w:iCs w:val="0"/>
                <w:color w:val="000000"/>
                <w:sz w:val="20"/>
                <w:szCs w:val="20"/>
                <w:u w:val="none"/>
              </w:rPr>
            </w:pPr>
          </w:p>
        </w:tc>
        <w:tc>
          <w:tcPr>
            <w:tcW w:w="1005" w:type="dxa"/>
            <w:vMerge w:val="continue"/>
            <w:shd w:val="clear" w:color="auto" w:fill="auto"/>
            <w:vAlign w:val="center"/>
          </w:tcPr>
          <w:p w14:paraId="59EEC344">
            <w:pPr>
              <w:jc w:val="center"/>
              <w:rPr>
                <w:rFonts w:hint="eastAsia" w:ascii="宋体" w:hAnsi="宋体" w:eastAsia="宋体" w:cs="宋体"/>
                <w:i w:val="0"/>
                <w:iCs w:val="0"/>
                <w:color w:val="000000"/>
                <w:sz w:val="20"/>
                <w:szCs w:val="20"/>
                <w:u w:val="none"/>
                <w:lang w:val="en-US" w:eastAsia="zh-CN"/>
              </w:rPr>
            </w:pPr>
          </w:p>
        </w:tc>
        <w:tc>
          <w:tcPr>
            <w:tcW w:w="1059" w:type="dxa"/>
            <w:vMerge w:val="continue"/>
            <w:shd w:val="clear" w:color="auto" w:fill="auto"/>
            <w:noWrap/>
            <w:vAlign w:val="center"/>
          </w:tcPr>
          <w:p w14:paraId="415A8357">
            <w:pPr>
              <w:jc w:val="center"/>
              <w:rPr>
                <w:rFonts w:hint="default" w:ascii="宋体" w:hAnsi="宋体" w:eastAsia="宋体" w:cs="宋体"/>
                <w:i w:val="0"/>
                <w:iCs w:val="0"/>
                <w:color w:val="000000"/>
                <w:sz w:val="20"/>
                <w:szCs w:val="20"/>
                <w:u w:val="none"/>
                <w:lang w:val="en-US"/>
              </w:rPr>
            </w:pPr>
          </w:p>
        </w:tc>
        <w:tc>
          <w:tcPr>
            <w:tcW w:w="2010" w:type="dxa"/>
            <w:shd w:val="clear" w:color="auto" w:fill="auto"/>
            <w:noWrap/>
            <w:vAlign w:val="center"/>
          </w:tcPr>
          <w:p w14:paraId="53928E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HBWUH-34N-D008</w:t>
            </w:r>
          </w:p>
        </w:tc>
        <w:tc>
          <w:tcPr>
            <w:tcW w:w="825" w:type="dxa"/>
            <w:shd w:val="clear" w:color="auto" w:fill="auto"/>
            <w:noWrap/>
            <w:vAlign w:val="center"/>
          </w:tcPr>
          <w:p w14:paraId="04E1AA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00E90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5mX10mX2面</w:t>
            </w:r>
          </w:p>
        </w:tc>
        <w:tc>
          <w:tcPr>
            <w:tcW w:w="1090" w:type="dxa"/>
            <w:vMerge w:val="continue"/>
            <w:shd w:val="clear" w:color="auto" w:fill="auto"/>
            <w:vAlign w:val="center"/>
          </w:tcPr>
          <w:p w14:paraId="64B7960E">
            <w:pPr>
              <w:jc w:val="center"/>
              <w:rPr>
                <w:rFonts w:hint="eastAsia" w:ascii="宋体" w:hAnsi="宋体" w:eastAsia="宋体" w:cs="宋体"/>
                <w:i w:val="0"/>
                <w:iCs w:val="0"/>
                <w:color w:val="000000"/>
                <w:sz w:val="20"/>
                <w:szCs w:val="20"/>
                <w:u w:val="none"/>
              </w:rPr>
            </w:pPr>
          </w:p>
        </w:tc>
      </w:tr>
    </w:tbl>
    <w:p w14:paraId="54B5BF3D">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标段一：媒体形式为无边框拉布包柱灯箱，编号为：HBWUH-32G-D009/D010/D011/D013，媒体位于T3航站楼迎客厅6-8号门，媒体数量为4个。</w:t>
      </w:r>
    </w:p>
    <w:p w14:paraId="091302AF">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标段二：媒体形式为墙面灯箱媒体，编号为：HBWUH-32N-D008/D011，媒体位于二层A/B国内到达通廊，媒体数量为2个。</w:t>
      </w:r>
    </w:p>
    <w:p w14:paraId="7AE0F3AA">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标段三：媒体形式为站立式灯箱，编号为：HBWUH-34N-D005/D006，媒体位于四层出发A/B安检后方，媒体数量为2个。</w:t>
      </w:r>
    </w:p>
    <w:p w14:paraId="73C5A98C">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val="en-US" w:eastAsia="zh-CN"/>
        </w:rPr>
        <w:t>标段四：媒体形式为吊旗灯箱，编号为：HBWUH-34N-D007/D008，媒体位于四层出发A/B安检后方，媒体数量为2个。</w:t>
      </w:r>
    </w:p>
    <w:p w14:paraId="57F478C3">
      <w:pPr>
        <w:spacing w:line="360" w:lineRule="auto"/>
        <w:ind w:firstLine="420" w:firstLineChars="200"/>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标段一至三为现有媒体改造，标段四为新建媒体。</w:t>
      </w:r>
    </w:p>
    <w:p w14:paraId="09D232BD">
      <w:pPr>
        <w:spacing w:line="360" w:lineRule="auto"/>
        <w:ind w:firstLine="420" w:firstLineChars="200"/>
        <w:rPr>
          <w:rFonts w:hint="eastAsia" w:ascii="Times New Roman" w:hAnsi="宋体" w:cs="Times New Roman"/>
          <w:b/>
          <w:szCs w:val="21"/>
          <w:highlight w:val="none"/>
          <w:u w:val="single"/>
        </w:rPr>
      </w:pPr>
      <w:r>
        <w:rPr>
          <w:rFonts w:hint="eastAsia" w:ascii="宋体" w:hAnsi="宋体" w:cs="宋体"/>
          <w:bCs/>
          <w:szCs w:val="21"/>
          <w:highlight w:val="none"/>
        </w:rPr>
        <w:t>5.</w:t>
      </w:r>
      <w:r>
        <w:rPr>
          <w:rFonts w:hint="eastAsia" w:ascii="宋体" w:hAnsi="宋体" w:cs="宋体"/>
          <w:szCs w:val="21"/>
          <w:highlight w:val="none"/>
        </w:rPr>
        <w:t>资金来源：</w:t>
      </w:r>
      <w:r>
        <w:rPr>
          <w:rFonts w:hint="eastAsia" w:ascii="Times New Roman" w:hAnsi="宋体" w:cs="Times New Roman"/>
          <w:b/>
          <w:szCs w:val="21"/>
          <w:highlight w:val="none"/>
          <w:u w:val="single"/>
        </w:rPr>
        <w:t>招商响应人自筹</w:t>
      </w:r>
      <w:r>
        <w:rPr>
          <w:rFonts w:hint="eastAsia" w:ascii="Times New Roman" w:hAnsi="宋体" w:cs="Times New Roman"/>
          <w:b/>
          <w:szCs w:val="21"/>
          <w:highlight w:val="none"/>
        </w:rPr>
        <w:t>。</w:t>
      </w:r>
    </w:p>
    <w:p w14:paraId="77302022">
      <w:pPr>
        <w:spacing w:line="360" w:lineRule="auto"/>
        <w:outlineLvl w:val="1"/>
        <w:rPr>
          <w:rFonts w:hint="eastAsia" w:ascii="Times New Roman" w:hAnsi="宋体" w:cs="Times New Roman"/>
          <w:b/>
          <w:szCs w:val="21"/>
          <w:highlight w:val="none"/>
          <w:u w:val="single"/>
        </w:rPr>
      </w:pPr>
      <w:bookmarkStart w:id="4" w:name="_Toc23791"/>
      <w:r>
        <w:rPr>
          <w:rFonts w:hint="eastAsia" w:ascii="Times New Roman" w:hAnsi="宋体" w:cs="Times New Roman"/>
          <w:b/>
          <w:szCs w:val="21"/>
          <w:highlight w:val="none"/>
        </w:rPr>
        <w:t>二、合同经营期限及其他商务条款</w:t>
      </w:r>
      <w:bookmarkEnd w:id="4"/>
    </w:p>
    <w:p w14:paraId="53FEECE6">
      <w:pPr>
        <w:keepNext w:val="0"/>
        <w:keepLines w:val="0"/>
        <w:pageBreakBefore w:val="0"/>
        <w:widowControl/>
        <w:tabs>
          <w:tab w:val="left" w:pos="42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lang w:bidi="ar"/>
        </w:rPr>
      </w:pPr>
      <w:bookmarkStart w:id="5" w:name="_Toc458503196"/>
      <w:bookmarkStart w:id="6" w:name="_Toc17887"/>
      <w:bookmarkStart w:id="7" w:name="_Toc26049"/>
      <w:bookmarkStart w:id="8" w:name="_Toc27593"/>
      <w:bookmarkStart w:id="9" w:name="_Toc24811"/>
      <w:bookmarkStart w:id="10" w:name="_Toc25557"/>
      <w:r>
        <w:rPr>
          <w:rFonts w:hint="eastAsia" w:ascii="宋体" w:hAnsi="宋体" w:cs="宋体"/>
          <w:szCs w:val="21"/>
          <w:highlight w:val="none"/>
          <w:lang w:val="en-US" w:eastAsia="zh-CN" w:bidi="ar"/>
        </w:rPr>
        <w:t>1.</w:t>
      </w:r>
      <w:r>
        <w:rPr>
          <w:rFonts w:hint="eastAsia" w:ascii="宋体" w:hAnsi="宋体" w:cs="宋体"/>
          <w:szCs w:val="21"/>
          <w:highlight w:val="none"/>
          <w:lang w:bidi="ar"/>
        </w:rPr>
        <w:t>标段一至四由招商中标人出资建设，并承担广告媒体的建设责任和全部费用。媒体经营期均为12个月（含）-36个月（含），参与招商公司仅需对第一年广告费进行报价，每年广告费较上一年递增3%。</w:t>
      </w:r>
    </w:p>
    <w:p w14:paraId="4F3D20E6">
      <w:pPr>
        <w:pStyle w:val="3"/>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default" w:eastAsia="宋体"/>
          <w:lang w:val="en-US" w:eastAsia="zh-CN"/>
        </w:rPr>
      </w:pPr>
      <w:r>
        <w:rPr>
          <w:rFonts w:hint="eastAsia" w:ascii="宋体" w:hAnsi="宋体" w:cs="宋体"/>
          <w:szCs w:val="21"/>
          <w:highlight w:val="none"/>
          <w:lang w:val="en-US" w:eastAsia="zh-CN" w:bidi="ar"/>
        </w:rPr>
        <w:t>2.媒体建设期：标段一、标段四媒体建设期为60个日历日、标段二媒体建设期为30个日历日、标段三媒体建设期为45天。</w:t>
      </w:r>
    </w:p>
    <w:p w14:paraId="3104D34B">
      <w:pPr>
        <w:autoSpaceDE w:val="0"/>
        <w:autoSpaceDN w:val="0"/>
        <w:spacing w:line="360" w:lineRule="auto"/>
        <w:ind w:left="632" w:hanging="632" w:hangingChars="300"/>
        <w:outlineLvl w:val="1"/>
        <w:rPr>
          <w:rFonts w:hint="eastAsia" w:ascii="宋体" w:hAnsi="宋体" w:cs="宋体"/>
          <w:b/>
          <w:bCs/>
          <w:kern w:val="0"/>
          <w:szCs w:val="21"/>
          <w:highlight w:val="none"/>
        </w:rPr>
      </w:pPr>
      <w:r>
        <w:rPr>
          <w:rFonts w:hint="eastAsia" w:ascii="宋体" w:hAnsi="宋体" w:cs="宋体"/>
          <w:b/>
          <w:bCs/>
          <w:kern w:val="0"/>
          <w:szCs w:val="21"/>
          <w:highlight w:val="none"/>
        </w:rPr>
        <w:t>三、响应资格及要求：</w:t>
      </w:r>
      <w:bookmarkEnd w:id="5"/>
      <w:bookmarkEnd w:id="6"/>
      <w:bookmarkEnd w:id="7"/>
      <w:bookmarkEnd w:id="8"/>
      <w:bookmarkEnd w:id="9"/>
      <w:bookmarkEnd w:id="10"/>
      <w:bookmarkStart w:id="11" w:name="_Toc19838"/>
    </w:p>
    <w:p w14:paraId="0BAAEF9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1.招商响应人须具备市场监督管理部门核发的有效营业执照，具有独立法人资格；</w:t>
      </w:r>
    </w:p>
    <w:p w14:paraId="0AB2230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2.招商响应人须具有健全的财务会计制度；</w:t>
      </w:r>
    </w:p>
    <w:p w14:paraId="6212A3D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3.招商响应人未被“信用中国”网站（</w:t>
      </w:r>
      <w:r>
        <w:rPr>
          <w:rFonts w:ascii="Times New Roman" w:hAnsi="Times New Roman" w:cs="Times New Roman"/>
          <w:szCs w:val="21"/>
          <w:highlight w:val="none"/>
          <w:lang w:bidi="ar"/>
        </w:rPr>
        <w:t>www.creditchina.gov.cn</w:t>
      </w:r>
      <w:r>
        <w:rPr>
          <w:rFonts w:hint="eastAsia" w:ascii="宋体" w:hAnsi="宋体" w:cs="宋体"/>
          <w:szCs w:val="21"/>
          <w:highlight w:val="none"/>
          <w:lang w:bidi="ar"/>
        </w:rPr>
        <w:t>）或者“中国执行信息公开网”（</w:t>
      </w:r>
      <w:r>
        <w:rPr>
          <w:rFonts w:ascii="Times New Roman" w:hAnsi="Times New Roman" w:cs="Times New Roman"/>
          <w:szCs w:val="21"/>
          <w:highlight w:val="none"/>
          <w:lang w:bidi="ar"/>
        </w:rPr>
        <w:t>zxgk.court.gov.cn</w:t>
      </w:r>
      <w:r>
        <w:rPr>
          <w:rFonts w:hint="eastAsia" w:ascii="宋体" w:hAnsi="宋体" w:cs="宋体"/>
          <w:szCs w:val="21"/>
          <w:highlight w:val="none"/>
          <w:lang w:bidi="ar"/>
        </w:rPr>
        <w:t>）列入失信被执行人名单，以公告发布之后的查询结果为准；</w:t>
      </w:r>
    </w:p>
    <w:p w14:paraId="68B38138">
      <w:pPr>
        <w:spacing w:line="360" w:lineRule="auto"/>
        <w:ind w:firstLine="420" w:firstLineChars="200"/>
        <w:rPr>
          <w:rFonts w:hint="eastAsia" w:ascii="宋体" w:hAnsi="宋体" w:cs="宋体"/>
          <w:szCs w:val="21"/>
          <w:highlight w:val="none"/>
          <w:lang w:val="en-US" w:eastAsia="zh-CN" w:bidi="ar"/>
        </w:rPr>
      </w:pPr>
      <w:bookmarkStart w:id="12" w:name="_Toc4001"/>
      <w:r>
        <w:rPr>
          <w:rFonts w:hint="eastAsia" w:ascii="宋体" w:hAnsi="宋体" w:cs="宋体"/>
          <w:szCs w:val="21"/>
          <w:highlight w:val="none"/>
          <w:lang w:val="en-US" w:eastAsia="zh-CN" w:bidi="ar"/>
        </w:rPr>
        <w:t>4.截至招商公告发布日前两个年度（24个月）内，在经营活动中未发现以商业贿赂等不正当竞争手段取得经营权的记录；无违法记录，无商标侵权行为，无虚假广告行为，无不正当竞争行为。</w:t>
      </w:r>
    </w:p>
    <w:p w14:paraId="76D45DBD">
      <w:pPr>
        <w:spacing w:line="360" w:lineRule="auto"/>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5.与湖北空港首广联合传媒有限公司的合作中，截至2025年12月31日，欠款统计口径不存在2025年计提欠款的情况。</w:t>
      </w:r>
    </w:p>
    <w:p w14:paraId="49DD8DC5">
      <w:pPr>
        <w:spacing w:line="360" w:lineRule="auto"/>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6.招商响应人截至招商公告发布之日，与招商方不存在未结诉讼、仲裁案件，或未执行完毕的生效法律文书。</w:t>
      </w:r>
    </w:p>
    <w:p w14:paraId="57512A89">
      <w:pPr>
        <w:spacing w:line="360" w:lineRule="auto"/>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7.截至2026年5月31日，与招商方的合作中不存在2026年计提欠款的情况。</w:t>
      </w:r>
    </w:p>
    <w:bookmarkEnd w:id="12"/>
    <w:p w14:paraId="499563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bidi="ar"/>
        </w:rPr>
        <w:t>8</w:t>
      </w:r>
      <w:r>
        <w:rPr>
          <w:rFonts w:hint="eastAsia" w:ascii="宋体" w:hAnsi="宋体" w:cs="宋体"/>
          <w:szCs w:val="21"/>
          <w:highlight w:val="none"/>
          <w:lang w:bidi="ar"/>
        </w:rPr>
        <w:t>.招商响应人须针对《湖北机场集团“供应商不良行为”管理暂行办法》在响应文件中做出承诺，格式详见响应文件格式；</w:t>
      </w:r>
    </w:p>
    <w:p w14:paraId="7A39FA3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9</w:t>
      </w:r>
      <w:r>
        <w:rPr>
          <w:rFonts w:hint="eastAsia" w:ascii="宋体" w:hAnsi="宋体" w:cs="宋体"/>
          <w:szCs w:val="21"/>
          <w:highlight w:val="none"/>
          <w:lang w:bidi="ar"/>
        </w:rPr>
        <w:t>.单位负责人为同一人或者存在直接控股、管理关系的不同招商响应人，不得参加本项目同一合同项下的招商。</w:t>
      </w:r>
    </w:p>
    <w:p w14:paraId="6FE77F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bidi="ar"/>
        </w:rPr>
        <w:t>10</w:t>
      </w:r>
      <w:r>
        <w:rPr>
          <w:rFonts w:hint="eastAsia" w:ascii="宋体" w:hAnsi="宋体" w:cs="宋体"/>
          <w:szCs w:val="21"/>
          <w:highlight w:val="none"/>
          <w:lang w:bidi="ar"/>
        </w:rPr>
        <w:t>.本次招商不接受联合体响应。</w:t>
      </w:r>
    </w:p>
    <w:p w14:paraId="5ED4E670">
      <w:pPr>
        <w:tabs>
          <w:tab w:val="left" w:pos="540"/>
          <w:tab w:val="left" w:pos="840"/>
        </w:tabs>
        <w:spacing w:line="360" w:lineRule="auto"/>
        <w:outlineLvl w:val="1"/>
        <w:rPr>
          <w:rFonts w:hint="eastAsia" w:ascii="宋体" w:hAnsi="宋体" w:cs="宋体"/>
          <w:b/>
          <w:szCs w:val="21"/>
          <w:highlight w:val="none"/>
        </w:rPr>
      </w:pPr>
      <w:bookmarkStart w:id="13" w:name="_Toc22528"/>
      <w:r>
        <w:rPr>
          <w:rFonts w:hint="eastAsia" w:ascii="宋体" w:hAnsi="宋体" w:cs="宋体"/>
          <w:b/>
          <w:szCs w:val="21"/>
          <w:highlight w:val="none"/>
        </w:rPr>
        <w:t>四、招商文件的获取</w:t>
      </w:r>
      <w:bookmarkEnd w:id="11"/>
      <w:bookmarkEnd w:id="13"/>
    </w:p>
    <w:p w14:paraId="67BF2522">
      <w:pPr>
        <w:tabs>
          <w:tab w:val="left" w:pos="540"/>
          <w:tab w:val="left" w:pos="840"/>
        </w:tabs>
        <w:wordWrap w:val="0"/>
        <w:overflowPunct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ascii="Times New Roman" w:hAnsi="Times New Roman" w:cs="Times New Roman"/>
          <w:szCs w:val="21"/>
          <w:highlight w:val="none"/>
        </w:rPr>
        <w:t>拟参加本项目的</w:t>
      </w:r>
      <w:r>
        <w:rPr>
          <w:rFonts w:hint="eastAsia" w:ascii="Times New Roman" w:hAnsi="Times New Roman" w:eastAsia="宋体" w:cs="Times New Roman"/>
          <w:szCs w:val="21"/>
          <w:highlight w:val="none"/>
          <w:lang w:eastAsia="zh-CN"/>
        </w:rPr>
        <w:t>响应人</w:t>
      </w:r>
      <w:r>
        <w:rPr>
          <w:rFonts w:ascii="Times New Roman" w:hAnsi="Times New Roman" w:cs="Times New Roman"/>
          <w:szCs w:val="21"/>
          <w:highlight w:val="none"/>
        </w:rPr>
        <w:t>须在阳光招采电子交易平台免费注册（网址：</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"https://www.yangguangzhaocai.com" </w:instrText>
      </w:r>
      <w:r>
        <w:rPr>
          <w:rFonts w:ascii="Times New Roman" w:hAnsi="Times New Roman" w:cs="Times New Roman"/>
          <w:highlight w:val="none"/>
        </w:rPr>
        <w:fldChar w:fldCharType="separate"/>
      </w:r>
      <w:r>
        <w:rPr>
          <w:rStyle w:val="6"/>
          <w:rFonts w:ascii="Times New Roman" w:hAnsi="Times New Roman" w:cs="Times New Roman"/>
          <w:color w:val="auto"/>
          <w:szCs w:val="21"/>
          <w:highlight w:val="none"/>
        </w:rPr>
        <w:t>https://www.yangguangzhaocai.com</w:t>
      </w:r>
      <w:r>
        <w:rPr>
          <w:rStyle w:val="6"/>
          <w:rFonts w:ascii="Times New Roman" w:hAnsi="Times New Roman" w:cs="Times New Roman"/>
          <w:color w:val="auto"/>
          <w:szCs w:val="21"/>
          <w:highlight w:val="none"/>
        </w:rPr>
        <w:fldChar w:fldCharType="end"/>
      </w:r>
      <w:r>
        <w:rPr>
          <w:rFonts w:hint="eastAsia" w:ascii="宋体" w:hAnsi="宋体" w:cs="宋体"/>
          <w:szCs w:val="21"/>
          <w:highlight w:val="none"/>
        </w:rPr>
        <w:t>---【新用户注册】，相关操作帮助详见：帮助中心--- 投标人注册操作指南）；</w:t>
      </w:r>
    </w:p>
    <w:p w14:paraId="5C0167E9">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Times New Roman"/>
          <w:szCs w:val="21"/>
          <w:highlight w:val="none"/>
          <w:lang w:val="zh-CN"/>
        </w:rPr>
        <w:t>注册完成后，请于</w:t>
      </w:r>
      <w:r>
        <w:rPr>
          <w:rFonts w:hint="eastAsia" w:cs="Times New Roman"/>
          <w:b/>
          <w:bCs/>
          <w:szCs w:val="21"/>
          <w:highlight w:val="none"/>
          <w:u w:val="single"/>
          <w:lang w:val="en-US" w:eastAsia="zh-CN"/>
        </w:rPr>
        <w:t>即日起</w:t>
      </w:r>
      <w:r>
        <w:rPr>
          <w:rFonts w:hint="eastAsia" w:ascii="宋体" w:hAnsi="宋体" w:cs="Times New Roman"/>
          <w:szCs w:val="21"/>
          <w:highlight w:val="none"/>
          <w:lang w:val="zh-CN"/>
        </w:rPr>
        <w:t>至</w:t>
      </w:r>
      <w:r>
        <w:rPr>
          <w:rFonts w:ascii="Times New Roman" w:hAnsi="Times New Roman" w:cs="Times New Roman"/>
          <w:b/>
          <w:bCs/>
          <w:szCs w:val="21"/>
          <w:highlight w:val="none"/>
          <w:u w:val="single"/>
        </w:rPr>
        <w:t>202</w:t>
      </w:r>
      <w:r>
        <w:rPr>
          <w:rFonts w:hint="eastAsia" w:cs="Times New Roman"/>
          <w:b/>
          <w:bCs/>
          <w:szCs w:val="21"/>
          <w:highlight w:val="none"/>
          <w:u w:val="single"/>
          <w:lang w:val="en-US" w:eastAsia="zh-CN"/>
        </w:rPr>
        <w:t>6</w:t>
      </w:r>
      <w:r>
        <w:rPr>
          <w:rFonts w:hint="eastAsia" w:ascii="宋体" w:hAnsi="宋体" w:cs="Times New Roman"/>
          <w:szCs w:val="21"/>
          <w:highlight w:val="none"/>
          <w:lang w:val="zh-CN"/>
        </w:rPr>
        <w:t>年</w:t>
      </w:r>
      <w:r>
        <w:rPr>
          <w:rFonts w:hint="eastAsia" w:cs="Times New Roman"/>
          <w:b/>
          <w:bCs/>
          <w:szCs w:val="21"/>
          <w:highlight w:val="none"/>
          <w:u w:val="single"/>
          <w:lang w:val="en-US" w:eastAsia="zh-CN"/>
        </w:rPr>
        <w:t>06</w:t>
      </w:r>
      <w:r>
        <w:rPr>
          <w:rFonts w:hint="eastAsia" w:ascii="宋体" w:hAnsi="宋体" w:cs="Times New Roman"/>
          <w:szCs w:val="21"/>
          <w:highlight w:val="none"/>
          <w:lang w:val="zh-CN"/>
        </w:rPr>
        <w:t>月</w:t>
      </w:r>
      <w:r>
        <w:rPr>
          <w:rFonts w:hint="eastAsia" w:ascii="宋体" w:hAnsi="宋体" w:cs="Times New Roman"/>
          <w:b/>
          <w:bCs/>
          <w:szCs w:val="21"/>
          <w:highlight w:val="none"/>
          <w:u w:val="single"/>
          <w:lang w:val="en-US" w:eastAsia="zh-CN"/>
        </w:rPr>
        <w:t>18</w:t>
      </w:r>
      <w:r>
        <w:rPr>
          <w:rFonts w:hint="eastAsia" w:ascii="宋体" w:hAnsi="宋体" w:cs="Times New Roman"/>
          <w:szCs w:val="21"/>
          <w:highlight w:val="none"/>
          <w:lang w:val="zh-CN"/>
        </w:rPr>
        <w:t>日</w:t>
      </w:r>
      <w:r>
        <w:rPr>
          <w:rFonts w:ascii="Times New Roman" w:hAnsi="Times New Roman" w:cs="Times New Roman"/>
          <w:b/>
          <w:bCs/>
          <w:szCs w:val="21"/>
          <w:highlight w:val="none"/>
          <w:u w:val="single"/>
        </w:rPr>
        <w:t>17</w:t>
      </w:r>
      <w:r>
        <w:rPr>
          <w:rFonts w:ascii="Times New Roman" w:hAnsi="Times New Roman" w:cs="Times New Roman"/>
          <w:b/>
          <w:bCs/>
          <w:szCs w:val="21"/>
          <w:highlight w:val="none"/>
          <w:u w:val="single"/>
          <w:lang w:val="zh-CN"/>
        </w:rPr>
        <w:t>:00</w:t>
      </w:r>
      <w:r>
        <w:rPr>
          <w:rFonts w:hint="eastAsia" w:ascii="宋体" w:hAnsi="宋体" w:cs="Times New Roman"/>
          <w:szCs w:val="21"/>
          <w:highlight w:val="none"/>
          <w:lang w:val="zh-CN"/>
        </w:rPr>
        <w:t>时止（北京时间）登录电子交易平台，点击【投标人】，在【公告信息】</w:t>
      </w:r>
      <w:r>
        <w:rPr>
          <w:rFonts w:hint="eastAsia" w:ascii="宋体" w:hAnsi="宋体" w:cs="Times New Roman"/>
          <w:szCs w:val="21"/>
          <w:highlight w:val="none"/>
        </w:rPr>
        <w:t>---</w:t>
      </w:r>
      <w:r>
        <w:rPr>
          <w:rFonts w:hint="eastAsia" w:ascii="宋体" w:hAnsi="宋体" w:cs="Times New Roman"/>
          <w:szCs w:val="21"/>
          <w:highlight w:val="none"/>
          <w:lang w:val="zh-CN"/>
        </w:rPr>
        <w:t>【采购公告】栏下载拟投标段采购文件（拟投多标段的，应按标段分别下载</w:t>
      </w:r>
      <w:r>
        <w:rPr>
          <w:rFonts w:hint="eastAsia" w:ascii="宋体" w:hAnsi="宋体" w:cs="Times New Roman"/>
          <w:color w:val="000000"/>
          <w:szCs w:val="21"/>
          <w:highlight w:val="none"/>
          <w:lang w:val="zh-CN"/>
        </w:rPr>
        <w:t>），</w:t>
      </w:r>
      <w:r>
        <w:rPr>
          <w:rFonts w:hint="eastAsia" w:ascii="宋体" w:hAnsi="宋体" w:cs="Times New Roman"/>
          <w:color w:val="000000"/>
          <w:szCs w:val="21"/>
          <w:highlight w:val="none"/>
        </w:rPr>
        <w:t>本</w:t>
      </w:r>
      <w:r>
        <w:rPr>
          <w:rFonts w:hint="eastAsia" w:ascii="宋体" w:hAnsi="宋体" w:cs="Times New Roman"/>
          <w:color w:val="000000"/>
          <w:szCs w:val="21"/>
          <w:highlight w:val="none"/>
          <w:lang w:val="zh-CN"/>
        </w:rPr>
        <w:t>招标文件标书费用金额</w:t>
      </w:r>
      <w:r>
        <w:rPr>
          <w:rFonts w:hint="eastAsia" w:ascii="宋体" w:hAnsi="宋体" w:cs="Times New Roman"/>
          <w:color w:val="000000"/>
          <w:szCs w:val="21"/>
          <w:highlight w:val="none"/>
          <w:u w:val="single"/>
        </w:rPr>
        <w:t>500</w:t>
      </w:r>
      <w:r>
        <w:rPr>
          <w:rFonts w:hint="eastAsia" w:ascii="宋体" w:hAnsi="宋体" w:cs="Times New Roman"/>
          <w:color w:val="000000"/>
          <w:szCs w:val="21"/>
          <w:highlight w:val="none"/>
          <w:lang w:val="zh-CN"/>
        </w:rPr>
        <w:t>元/份，售后不退。</w:t>
      </w:r>
      <w:r>
        <w:rPr>
          <w:rFonts w:hint="eastAsia" w:ascii="宋体" w:hAnsi="宋体" w:cs="Times New Roman"/>
          <w:color w:val="000000"/>
          <w:szCs w:val="21"/>
          <w:highlight w:val="none"/>
        </w:rPr>
        <w:t>联合体参与响应的，由牵头人注册</w:t>
      </w:r>
      <w:r>
        <w:rPr>
          <w:rFonts w:ascii="宋体" w:hAnsi="宋体" w:cs="Times New Roman"/>
          <w:color w:val="000000"/>
          <w:szCs w:val="21"/>
          <w:highlight w:val="none"/>
        </w:rPr>
        <w:t>及</w:t>
      </w:r>
      <w:r>
        <w:rPr>
          <w:rFonts w:hint="eastAsia" w:ascii="宋体" w:hAnsi="宋体" w:cs="Times New Roman"/>
          <w:color w:val="000000"/>
          <w:szCs w:val="21"/>
          <w:highlight w:val="none"/>
        </w:rPr>
        <w:t>下载采购文件</w:t>
      </w:r>
      <w:bookmarkStart w:id="27" w:name="_GoBack"/>
      <w:bookmarkEnd w:id="27"/>
      <w:r>
        <w:rPr>
          <w:rFonts w:hint="eastAsia" w:ascii="宋体" w:hAnsi="宋体" w:cs="Times New Roman"/>
          <w:color w:val="000000"/>
          <w:szCs w:val="21"/>
          <w:highlight w:val="none"/>
        </w:rPr>
        <w:t>。</w:t>
      </w:r>
      <w:r>
        <w:rPr>
          <w:rFonts w:hint="eastAsia" w:ascii="宋体" w:hAnsi="宋体" w:cs="Times New Roman"/>
          <w:color w:val="000000"/>
          <w:szCs w:val="21"/>
          <w:highlight w:val="none"/>
          <w:lang w:val="zh-CN"/>
        </w:rPr>
        <w:t>未按规定获取采购文件的，其响应文件将被拒绝</w:t>
      </w:r>
      <w:r>
        <w:rPr>
          <w:rFonts w:hint="eastAsia" w:ascii="宋体" w:hAnsi="宋体" w:cs="宋体"/>
          <w:szCs w:val="21"/>
          <w:highlight w:val="none"/>
        </w:rPr>
        <w:t>；</w:t>
      </w:r>
    </w:p>
    <w:p w14:paraId="3F9F3C3C">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Times New Roman"/>
          <w:b/>
          <w:bCs/>
          <w:szCs w:val="21"/>
          <w:highlight w:val="none"/>
          <w:lang w:val="zh-CN"/>
        </w:rPr>
        <w:t>本项目非全流程电子标</w:t>
      </w:r>
      <w:r>
        <w:rPr>
          <w:rFonts w:hint="eastAsia" w:ascii="宋体" w:hAnsi="宋体" w:cs="Times New Roman"/>
          <w:szCs w:val="21"/>
          <w:highlight w:val="none"/>
          <w:lang w:val="zh-CN"/>
        </w:rPr>
        <w:t>，供应商人无须办理CA数字证书</w:t>
      </w:r>
      <w:r>
        <w:rPr>
          <w:rFonts w:hint="eastAsia" w:ascii="宋体" w:hAnsi="宋体" w:cs="宋体"/>
          <w:szCs w:val="21"/>
          <w:highlight w:val="none"/>
        </w:rPr>
        <w:t>；</w:t>
      </w:r>
    </w:p>
    <w:p w14:paraId="7EC12F48">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4.在电子交易平台遇到的各类操作问题（登录、注册、文件下载、标书制作等问题），请拨打技术支持电话010-21362559（工作日:08:00～18:00；节假日:09:00～12:00，14:00～18:00)。</w:t>
      </w:r>
    </w:p>
    <w:p w14:paraId="593F0411">
      <w:pPr>
        <w:tabs>
          <w:tab w:val="left" w:pos="540"/>
          <w:tab w:val="left" w:pos="840"/>
        </w:tabs>
        <w:spacing w:line="360" w:lineRule="auto"/>
        <w:ind w:firstLine="422" w:firstLineChars="200"/>
        <w:jc w:val="left"/>
        <w:rPr>
          <w:rFonts w:hint="eastAsia" w:ascii="宋体" w:hAnsi="宋体" w:cs="宋体"/>
          <w:szCs w:val="21"/>
          <w:highlight w:val="none"/>
        </w:rPr>
      </w:pPr>
      <w:r>
        <w:rPr>
          <w:rFonts w:hint="eastAsia" w:ascii="宋体" w:hAnsi="宋体" w:cs="宋体"/>
          <w:b/>
          <w:bCs/>
          <w:szCs w:val="21"/>
          <w:highlight w:val="none"/>
        </w:rPr>
        <w:t>注：</w:t>
      </w:r>
      <w:r>
        <w:rPr>
          <w:rFonts w:hint="eastAsia" w:ascii="宋体" w:hAnsi="宋体" w:cs="宋体"/>
          <w:szCs w:val="21"/>
          <w:highlight w:val="none"/>
        </w:rPr>
        <w:t>多标段项目响应人可对本次招商各标段进行选择性投标响应，也可同时投标响应；但评标时将以标段为单位进行独立评审，分别确定成交候选人。响应人若同时投多个标段，则须分别编制响应文件、分别报价。</w:t>
      </w:r>
    </w:p>
    <w:p w14:paraId="4AC5AF8D">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4" w:name="_Toc18519"/>
      <w:r>
        <w:rPr>
          <w:rFonts w:hint="eastAsia" w:ascii="宋体" w:hAnsi="宋体" w:cs="宋体"/>
          <w:b/>
          <w:bCs/>
          <w:szCs w:val="32"/>
          <w:highlight w:val="none"/>
        </w:rPr>
        <w:t>五、递交响应文件的截止时间及招商时间</w:t>
      </w:r>
      <w:bookmarkEnd w:id="14"/>
    </w:p>
    <w:p w14:paraId="144D1D7B">
      <w:pPr>
        <w:autoSpaceDE w:val="0"/>
        <w:autoSpaceDN w:val="0"/>
        <w:adjustRightInd w:val="0"/>
        <w:spacing w:line="360" w:lineRule="auto"/>
        <w:ind w:left="631" w:leftChars="200" w:hanging="211" w:hangingChars="100"/>
        <w:rPr>
          <w:rFonts w:hint="eastAsia" w:ascii="宋体" w:hAnsi="宋体" w:cs="宋体"/>
          <w:szCs w:val="21"/>
          <w:highlight w:val="none"/>
        </w:rPr>
      </w:pPr>
      <w:r>
        <w:rPr>
          <w:rFonts w:hint="eastAsia" w:ascii="Times New Roman" w:hAnsi="宋体" w:cs="Times New Roman"/>
          <w:b/>
          <w:szCs w:val="21"/>
          <w:highlight w:val="none"/>
          <w:u w:val="single"/>
        </w:rPr>
        <w:t>202</w:t>
      </w:r>
      <w:r>
        <w:rPr>
          <w:rFonts w:hint="eastAsia" w:hAnsi="宋体" w:cs="Times New Roman"/>
          <w:b/>
          <w:szCs w:val="21"/>
          <w:highlight w:val="none"/>
          <w:u w:val="single"/>
          <w:lang w:val="en-US" w:eastAsia="zh-CN"/>
        </w:rPr>
        <w:t>6</w:t>
      </w:r>
      <w:r>
        <w:rPr>
          <w:rFonts w:hint="eastAsia" w:ascii="Times New Roman" w:hAnsi="宋体" w:cs="Times New Roman"/>
          <w:b/>
          <w:szCs w:val="21"/>
          <w:highlight w:val="none"/>
          <w:u w:val="single"/>
        </w:rPr>
        <w:t>年</w:t>
      </w:r>
      <w:r>
        <w:rPr>
          <w:rFonts w:hint="eastAsia" w:hAnsi="宋体" w:cs="Times New Roman"/>
          <w:b/>
          <w:szCs w:val="21"/>
          <w:highlight w:val="none"/>
          <w:u w:val="single"/>
          <w:lang w:val="en-US" w:eastAsia="zh-CN"/>
        </w:rPr>
        <w:t>06</w:t>
      </w:r>
      <w:r>
        <w:rPr>
          <w:rFonts w:hint="eastAsia" w:ascii="Times New Roman" w:hAnsi="宋体" w:cs="Times New Roman"/>
          <w:b/>
          <w:szCs w:val="21"/>
          <w:highlight w:val="none"/>
          <w:u w:val="single"/>
        </w:rPr>
        <w:t>月</w:t>
      </w:r>
      <w:r>
        <w:rPr>
          <w:rFonts w:hint="eastAsia" w:hAnsi="宋体" w:cs="Times New Roman"/>
          <w:b/>
          <w:szCs w:val="21"/>
          <w:highlight w:val="none"/>
          <w:u w:val="single"/>
          <w:lang w:val="en-US" w:eastAsia="zh-CN"/>
        </w:rPr>
        <w:t>22</w:t>
      </w:r>
      <w:r>
        <w:rPr>
          <w:rFonts w:hint="eastAsia" w:ascii="Times New Roman" w:hAnsi="宋体" w:cs="Times New Roman"/>
          <w:b/>
          <w:szCs w:val="21"/>
          <w:highlight w:val="none"/>
          <w:u w:val="single"/>
        </w:rPr>
        <w:t>日1</w:t>
      </w:r>
      <w:r>
        <w:rPr>
          <w:rFonts w:hint="eastAsia" w:hAnsi="宋体" w:cs="Times New Roman"/>
          <w:b/>
          <w:szCs w:val="21"/>
          <w:highlight w:val="none"/>
          <w:u w:val="single"/>
          <w:lang w:val="en-US" w:eastAsia="zh-CN"/>
        </w:rPr>
        <w:t>4</w:t>
      </w:r>
      <w:r>
        <w:rPr>
          <w:rFonts w:hint="eastAsia" w:ascii="Times New Roman" w:hAnsi="宋体" w:cs="Times New Roman"/>
          <w:b/>
          <w:szCs w:val="21"/>
          <w:highlight w:val="none"/>
          <w:u w:val="single"/>
        </w:rPr>
        <w:t>时</w:t>
      </w:r>
      <w:r>
        <w:rPr>
          <w:rFonts w:hint="eastAsia" w:hAnsi="宋体" w:cs="Times New Roman"/>
          <w:b/>
          <w:szCs w:val="21"/>
          <w:highlight w:val="none"/>
          <w:u w:val="single"/>
          <w:lang w:val="en-US" w:eastAsia="zh-CN"/>
        </w:rPr>
        <w:t>3</w:t>
      </w:r>
      <w:r>
        <w:rPr>
          <w:rFonts w:hint="eastAsia" w:ascii="Times New Roman" w:hAnsi="宋体" w:cs="Times New Roman"/>
          <w:b/>
          <w:szCs w:val="21"/>
          <w:highlight w:val="none"/>
          <w:u w:val="single"/>
        </w:rPr>
        <w:t>0分</w:t>
      </w:r>
      <w:r>
        <w:rPr>
          <w:rFonts w:hint="eastAsia" w:ascii="宋体" w:hAnsi="宋体" w:cs="宋体"/>
          <w:szCs w:val="21"/>
          <w:highlight w:val="none"/>
        </w:rPr>
        <w:t>（北京时间）。</w:t>
      </w:r>
    </w:p>
    <w:p w14:paraId="6819C6A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选用竞争性磋商方式，有效招商响应人不足三家的，经评审委员会商议一致后，对于符合招商文件要求，满足招商需求的，可继续采取两家比选或一家直接洽商方式进行评审。对于不满足招商需求的，经评审委员会确认后，可终止招商。</w:t>
      </w:r>
    </w:p>
    <w:p w14:paraId="70FD0FEF">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5" w:name="_Toc6777"/>
      <w:bookmarkStart w:id="16" w:name="_Toc259028696"/>
      <w:bookmarkStart w:id="17" w:name="_Toc259028276"/>
      <w:bookmarkStart w:id="18" w:name="_Toc11358"/>
      <w:bookmarkStart w:id="19" w:name="_Toc15832"/>
      <w:r>
        <w:rPr>
          <w:rFonts w:hint="eastAsia" w:ascii="宋体" w:hAnsi="宋体" w:cs="宋体"/>
          <w:b/>
          <w:bCs/>
          <w:szCs w:val="32"/>
          <w:highlight w:val="none"/>
        </w:rPr>
        <w:t>六、招商响应文件送达地点及招商地点</w:t>
      </w:r>
      <w:bookmarkEnd w:id="15"/>
      <w:bookmarkEnd w:id="16"/>
      <w:bookmarkEnd w:id="17"/>
      <w:bookmarkEnd w:id="18"/>
      <w:bookmarkEnd w:id="19"/>
    </w:p>
    <w:p w14:paraId="4EFBC062">
      <w:pPr>
        <w:spacing w:line="360" w:lineRule="auto"/>
        <w:ind w:firstLine="422" w:firstLineChars="200"/>
        <w:rPr>
          <w:rFonts w:hint="eastAsia" w:ascii="Times New Roman" w:hAnsi="宋体" w:cs="Times New Roman"/>
          <w:b/>
          <w:szCs w:val="21"/>
          <w:highlight w:val="none"/>
          <w:u w:val="single"/>
        </w:rPr>
      </w:pPr>
      <w:r>
        <w:rPr>
          <w:rFonts w:hint="eastAsia" w:ascii="Times New Roman" w:hAnsi="宋体" w:cs="Times New Roman"/>
          <w:b/>
          <w:szCs w:val="21"/>
          <w:highlight w:val="none"/>
          <w:u w:val="single"/>
        </w:rPr>
        <w:t>武汉天河机场综合保障楼</w:t>
      </w:r>
      <w:r>
        <w:rPr>
          <w:rFonts w:hint="eastAsia" w:hAnsi="宋体" w:cs="Times New Roman"/>
          <w:b/>
          <w:szCs w:val="21"/>
          <w:highlight w:val="none"/>
          <w:u w:val="single"/>
          <w:lang w:val="en-US" w:eastAsia="zh-CN"/>
        </w:rPr>
        <w:t>B606-1</w:t>
      </w:r>
      <w:r>
        <w:rPr>
          <w:rFonts w:hint="eastAsia" w:ascii="Times New Roman" w:hAnsi="宋体" w:cs="Times New Roman"/>
          <w:b/>
          <w:szCs w:val="21"/>
          <w:highlight w:val="none"/>
          <w:u w:val="single"/>
        </w:rPr>
        <w:t>。</w:t>
      </w:r>
    </w:p>
    <w:p w14:paraId="401A6B5B">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20" w:name="_Toc7227"/>
      <w:bookmarkStart w:id="21" w:name="_Toc8044"/>
      <w:bookmarkStart w:id="22" w:name="_Toc3790"/>
      <w:bookmarkStart w:id="23" w:name="_Toc25113"/>
      <w:bookmarkStart w:id="24" w:name="_Toc15722"/>
      <w:bookmarkStart w:id="25" w:name="_Toc12626"/>
      <w:r>
        <w:rPr>
          <w:rFonts w:hint="eastAsia" w:ascii="宋体" w:hAnsi="宋体" w:cs="宋体"/>
          <w:b/>
          <w:bCs/>
          <w:szCs w:val="32"/>
          <w:highlight w:val="none"/>
        </w:rPr>
        <w:t>七、联系方式</w:t>
      </w:r>
      <w:bookmarkEnd w:id="20"/>
      <w:bookmarkEnd w:id="21"/>
      <w:bookmarkEnd w:id="22"/>
      <w:bookmarkEnd w:id="23"/>
    </w:p>
    <w:p w14:paraId="4AE7A8C2">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招商人：</w:t>
      </w:r>
      <w:r>
        <w:rPr>
          <w:rFonts w:hint="eastAsia" w:asciiTheme="minorEastAsia" w:hAnsiTheme="minorEastAsia" w:eastAsiaTheme="minorEastAsia" w:cstheme="minorEastAsia"/>
          <w:b/>
          <w:szCs w:val="21"/>
          <w:highlight w:val="none"/>
          <w:u w:val="single"/>
        </w:rPr>
        <w:t>湖北空港首广联合传媒有限公司</w:t>
      </w:r>
      <w:r>
        <w:rPr>
          <w:rFonts w:hint="eastAsia" w:asciiTheme="minorEastAsia" w:hAnsiTheme="minorEastAsia" w:eastAsiaTheme="minorEastAsia" w:cstheme="minorEastAsia"/>
          <w:szCs w:val="21"/>
          <w:highlight w:val="none"/>
        </w:rPr>
        <w:t xml:space="preserve">   代理机构：</w:t>
      </w:r>
      <w:r>
        <w:rPr>
          <w:rFonts w:hint="eastAsia" w:asciiTheme="minorEastAsia" w:hAnsiTheme="minorEastAsia" w:eastAsiaTheme="minorEastAsia" w:cstheme="minorEastAsia"/>
          <w:b/>
          <w:szCs w:val="21"/>
          <w:highlight w:val="none"/>
          <w:u w:val="single"/>
        </w:rPr>
        <w:t>湖北国华项目管理咨询有限公司</w:t>
      </w:r>
    </w:p>
    <w:p w14:paraId="7FB8A603">
      <w:pPr>
        <w:spacing w:line="360" w:lineRule="auto"/>
        <w:ind w:left="4830" w:hanging="4830" w:hangingChars="2300"/>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武汉天河机场</w:t>
      </w:r>
      <w:r>
        <w:rPr>
          <w:rFonts w:hint="eastAsia" w:asciiTheme="minorEastAsia" w:hAnsiTheme="minorEastAsia" w:eastAsiaTheme="minorEastAsia" w:cstheme="minorEastAsia"/>
          <w:b/>
          <w:szCs w:val="21"/>
          <w:highlight w:val="none"/>
          <w:u w:val="single"/>
          <w:lang w:val="en-US" w:eastAsia="zh-CN"/>
        </w:rPr>
        <w:t>综合楼B607</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b/>
          <w:szCs w:val="21"/>
          <w:highlight w:val="none"/>
          <w:lang w:val="en-US" w:eastAsia="zh-CN"/>
        </w:rPr>
        <w:t xml:space="preserve"> </w:t>
      </w: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武昌区中北路109号中铁1818中心10楼</w:t>
      </w:r>
    </w:p>
    <w:p w14:paraId="3B041933">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    编：</w:t>
      </w:r>
      <w:r>
        <w:rPr>
          <w:rFonts w:hint="eastAsia" w:asciiTheme="minorEastAsia" w:hAnsiTheme="minorEastAsia" w:eastAsiaTheme="minorEastAsia" w:cstheme="minorEastAsia"/>
          <w:b/>
          <w:szCs w:val="21"/>
          <w:highlight w:val="none"/>
          <w:u w:val="single"/>
        </w:rPr>
        <w:t>430302</w:t>
      </w:r>
      <w:r>
        <w:rPr>
          <w:rFonts w:hint="eastAsia" w:asciiTheme="minorEastAsia" w:hAnsiTheme="minorEastAsia" w:eastAsiaTheme="minorEastAsia" w:cstheme="minorEastAsia"/>
          <w:szCs w:val="21"/>
          <w:highlight w:val="none"/>
        </w:rPr>
        <w:t xml:space="preserve">                       邮    编：</w:t>
      </w:r>
      <w:r>
        <w:rPr>
          <w:rFonts w:hint="eastAsia" w:asciiTheme="minorEastAsia" w:hAnsiTheme="minorEastAsia" w:eastAsiaTheme="minorEastAsia" w:cstheme="minorEastAsia"/>
          <w:b/>
          <w:szCs w:val="21"/>
          <w:highlight w:val="none"/>
          <w:u w:val="single"/>
        </w:rPr>
        <w:t>430071</w:t>
      </w:r>
    </w:p>
    <w:p w14:paraId="60EEAE7B">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b/>
          <w:szCs w:val="21"/>
          <w:highlight w:val="none"/>
          <w:u w:val="single"/>
          <w:lang w:val="en-US" w:eastAsia="zh-CN"/>
        </w:rPr>
        <w:t>王勇</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b/>
          <w:szCs w:val="21"/>
          <w:highlight w:val="none"/>
          <w:u w:val="single"/>
          <w:lang w:val="en-US" w:eastAsia="zh-CN"/>
        </w:rPr>
        <w:t>吴娅</w:t>
      </w:r>
      <w:r>
        <w:rPr>
          <w:rFonts w:hint="eastAsia" w:asciiTheme="minorEastAsia" w:hAnsiTheme="minorEastAsia" w:eastAsiaTheme="minorEastAsia" w:cstheme="minorEastAsia"/>
          <w:b/>
          <w:szCs w:val="21"/>
          <w:highlight w:val="none"/>
          <w:u w:val="single"/>
        </w:rPr>
        <w:t>、万齐威</w:t>
      </w:r>
      <w:r>
        <w:rPr>
          <w:rFonts w:hint="eastAsia" w:asciiTheme="minorEastAsia" w:hAnsiTheme="minorEastAsia" w:eastAsiaTheme="minorEastAsia" w:cstheme="minorEastAsia"/>
          <w:szCs w:val="21"/>
          <w:highlight w:val="none"/>
        </w:rPr>
        <w:t xml:space="preserve">  </w:t>
      </w:r>
    </w:p>
    <w:p w14:paraId="46A0F086">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b/>
          <w:bCs/>
          <w:szCs w:val="21"/>
          <w:highlight w:val="none"/>
          <w:u w:val="single"/>
        </w:rPr>
        <w:t>027-85818411</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b/>
          <w:szCs w:val="21"/>
          <w:highlight w:val="none"/>
          <w:u w:val="single"/>
        </w:rPr>
        <w:t>027-87272701</w:t>
      </w:r>
      <w:r>
        <w:rPr>
          <w:rFonts w:hint="eastAsia" w:asciiTheme="minorEastAsia" w:hAnsiTheme="minorEastAsia" w:eastAsiaTheme="minorEastAsia" w:cstheme="minorEastAsia"/>
          <w:szCs w:val="21"/>
          <w:highlight w:val="none"/>
        </w:rPr>
        <w:t xml:space="preserve">  </w:t>
      </w:r>
    </w:p>
    <w:bookmarkEnd w:id="24"/>
    <w:p w14:paraId="03C1CCB1">
      <w:pPr>
        <w:tabs>
          <w:tab w:val="left" w:pos="540"/>
          <w:tab w:val="left" w:pos="840"/>
        </w:tabs>
        <w:spacing w:line="360" w:lineRule="auto"/>
        <w:outlineLvl w:val="1"/>
        <w:rPr>
          <w:rFonts w:hint="eastAsia" w:ascii="宋体" w:hAnsi="宋体" w:cs="宋体"/>
          <w:b/>
          <w:szCs w:val="21"/>
          <w:highlight w:val="none"/>
        </w:rPr>
      </w:pPr>
      <w:bookmarkStart w:id="26" w:name="_Toc13586"/>
      <w:r>
        <w:rPr>
          <w:rFonts w:hint="eastAsia" w:ascii="宋体" w:hAnsi="宋体" w:cs="宋体"/>
          <w:b/>
          <w:szCs w:val="21"/>
          <w:highlight w:val="none"/>
        </w:rPr>
        <w:t>八、信息发布媒体</w:t>
      </w:r>
      <w:bookmarkEnd w:id="25"/>
      <w:bookmarkEnd w:id="26"/>
    </w:p>
    <w:p w14:paraId="0AE22FC3">
      <w:pPr>
        <w:adjustRightInd w:val="0"/>
        <w:spacing w:line="360" w:lineRule="auto"/>
        <w:ind w:firstLine="422" w:firstLineChars="200"/>
        <w:jc w:val="left"/>
        <w:rPr>
          <w:rFonts w:hint="eastAsia" w:ascii="宋体" w:hAnsi="宋体" w:cs="宋体"/>
          <w:bCs/>
          <w:szCs w:val="21"/>
          <w:highlight w:val="none"/>
        </w:rPr>
      </w:pPr>
      <w:r>
        <w:rPr>
          <w:rFonts w:hint="eastAsia" w:ascii="Times New Roman" w:hAnsi="宋体" w:cs="Times New Roman"/>
          <w:b/>
          <w:szCs w:val="21"/>
          <w:highlight w:val="none"/>
          <w:u w:val="single"/>
        </w:rPr>
        <w:t>《湖北机场集团有限公司外网》、《首都机场集团传媒有限公司外网》、《中国招标投标公共服务平台》、《湖北国华项目管理咨询有限公司官网》</w:t>
      </w:r>
    </w:p>
    <w:p w14:paraId="4C140D80">
      <w:pPr>
        <w:spacing w:line="360" w:lineRule="auto"/>
        <w:jc w:val="right"/>
        <w:rPr>
          <w:rFonts w:hint="eastAsia" w:ascii="Times New Roman" w:hAnsi="宋体" w:cs="Times New Roman"/>
          <w:b/>
          <w:szCs w:val="21"/>
          <w:highlight w:val="none"/>
        </w:rPr>
      </w:pPr>
      <w:r>
        <w:rPr>
          <w:rFonts w:hint="eastAsia" w:ascii="Times New Roman" w:hAnsi="宋体" w:cs="Times New Roman"/>
          <w:b/>
          <w:szCs w:val="21"/>
          <w:highlight w:val="none"/>
        </w:rPr>
        <w:t>湖北国华项目管理咨询有限公司</w:t>
      </w:r>
    </w:p>
    <w:p w14:paraId="1904AD4F">
      <w:pPr>
        <w:spacing w:line="360" w:lineRule="auto"/>
        <w:jc w:val="right"/>
        <w:rPr>
          <w:highlight w:val="none"/>
        </w:rPr>
      </w:pPr>
      <w:r>
        <w:rPr>
          <w:rFonts w:hint="eastAsia" w:ascii="Times New Roman" w:hAnsi="宋体" w:cs="Times New Roman"/>
          <w:b/>
          <w:szCs w:val="21"/>
          <w:highlight w:val="none"/>
        </w:rPr>
        <w:t>202</w:t>
      </w:r>
      <w:r>
        <w:rPr>
          <w:rFonts w:hint="eastAsia" w:hAnsi="宋体" w:cs="Times New Roman"/>
          <w:b/>
          <w:szCs w:val="21"/>
          <w:highlight w:val="none"/>
          <w:lang w:val="en-US" w:eastAsia="zh-CN"/>
        </w:rPr>
        <w:t>6</w:t>
      </w:r>
      <w:r>
        <w:rPr>
          <w:rFonts w:hint="eastAsia" w:ascii="Times New Roman" w:hAnsi="宋体" w:cs="Times New Roman"/>
          <w:b/>
          <w:szCs w:val="21"/>
          <w:highlight w:val="none"/>
        </w:rPr>
        <w:t>年</w:t>
      </w:r>
      <w:r>
        <w:rPr>
          <w:rFonts w:hint="eastAsia" w:hAnsi="宋体" w:cs="Times New Roman"/>
          <w:b/>
          <w:szCs w:val="21"/>
          <w:highlight w:val="none"/>
          <w:lang w:val="en-US" w:eastAsia="zh-CN"/>
        </w:rPr>
        <w:t>06</w:t>
      </w:r>
      <w:r>
        <w:rPr>
          <w:rFonts w:hint="eastAsia" w:ascii="Times New Roman" w:hAnsi="宋体" w:cs="Times New Roman"/>
          <w:b/>
          <w:szCs w:val="21"/>
          <w:highlight w:val="none"/>
        </w:rPr>
        <w:t>月</w:t>
      </w:r>
      <w:r>
        <w:rPr>
          <w:rFonts w:hint="eastAsia" w:hAnsi="宋体" w:cs="Times New Roman"/>
          <w:b/>
          <w:szCs w:val="21"/>
          <w:highlight w:val="none"/>
          <w:lang w:val="en-US" w:eastAsia="zh-CN"/>
        </w:rPr>
        <w:t>02</w:t>
      </w:r>
      <w:r>
        <w:rPr>
          <w:rFonts w:hint="eastAsia" w:ascii="Times New Roman" w:hAnsi="宋体" w:cs="Times New Roman"/>
          <w:b/>
          <w:szCs w:val="21"/>
          <w:highlight w:val="none"/>
        </w:rPr>
        <w:t>日</w:t>
      </w:r>
    </w:p>
    <w:p w14:paraId="23FB5D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84E84"/>
    <w:rsid w:val="7C64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2025-09-10T00:38:00Z</dcterms:created>
  <dc:creator>Administrator</dc:creator>
  <cp:lastModifiedBy>WuYa</cp:lastModifiedBy>
  <dcterms:modified xsi:type="dcterms:W3CDTF">2026-06-02T02:54:22Z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93FA44D990B1446E8E9F72FBE9440597_12</vt:lpwstr>
  </property>
  <property fmtid="{D5CDD505-2E9C-101B-9397-08002B2CF9AE}" pid="4" name="KSOTemplateDocerSaveRecord">
    <vt:lpwstr>eyJoZGlkIjoiZGIzNWFjMGNlMzI3ZjYxM2E2ZjM4ZDk1OTk3MTUxZmQiLCJ1c2VySWQiOiIyOTE2MzM0OTMifQ==</vt:lpwstr>
  </property>
</Properties>
</file>