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A6F8E">
      <w:pPr>
        <w:pStyle w:val="2"/>
        <w:spacing w:line="360" w:lineRule="auto"/>
        <w:jc w:val="center"/>
        <w:rPr>
          <w:rFonts w:hint="eastAsia" w:eastAsia="黑体"/>
          <w:sz w:val="36"/>
          <w:highlight w:val="none"/>
          <w:lang w:eastAsia="zh-CN"/>
        </w:rPr>
      </w:pPr>
      <w:bookmarkStart w:id="0" w:name="_Toc19426"/>
      <w:bookmarkStart w:id="1" w:name="_Toc25725118"/>
      <w:bookmarkStart w:id="2" w:name="_Toc11641051"/>
      <w:bookmarkStart w:id="3" w:name="_Toc25725119"/>
      <w:r>
        <w:rPr>
          <w:rFonts w:hint="eastAsia"/>
          <w:sz w:val="36"/>
          <w:highlight w:val="none"/>
        </w:rPr>
        <w:t>询价采购</w:t>
      </w:r>
      <w:bookmarkEnd w:id="0"/>
      <w:bookmarkEnd w:id="1"/>
      <w:r>
        <w:rPr>
          <w:rFonts w:hint="eastAsia"/>
          <w:sz w:val="36"/>
          <w:highlight w:val="none"/>
          <w:lang w:val="en-US" w:eastAsia="zh-CN"/>
        </w:rPr>
        <w:t>公告</w:t>
      </w:r>
    </w:p>
    <w:p w14:paraId="4CC68C30">
      <w:pPr>
        <w:spacing w:line="360" w:lineRule="auto"/>
        <w:ind w:firstLine="480" w:firstLineChars="200"/>
        <w:rPr>
          <w:rFonts w:hint="eastAsia"/>
          <w:color w:val="auto"/>
        </w:rPr>
      </w:pPr>
    </w:p>
    <w:p w14:paraId="44A532EB">
      <w:pPr>
        <w:spacing w:line="360" w:lineRule="auto"/>
        <w:ind w:firstLine="480" w:firstLineChars="200"/>
        <w:rPr>
          <w:color w:val="auto"/>
        </w:rPr>
      </w:pPr>
      <w:r>
        <w:rPr>
          <w:rFonts w:hint="eastAsia"/>
          <w:color w:val="auto"/>
        </w:rPr>
        <w:t>湖北机场集团信息科技有限公司对</w:t>
      </w:r>
      <w:r>
        <w:rPr>
          <w:rFonts w:hint="eastAsia"/>
          <w:color w:val="auto"/>
          <w:u w:val="single"/>
          <w:lang w:val="en-US" w:eastAsia="zh-CN"/>
        </w:rPr>
        <w:t>采购T3行李系统西区应急转盘导向轮、行走轮（三次）</w:t>
      </w:r>
      <w:r>
        <w:rPr>
          <w:rFonts w:hint="eastAsia"/>
          <w:color w:val="auto"/>
        </w:rPr>
        <w:t>进行询价，湖北机场集团信息科技有限公司负责经办，所有询价采购事宜由湖北机场集团信息科技有限公司负责联系。</w:t>
      </w:r>
    </w:p>
    <w:p w14:paraId="5BCB553D">
      <w:pPr>
        <w:rPr>
          <w:color w:val="auto"/>
        </w:rPr>
      </w:pPr>
    </w:p>
    <w:p w14:paraId="24E87775">
      <w:pPr>
        <w:pStyle w:val="3"/>
        <w:numPr>
          <w:ilvl w:val="0"/>
          <w:numId w:val="1"/>
        </w:numPr>
        <w:spacing w:line="360" w:lineRule="auto"/>
        <w:rPr>
          <w:color w:val="auto"/>
        </w:rPr>
      </w:pPr>
      <w:bookmarkStart w:id="4" w:name="_Toc5084"/>
      <w:r>
        <w:rPr>
          <w:rFonts w:hint="eastAsia"/>
          <w:color w:val="auto"/>
          <w:sz w:val="30"/>
        </w:rPr>
        <w:t>询价内容</w:t>
      </w:r>
      <w:bookmarkEnd w:id="4"/>
    </w:p>
    <w:tbl>
      <w:tblPr>
        <w:tblStyle w:val="4"/>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7"/>
        <w:gridCol w:w="1916"/>
        <w:gridCol w:w="3231"/>
        <w:gridCol w:w="1472"/>
        <w:gridCol w:w="924"/>
      </w:tblGrid>
      <w:tr w14:paraId="226C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6A36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1F5F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2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0F4C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EDE0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采购数量</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5301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5F25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0AE499">
            <w:pPr>
              <w:jc w:val="center"/>
              <w:rPr>
                <w:rFonts w:hint="eastAsia" w:ascii="宋体" w:hAnsi="宋体" w:eastAsia="宋体" w:cs="宋体"/>
                <w:b/>
                <w:bCs/>
                <w:i w:val="0"/>
                <w:iCs w:val="0"/>
                <w:color w:val="000000"/>
                <w:sz w:val="22"/>
                <w:szCs w:val="22"/>
                <w:u w:val="none"/>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C40316">
            <w:pPr>
              <w:jc w:val="center"/>
              <w:rPr>
                <w:rFonts w:hint="eastAsia" w:ascii="宋体" w:hAnsi="宋体" w:eastAsia="宋体" w:cs="宋体"/>
                <w:b/>
                <w:bCs/>
                <w:i w:val="0"/>
                <w:iCs w:val="0"/>
                <w:color w:val="000000"/>
                <w:sz w:val="22"/>
                <w:szCs w:val="22"/>
                <w:u w:val="none"/>
              </w:rPr>
            </w:pPr>
          </w:p>
        </w:tc>
        <w:tc>
          <w:tcPr>
            <w:tcW w:w="32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D980D8">
            <w:pPr>
              <w:jc w:val="center"/>
              <w:rPr>
                <w:rFonts w:hint="eastAsia" w:ascii="宋体" w:hAnsi="宋体" w:eastAsia="宋体" w:cs="宋体"/>
                <w:b/>
                <w:bCs/>
                <w:i w:val="0"/>
                <w:iCs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5E374">
            <w:pPr>
              <w:jc w:val="center"/>
              <w:rPr>
                <w:rFonts w:hint="eastAsia" w:ascii="宋体" w:hAnsi="宋体" w:eastAsia="宋体" w:cs="宋体"/>
                <w:b/>
                <w:bCs/>
                <w:i w:val="0"/>
                <w:iCs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E16846">
            <w:pPr>
              <w:jc w:val="center"/>
              <w:rPr>
                <w:rFonts w:hint="eastAsia" w:ascii="宋体" w:hAnsi="宋体" w:eastAsia="宋体" w:cs="宋体"/>
                <w:b/>
                <w:bCs/>
                <w:i w:val="0"/>
                <w:iCs w:val="0"/>
                <w:color w:val="000000"/>
                <w:sz w:val="22"/>
                <w:szCs w:val="22"/>
                <w:u w:val="none"/>
              </w:rPr>
            </w:pPr>
          </w:p>
        </w:tc>
      </w:tr>
      <w:tr w14:paraId="3AFF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21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26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导向轮</w:t>
            </w:r>
          </w:p>
        </w:tc>
        <w:tc>
          <w:tcPr>
            <w:tcW w:w="3234" w:type="dxa"/>
            <w:tcBorders>
              <w:top w:val="nil"/>
              <w:left w:val="single" w:color="000000" w:sz="4" w:space="0"/>
              <w:bottom w:val="single" w:color="000000" w:sz="4" w:space="0"/>
              <w:right w:val="single" w:color="000000" w:sz="4" w:space="0"/>
            </w:tcBorders>
            <w:shd w:val="clear" w:color="auto" w:fill="FFFFFF"/>
            <w:vAlign w:val="center"/>
          </w:tcPr>
          <w:p w14:paraId="32E44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外直径90mm，宽20mm</w:t>
            </w:r>
          </w:p>
        </w:tc>
        <w:tc>
          <w:tcPr>
            <w:tcW w:w="1473" w:type="dxa"/>
            <w:tcBorders>
              <w:top w:val="nil"/>
              <w:left w:val="single" w:color="000000" w:sz="4" w:space="0"/>
              <w:bottom w:val="single" w:color="000000" w:sz="4" w:space="0"/>
              <w:right w:val="single" w:color="000000" w:sz="4" w:space="0"/>
            </w:tcBorders>
            <w:shd w:val="clear" w:color="auto" w:fill="FFFFFF"/>
            <w:vAlign w:val="center"/>
          </w:tcPr>
          <w:p w14:paraId="23968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 </w:t>
            </w:r>
          </w:p>
        </w:tc>
        <w:tc>
          <w:tcPr>
            <w:tcW w:w="925" w:type="dxa"/>
            <w:tcBorders>
              <w:top w:val="nil"/>
              <w:left w:val="single" w:color="000000" w:sz="4" w:space="0"/>
              <w:bottom w:val="single" w:color="000000" w:sz="4" w:space="0"/>
              <w:right w:val="single" w:color="000000" w:sz="4" w:space="0"/>
            </w:tcBorders>
            <w:shd w:val="clear" w:color="auto" w:fill="FFFFFF"/>
            <w:vAlign w:val="center"/>
          </w:tcPr>
          <w:p w14:paraId="1FC1C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823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C5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1D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行走轮</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CE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外直径80mm，宽20mm</w:t>
            </w: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F7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 </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93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bl>
    <w:p w14:paraId="5B4D5763">
      <w:pPr>
        <w:pStyle w:val="6"/>
        <w:rPr>
          <w:rFonts w:hint="default"/>
          <w:lang w:val="en-US" w:eastAsia="zh-CN"/>
        </w:rPr>
      </w:pPr>
    </w:p>
    <w:p w14:paraId="714F972C">
      <w:pPr>
        <w:spacing w:line="360" w:lineRule="auto"/>
        <w:ind w:firstLine="480" w:firstLineChars="200"/>
        <w:rPr>
          <w:color w:val="auto"/>
        </w:rPr>
      </w:pPr>
      <w:r>
        <w:rPr>
          <w:rFonts w:hint="eastAsia"/>
          <w:color w:val="auto"/>
        </w:rPr>
        <w:t>采购预算：</w:t>
      </w:r>
      <w:r>
        <w:rPr>
          <w:rFonts w:hint="eastAsia"/>
          <w:color w:val="auto"/>
          <w:u w:val="single"/>
        </w:rPr>
        <w:t>人民币</w:t>
      </w:r>
      <w:r>
        <w:rPr>
          <w:rFonts w:hint="eastAsia"/>
          <w:color w:val="auto"/>
          <w:u w:val="single"/>
          <w:lang w:val="en-US" w:eastAsia="zh-CN"/>
        </w:rPr>
        <w:t>陆万捌仟伍佰元整</w:t>
      </w:r>
      <w:r>
        <w:rPr>
          <w:rFonts w:hint="eastAsia"/>
          <w:color w:val="auto"/>
          <w:u w:val="single"/>
        </w:rPr>
        <w:t>（¥</w:t>
      </w:r>
      <w:r>
        <w:rPr>
          <w:rFonts w:hint="eastAsia"/>
          <w:color w:val="auto"/>
          <w:u w:val="single"/>
          <w:lang w:val="en-US" w:eastAsia="zh-CN"/>
        </w:rPr>
        <w:t>68</w:t>
      </w:r>
      <w:r>
        <w:rPr>
          <w:rFonts w:hint="eastAsia"/>
          <w:color w:val="auto"/>
          <w:u w:val="single"/>
        </w:rPr>
        <w:t>,</w:t>
      </w:r>
      <w:r>
        <w:rPr>
          <w:rFonts w:hint="eastAsia"/>
          <w:color w:val="auto"/>
          <w:u w:val="single"/>
          <w:lang w:val="en-US" w:eastAsia="zh-CN"/>
        </w:rPr>
        <w:t>500</w:t>
      </w:r>
      <w:r>
        <w:rPr>
          <w:rFonts w:hint="eastAsia"/>
          <w:color w:val="auto"/>
          <w:u w:val="single"/>
        </w:rPr>
        <w:t>.00）</w:t>
      </w:r>
      <w:r>
        <w:rPr>
          <w:rFonts w:hint="eastAsia"/>
          <w:color w:val="auto"/>
        </w:rPr>
        <w:t>，响应总报价超过采购预算金额的，其报价无效。总报价应包括完成项目所需的一切费用，包括但不限于运输费、质保期售后服务费、税费、保险费等。</w:t>
      </w:r>
    </w:p>
    <w:p w14:paraId="7D20A6C6">
      <w:pPr>
        <w:rPr>
          <w:color w:val="auto"/>
        </w:rPr>
      </w:pPr>
    </w:p>
    <w:p w14:paraId="216DE63D">
      <w:pPr>
        <w:pStyle w:val="3"/>
        <w:spacing w:line="360" w:lineRule="auto"/>
        <w:ind w:firstLine="301" w:firstLineChars="100"/>
        <w:rPr>
          <w:color w:val="auto"/>
          <w:sz w:val="30"/>
        </w:rPr>
      </w:pPr>
      <w:bookmarkStart w:id="5" w:name="_Toc26834"/>
      <w:r>
        <w:rPr>
          <w:rFonts w:hint="eastAsia"/>
          <w:color w:val="auto"/>
          <w:sz w:val="30"/>
        </w:rPr>
        <w:t>二、询价采购时间、地点</w:t>
      </w:r>
      <w:bookmarkEnd w:id="2"/>
      <w:bookmarkEnd w:id="3"/>
      <w:bookmarkEnd w:id="5"/>
    </w:p>
    <w:p w14:paraId="05DCCFE9">
      <w:pPr>
        <w:tabs>
          <w:tab w:val="left" w:pos="378"/>
        </w:tabs>
        <w:spacing w:line="360" w:lineRule="auto"/>
        <w:ind w:left="142"/>
        <w:rPr>
          <w:color w:val="auto"/>
        </w:rPr>
      </w:pPr>
      <w:r>
        <w:rPr>
          <w:rFonts w:hint="eastAsia"/>
          <w:color w:val="auto"/>
        </w:rPr>
        <w:t>1、询价采购文件获取：</w:t>
      </w:r>
    </w:p>
    <w:p w14:paraId="222D8345">
      <w:pPr>
        <w:spacing w:line="360" w:lineRule="auto"/>
        <w:ind w:firstLine="480" w:firstLineChars="200"/>
        <w:rPr>
          <w:color w:val="auto"/>
        </w:rPr>
      </w:pPr>
      <w:r>
        <w:rPr>
          <w:rFonts w:hint="eastAsia"/>
          <w:color w:val="auto"/>
        </w:rPr>
        <w:t>（1）时间：2</w:t>
      </w:r>
      <w:r>
        <w:rPr>
          <w:color w:val="auto"/>
        </w:rPr>
        <w:t>02</w:t>
      </w:r>
      <w:r>
        <w:rPr>
          <w:rFonts w:hint="eastAsia"/>
          <w:color w:val="auto"/>
          <w:lang w:val="en-US" w:eastAsia="zh-CN"/>
        </w:rPr>
        <w:t>6</w:t>
      </w:r>
      <w:r>
        <w:rPr>
          <w:rFonts w:hint="eastAsia"/>
          <w:color w:val="auto"/>
        </w:rPr>
        <w:t>年</w:t>
      </w:r>
      <w:r>
        <w:rPr>
          <w:rFonts w:hint="eastAsia"/>
          <w:color w:val="auto"/>
          <w:lang w:val="en-US" w:eastAsia="zh-CN"/>
        </w:rPr>
        <w:t xml:space="preserve">6 </w:t>
      </w:r>
      <w:r>
        <w:rPr>
          <w:rFonts w:hint="eastAsia"/>
          <w:color w:val="auto"/>
        </w:rPr>
        <w:t>月</w:t>
      </w:r>
      <w:r>
        <w:rPr>
          <w:rFonts w:hint="eastAsia"/>
          <w:color w:val="auto"/>
          <w:lang w:val="en-US" w:eastAsia="zh-CN"/>
        </w:rPr>
        <w:t xml:space="preserve">3 </w:t>
      </w:r>
      <w:r>
        <w:rPr>
          <w:rFonts w:hint="eastAsia"/>
          <w:color w:val="auto"/>
        </w:rPr>
        <w:t>日至2</w:t>
      </w:r>
      <w:r>
        <w:rPr>
          <w:color w:val="auto"/>
        </w:rPr>
        <w:t>02</w:t>
      </w:r>
      <w:r>
        <w:rPr>
          <w:rFonts w:hint="eastAsia"/>
          <w:color w:val="auto"/>
          <w:lang w:val="en-US" w:eastAsia="zh-CN"/>
        </w:rPr>
        <w:t>6</w:t>
      </w:r>
      <w:r>
        <w:rPr>
          <w:rFonts w:hint="eastAsia"/>
          <w:color w:val="auto"/>
        </w:rPr>
        <w:t>年</w:t>
      </w:r>
      <w:r>
        <w:rPr>
          <w:rFonts w:hint="eastAsia"/>
          <w:color w:val="auto"/>
          <w:lang w:val="en-US" w:eastAsia="zh-CN"/>
        </w:rPr>
        <w:t xml:space="preserve"> 6</w:t>
      </w:r>
      <w:r>
        <w:rPr>
          <w:rFonts w:hint="eastAsia"/>
          <w:color w:val="auto"/>
        </w:rPr>
        <w:t>月</w:t>
      </w:r>
      <w:r>
        <w:rPr>
          <w:rFonts w:hint="eastAsia"/>
          <w:color w:val="auto"/>
          <w:lang w:val="en-US" w:eastAsia="zh-CN"/>
        </w:rPr>
        <w:t xml:space="preserve"> 5</w:t>
      </w:r>
      <w:r>
        <w:rPr>
          <w:rFonts w:hint="eastAsia"/>
          <w:color w:val="auto"/>
        </w:rPr>
        <w:t>日（北京时间每天上午</w:t>
      </w:r>
      <w:r>
        <w:rPr>
          <w:rFonts w:hint="eastAsia"/>
          <w:color w:val="auto"/>
          <w:lang w:val="en-US" w:eastAsia="zh-CN"/>
        </w:rPr>
        <w:t>8</w:t>
      </w:r>
      <w:r>
        <w:rPr>
          <w:rFonts w:hint="eastAsia"/>
          <w:color w:val="auto"/>
        </w:rPr>
        <w:t>:30～11:30、下午14:00～</w:t>
      </w:r>
      <w:r>
        <w:rPr>
          <w:rFonts w:hint="eastAsia"/>
          <w:color w:val="auto"/>
          <w:lang w:val="en-US" w:eastAsia="zh-CN"/>
        </w:rPr>
        <w:t>17</w:t>
      </w:r>
      <w:r>
        <w:rPr>
          <w:rFonts w:hint="eastAsia"/>
          <w:color w:val="auto"/>
        </w:rPr>
        <w:t>:00，法定节假日除外）</w:t>
      </w:r>
    </w:p>
    <w:p w14:paraId="6872B422">
      <w:pPr>
        <w:spacing w:line="360" w:lineRule="auto"/>
        <w:ind w:firstLine="360" w:firstLineChars="150"/>
        <w:rPr>
          <w:color w:val="auto"/>
        </w:rPr>
      </w:pPr>
      <w:r>
        <w:rPr>
          <w:rFonts w:hint="eastAsia"/>
          <w:color w:val="auto"/>
        </w:rPr>
        <w:t xml:space="preserve"> （2）地点：湖北机场集团公司综合楼C326</w:t>
      </w:r>
    </w:p>
    <w:p w14:paraId="0D464ABF">
      <w:pPr>
        <w:spacing w:line="360" w:lineRule="auto"/>
        <w:ind w:firstLine="480" w:firstLineChars="200"/>
        <w:rPr>
          <w:color w:val="auto"/>
        </w:rPr>
      </w:pPr>
      <w:r>
        <w:rPr>
          <w:rFonts w:hint="eastAsia"/>
          <w:color w:val="auto"/>
        </w:rPr>
        <w:t>（3）获取方式：法定代表人自己领取的，凭法定代表人身份证明书及法定代表人二代身份证原件和营业执照加盖公章的复印件领取；法定代表人委托他人领取的，凭法定代表人授权书及受托人二代身份证原件和营业执照加盖公章的复印件领取；二代身份证原件查看后当场退还，营业执照及身份证复印件留存，资料齐全的提供询价文件。</w:t>
      </w:r>
    </w:p>
    <w:p w14:paraId="2AAEE2DC">
      <w:pPr>
        <w:tabs>
          <w:tab w:val="left" w:pos="378"/>
        </w:tabs>
        <w:spacing w:line="360" w:lineRule="auto"/>
        <w:ind w:left="142"/>
        <w:rPr>
          <w:color w:val="auto"/>
        </w:rPr>
      </w:pPr>
      <w:r>
        <w:rPr>
          <w:rFonts w:hint="eastAsia"/>
          <w:color w:val="auto"/>
        </w:rPr>
        <w:t>2、投递报价文件地点：</w:t>
      </w:r>
    </w:p>
    <w:p w14:paraId="1F51FA57">
      <w:pPr>
        <w:spacing w:line="360" w:lineRule="auto"/>
        <w:ind w:firstLine="360" w:firstLineChars="150"/>
        <w:rPr>
          <w:color w:val="auto"/>
        </w:rPr>
      </w:pPr>
      <w:r>
        <w:rPr>
          <w:rFonts w:hint="eastAsia"/>
          <w:color w:val="auto"/>
        </w:rPr>
        <w:t xml:space="preserve"> 湖北机场集团公司综合楼C326</w:t>
      </w:r>
    </w:p>
    <w:p w14:paraId="318FC1CA">
      <w:pPr>
        <w:tabs>
          <w:tab w:val="left" w:pos="426"/>
          <w:tab w:val="left" w:pos="993"/>
        </w:tabs>
        <w:spacing w:line="360" w:lineRule="auto"/>
        <w:ind w:left="-2" w:leftChars="-1" w:firstLine="141" w:firstLineChars="59"/>
        <w:rPr>
          <w:rFonts w:hint="default"/>
          <w:color w:val="auto"/>
          <w:lang w:val="en-US"/>
        </w:rPr>
      </w:pPr>
      <w:r>
        <w:rPr>
          <w:rFonts w:hint="eastAsia"/>
          <w:color w:val="auto"/>
        </w:rPr>
        <w:t>3、投递报价文件截止时间： 202</w:t>
      </w:r>
      <w:r>
        <w:rPr>
          <w:rFonts w:hint="eastAsia"/>
          <w:color w:val="auto"/>
          <w:lang w:val="en-US" w:eastAsia="zh-CN"/>
        </w:rPr>
        <w:t>6</w:t>
      </w:r>
      <w:r>
        <w:rPr>
          <w:rFonts w:hint="eastAsia"/>
          <w:color w:val="auto"/>
        </w:rPr>
        <w:t>年</w:t>
      </w:r>
      <w:r>
        <w:rPr>
          <w:rFonts w:hint="eastAsia"/>
          <w:color w:val="auto"/>
          <w:lang w:val="en-US" w:eastAsia="zh-CN"/>
        </w:rPr>
        <w:t xml:space="preserve"> 6</w:t>
      </w:r>
      <w:r>
        <w:rPr>
          <w:rFonts w:hint="eastAsia"/>
          <w:color w:val="auto"/>
        </w:rPr>
        <w:t>月</w:t>
      </w:r>
      <w:r>
        <w:rPr>
          <w:rFonts w:hint="eastAsia"/>
          <w:color w:val="auto"/>
          <w:lang w:val="en-US" w:eastAsia="zh-CN"/>
        </w:rPr>
        <w:t xml:space="preserve">8 </w:t>
      </w:r>
      <w:r>
        <w:rPr>
          <w:rFonts w:hint="eastAsia"/>
          <w:color w:val="auto"/>
        </w:rPr>
        <w:t>日</w:t>
      </w:r>
      <w:r>
        <w:rPr>
          <w:rFonts w:hint="eastAsia"/>
          <w:color w:val="auto"/>
          <w:lang w:val="en-US" w:eastAsia="zh-CN"/>
        </w:rPr>
        <w:t xml:space="preserve"> 10点</w:t>
      </w:r>
    </w:p>
    <w:p w14:paraId="43BC4EF8">
      <w:pPr>
        <w:tabs>
          <w:tab w:val="left" w:pos="993"/>
        </w:tabs>
        <w:spacing w:line="360" w:lineRule="auto"/>
        <w:ind w:left="283" w:leftChars="62" w:hanging="134" w:hangingChars="56"/>
        <w:rPr>
          <w:color w:val="auto"/>
        </w:rPr>
      </w:pPr>
      <w:r>
        <w:rPr>
          <w:rFonts w:hint="eastAsia"/>
          <w:color w:val="auto"/>
        </w:rPr>
        <w:t>4、询价采购评审时间： 202</w:t>
      </w:r>
      <w:r>
        <w:rPr>
          <w:rFonts w:hint="eastAsia"/>
          <w:color w:val="auto"/>
          <w:lang w:val="en-US" w:eastAsia="zh-CN"/>
        </w:rPr>
        <w:t>6</w:t>
      </w:r>
      <w:r>
        <w:rPr>
          <w:rFonts w:hint="eastAsia"/>
          <w:color w:val="auto"/>
        </w:rPr>
        <w:t>年</w:t>
      </w:r>
      <w:r>
        <w:rPr>
          <w:rFonts w:hint="eastAsia"/>
          <w:color w:val="auto"/>
          <w:lang w:val="en-US" w:eastAsia="zh-CN"/>
        </w:rPr>
        <w:t xml:space="preserve">6 </w:t>
      </w:r>
      <w:r>
        <w:rPr>
          <w:rFonts w:hint="eastAsia"/>
          <w:color w:val="auto"/>
        </w:rPr>
        <w:t>月</w:t>
      </w:r>
      <w:r>
        <w:rPr>
          <w:rFonts w:hint="eastAsia"/>
          <w:color w:val="auto"/>
          <w:lang w:val="en-US" w:eastAsia="zh-CN"/>
        </w:rPr>
        <w:t>8</w:t>
      </w:r>
      <w:bookmarkStart w:id="19" w:name="_GoBack"/>
      <w:bookmarkEnd w:id="19"/>
      <w:r>
        <w:rPr>
          <w:rFonts w:hint="eastAsia"/>
          <w:color w:val="auto"/>
          <w:lang w:val="en-US" w:eastAsia="zh-CN"/>
        </w:rPr>
        <w:t xml:space="preserve"> </w:t>
      </w:r>
      <w:r>
        <w:rPr>
          <w:rFonts w:hint="eastAsia"/>
          <w:color w:val="auto"/>
        </w:rPr>
        <w:t>日（遇情况依次顺延）</w:t>
      </w:r>
    </w:p>
    <w:p w14:paraId="69AEB967">
      <w:pPr>
        <w:tabs>
          <w:tab w:val="left" w:pos="993"/>
        </w:tabs>
        <w:spacing w:line="360" w:lineRule="auto"/>
        <w:ind w:left="283" w:leftChars="62" w:hanging="134" w:hangingChars="56"/>
        <w:rPr>
          <w:color w:val="auto"/>
        </w:rPr>
      </w:pPr>
      <w:r>
        <w:rPr>
          <w:color w:val="auto"/>
        </w:rPr>
        <w:t>5</w:t>
      </w:r>
      <w:r>
        <w:rPr>
          <w:rFonts w:hint="eastAsia"/>
          <w:color w:val="auto"/>
        </w:rPr>
        <w:t>、联系方式：</w:t>
      </w:r>
      <w:r>
        <w:rPr>
          <w:rFonts w:hint="eastAsia"/>
        </w:rPr>
        <w:t>027-85818211</w:t>
      </w:r>
      <w:r>
        <w:rPr>
          <w:rFonts w:hint="eastAsia"/>
          <w:color w:val="auto"/>
        </w:rPr>
        <w:t>韩硕、</w:t>
      </w:r>
      <w:r>
        <w:rPr>
          <w:rFonts w:hint="eastAsia"/>
          <w:color w:val="auto"/>
          <w:lang w:val="en-US" w:eastAsia="zh-CN"/>
        </w:rPr>
        <w:t>杨经潮</w:t>
      </w:r>
    </w:p>
    <w:p w14:paraId="441D0E7A">
      <w:pPr>
        <w:pStyle w:val="3"/>
        <w:spacing w:line="360" w:lineRule="auto"/>
        <w:ind w:firstLine="527"/>
        <w:rPr>
          <w:color w:val="auto"/>
          <w:sz w:val="30"/>
        </w:rPr>
      </w:pPr>
      <w:bookmarkStart w:id="6" w:name="_Toc30564"/>
      <w:bookmarkStart w:id="7" w:name="_Toc25725120"/>
      <w:bookmarkStart w:id="8" w:name="_Toc11641053"/>
      <w:r>
        <w:rPr>
          <w:rFonts w:hint="eastAsia"/>
          <w:color w:val="auto"/>
          <w:sz w:val="30"/>
        </w:rPr>
        <w:t>三、供应商资质要求：</w:t>
      </w:r>
      <w:bookmarkEnd w:id="6"/>
    </w:p>
    <w:p w14:paraId="1E9827CD">
      <w:pPr>
        <w:snapToGrid w:val="0"/>
        <w:spacing w:line="360" w:lineRule="auto"/>
        <w:rPr>
          <w:color w:val="auto"/>
          <w:szCs w:val="28"/>
        </w:rPr>
      </w:pPr>
      <w:r>
        <w:rPr>
          <w:rFonts w:hint="eastAsia"/>
          <w:color w:val="auto"/>
          <w:szCs w:val="28"/>
        </w:rPr>
        <w:t>1、供货商应具有在中华人民共和国境内注册登记并取得有效营业执照。</w:t>
      </w:r>
    </w:p>
    <w:p w14:paraId="1D017428">
      <w:pPr>
        <w:snapToGrid w:val="0"/>
        <w:spacing w:line="360" w:lineRule="auto"/>
        <w:rPr>
          <w:rFonts w:hint="eastAsia"/>
          <w:color w:val="auto"/>
          <w:szCs w:val="28"/>
        </w:rPr>
      </w:pPr>
      <w:r>
        <w:rPr>
          <w:rFonts w:hint="eastAsia"/>
          <w:color w:val="auto"/>
          <w:szCs w:val="28"/>
        </w:rPr>
        <w:t>2、供应商未被列入“信用中国”网站(www.creditchina.gov.cn)或者“中国执行信息公开网”（zxgk.court.gov.cn）失信被执行人名单。（提供网页查询截图）。</w:t>
      </w:r>
    </w:p>
    <w:p w14:paraId="4EEEB02D">
      <w:pPr>
        <w:snapToGrid w:val="0"/>
        <w:spacing w:line="360" w:lineRule="auto"/>
        <w:rPr>
          <w:color w:val="auto"/>
          <w:szCs w:val="28"/>
        </w:rPr>
      </w:pPr>
      <w:r>
        <w:rPr>
          <w:rFonts w:hint="eastAsia"/>
          <w:color w:val="auto"/>
          <w:szCs w:val="28"/>
          <w:lang w:val="en-US" w:eastAsia="zh-CN"/>
        </w:rPr>
        <w:t>3</w:t>
      </w:r>
      <w:r>
        <w:rPr>
          <w:rFonts w:hint="eastAsia"/>
          <w:color w:val="auto"/>
          <w:szCs w:val="28"/>
        </w:rPr>
        <w:t>、供应商需对关于《湖北机场集团有限公司“供应商不良行为”管理办法》在“询价响应文件格式”“其他证明文件、资料等”中做出承诺，格式详见询价响应文件格式。</w:t>
      </w:r>
    </w:p>
    <w:p w14:paraId="0F14A3BA">
      <w:pPr>
        <w:snapToGrid w:val="0"/>
        <w:spacing w:line="360" w:lineRule="auto"/>
        <w:rPr>
          <w:color w:val="auto"/>
          <w:szCs w:val="28"/>
        </w:rPr>
      </w:pPr>
      <w:r>
        <w:rPr>
          <w:rFonts w:hint="eastAsia"/>
          <w:color w:val="auto"/>
          <w:szCs w:val="28"/>
          <w:lang w:val="en-US" w:eastAsia="zh-CN"/>
        </w:rPr>
        <w:t>4</w:t>
      </w:r>
      <w:r>
        <w:rPr>
          <w:rFonts w:hint="eastAsia"/>
          <w:color w:val="auto"/>
          <w:szCs w:val="28"/>
        </w:rPr>
        <w:t>、本项目不接受联合体响应。</w:t>
      </w:r>
    </w:p>
    <w:p w14:paraId="7D93FC67">
      <w:pPr>
        <w:snapToGrid w:val="0"/>
        <w:spacing w:line="360" w:lineRule="auto"/>
        <w:ind w:firstLine="480" w:firstLineChars="200"/>
        <w:rPr>
          <w:color w:val="auto"/>
          <w:szCs w:val="28"/>
        </w:rPr>
      </w:pPr>
      <w:r>
        <w:rPr>
          <w:rFonts w:hint="eastAsia"/>
          <w:color w:val="auto"/>
          <w:szCs w:val="28"/>
        </w:rPr>
        <w:t>以上资格要求为本次响应供应商应具备的基本条件，参加响应的供应商必须满足资格要求中的所有条款，并按照相关规定递交资格证明文件。</w:t>
      </w:r>
    </w:p>
    <w:p w14:paraId="587CAC46">
      <w:pPr>
        <w:pStyle w:val="3"/>
        <w:spacing w:line="360" w:lineRule="auto"/>
        <w:ind w:firstLine="527"/>
        <w:rPr>
          <w:color w:val="auto"/>
          <w:sz w:val="30"/>
        </w:rPr>
      </w:pPr>
      <w:bookmarkStart w:id="9" w:name="_Toc3456"/>
      <w:r>
        <w:rPr>
          <w:rFonts w:hint="eastAsia"/>
          <w:color w:val="auto"/>
          <w:sz w:val="30"/>
        </w:rPr>
        <w:t>四、</w:t>
      </w:r>
      <w:bookmarkEnd w:id="7"/>
      <w:bookmarkEnd w:id="8"/>
      <w:r>
        <w:rPr>
          <w:rFonts w:hint="eastAsia"/>
          <w:color w:val="auto"/>
          <w:sz w:val="30"/>
        </w:rPr>
        <w:t>询价采购须知</w:t>
      </w:r>
      <w:bookmarkEnd w:id="9"/>
    </w:p>
    <w:p w14:paraId="1AB3ACD7">
      <w:pPr>
        <w:snapToGrid w:val="0"/>
        <w:spacing w:line="360" w:lineRule="auto"/>
        <w:ind w:firstLine="573"/>
        <w:rPr>
          <w:color w:val="auto"/>
        </w:rPr>
      </w:pPr>
      <w:r>
        <w:rPr>
          <w:rFonts w:hint="eastAsia"/>
          <w:color w:val="auto"/>
        </w:rPr>
        <w:t>1、报价文件须用信封</w:t>
      </w:r>
      <w:r>
        <w:rPr>
          <w:rFonts w:hint="eastAsia"/>
          <w:color w:val="auto"/>
          <w:lang w:val="en-US" w:eastAsia="zh-CN"/>
        </w:rPr>
        <w:t>或文件袋</w:t>
      </w:r>
      <w:r>
        <w:rPr>
          <w:rFonts w:hint="eastAsia"/>
          <w:color w:val="auto"/>
        </w:rPr>
        <w:t>密封，信封</w:t>
      </w:r>
      <w:r>
        <w:rPr>
          <w:rFonts w:hint="eastAsia"/>
          <w:color w:val="auto"/>
          <w:lang w:val="en-US" w:eastAsia="zh-CN"/>
        </w:rPr>
        <w:t>或文件袋</w:t>
      </w:r>
      <w:r>
        <w:rPr>
          <w:rFonts w:hint="eastAsia"/>
          <w:color w:val="auto"/>
        </w:rPr>
        <w:t>上注明询价采购项目名称、供应商名称、地址以及“不准提前启封”字样。信封所有有口、有缝的部位都要贴封条并加盖供应商公章。</w:t>
      </w:r>
    </w:p>
    <w:p w14:paraId="6A7FC304">
      <w:pPr>
        <w:snapToGrid w:val="0"/>
        <w:spacing w:line="360" w:lineRule="auto"/>
        <w:ind w:firstLine="573"/>
        <w:rPr>
          <w:color w:val="auto"/>
        </w:rPr>
      </w:pPr>
      <w:r>
        <w:rPr>
          <w:rFonts w:hint="eastAsia"/>
          <w:color w:val="auto"/>
        </w:rPr>
        <w:t>2、报价文件必须按规定的时间及地点送达投递地点，并按要求交纳询价采购保证金，否则报价无效。</w:t>
      </w:r>
    </w:p>
    <w:p w14:paraId="21A86CBA">
      <w:pPr>
        <w:snapToGrid w:val="0"/>
        <w:spacing w:line="360" w:lineRule="auto"/>
        <w:ind w:firstLine="573"/>
        <w:rPr>
          <w:b/>
          <w:color w:val="auto"/>
        </w:rPr>
      </w:pPr>
      <w:r>
        <w:rPr>
          <w:rFonts w:hint="eastAsia"/>
          <w:color w:val="auto"/>
        </w:rPr>
        <w:t>3、报价文件的报价为</w:t>
      </w:r>
      <w:r>
        <w:rPr>
          <w:rFonts w:hint="eastAsia"/>
          <w:b/>
          <w:color w:val="auto"/>
        </w:rPr>
        <w:t>闭口价，并且供应商只能提供一个报价。</w:t>
      </w:r>
    </w:p>
    <w:p w14:paraId="2309A51A">
      <w:pPr>
        <w:snapToGrid w:val="0"/>
        <w:spacing w:line="360" w:lineRule="auto"/>
        <w:ind w:firstLine="573"/>
        <w:rPr>
          <w:color w:val="auto"/>
        </w:rPr>
      </w:pPr>
      <w:r>
        <w:rPr>
          <w:rFonts w:hint="eastAsia"/>
          <w:color w:val="auto"/>
        </w:rPr>
        <w:t>4、成交原则：本项目评审采用最低竞标标价进行评审。</w:t>
      </w:r>
    </w:p>
    <w:p w14:paraId="385DDE97">
      <w:pPr>
        <w:snapToGrid w:val="0"/>
        <w:spacing w:line="360" w:lineRule="auto"/>
        <w:ind w:firstLine="573"/>
        <w:rPr>
          <w:color w:val="auto"/>
        </w:rPr>
      </w:pPr>
      <w:r>
        <w:rPr>
          <w:rFonts w:hint="eastAsia"/>
          <w:color w:val="auto"/>
        </w:rPr>
        <w:t>不允许竞标人竞标方案对采购方案有任何负偏离，否则按无效竞标处理。</w:t>
      </w:r>
    </w:p>
    <w:p w14:paraId="4C6F0347">
      <w:pPr>
        <w:snapToGrid w:val="0"/>
        <w:spacing w:line="360" w:lineRule="auto"/>
        <w:ind w:firstLine="573"/>
        <w:rPr>
          <w:color w:val="auto"/>
        </w:rPr>
      </w:pPr>
      <w:r>
        <w:rPr>
          <w:rFonts w:hint="eastAsia"/>
          <w:color w:val="auto"/>
        </w:rPr>
        <w:t>询价采购评审小组在完全满足采购的技术、质量、商务和服务的竞标方案中选择</w:t>
      </w:r>
      <w:r>
        <w:rPr>
          <w:rFonts w:hint="eastAsia"/>
          <w:b/>
          <w:color w:val="auto"/>
        </w:rPr>
        <w:t>竞标报价</w:t>
      </w:r>
      <w:r>
        <w:rPr>
          <w:rFonts w:hint="eastAsia"/>
          <w:b/>
          <w:color w:val="auto"/>
          <w:lang w:eastAsia="zh-CN"/>
        </w:rPr>
        <w:t>（</w:t>
      </w:r>
      <w:r>
        <w:rPr>
          <w:rFonts w:hint="eastAsia"/>
          <w:b/>
          <w:color w:val="auto"/>
          <w:lang w:val="en-US" w:eastAsia="zh-CN"/>
        </w:rPr>
        <w:t>不含税金额</w:t>
      </w:r>
      <w:r>
        <w:rPr>
          <w:rFonts w:hint="eastAsia"/>
          <w:b/>
          <w:color w:val="auto"/>
          <w:lang w:eastAsia="zh-CN"/>
        </w:rPr>
        <w:t>）</w:t>
      </w:r>
      <w:r>
        <w:rPr>
          <w:rFonts w:hint="eastAsia"/>
          <w:b/>
          <w:color w:val="auto"/>
        </w:rPr>
        <w:t>最低单位为成交供应商</w:t>
      </w:r>
      <w:r>
        <w:rPr>
          <w:rFonts w:hint="eastAsia"/>
          <w:color w:val="auto"/>
        </w:rPr>
        <w:t>。</w:t>
      </w:r>
    </w:p>
    <w:p w14:paraId="2800D5D3">
      <w:pPr>
        <w:snapToGrid w:val="0"/>
        <w:spacing w:line="360" w:lineRule="auto"/>
        <w:ind w:firstLine="573"/>
        <w:rPr>
          <w:color w:val="auto"/>
        </w:rPr>
      </w:pPr>
      <w:r>
        <w:rPr>
          <w:rFonts w:hint="eastAsia"/>
          <w:color w:val="auto"/>
        </w:rPr>
        <w:t>竞标价格相同的情况下询价小组确定服务承诺、优惠条件较优的单位为成交供应商。</w:t>
      </w:r>
    </w:p>
    <w:p w14:paraId="5C2C03C9">
      <w:pPr>
        <w:snapToGrid w:val="0"/>
        <w:spacing w:line="360" w:lineRule="auto"/>
        <w:ind w:firstLine="573"/>
        <w:rPr>
          <w:color w:val="auto"/>
        </w:rPr>
      </w:pPr>
      <w:r>
        <w:rPr>
          <w:rFonts w:hint="eastAsia"/>
          <w:color w:val="auto"/>
        </w:rPr>
        <w:t>5、采购报价文件应按照本文件的“第四篇格式要求”装订。文件一式三份，一正二副。</w:t>
      </w:r>
      <w:r>
        <w:rPr>
          <w:rFonts w:hint="eastAsia"/>
          <w:color w:val="auto"/>
          <w:lang w:val="en-US" w:eastAsia="zh-CN"/>
        </w:rPr>
        <w:t>报价</w:t>
      </w:r>
      <w:r>
        <w:rPr>
          <w:rFonts w:hint="eastAsia"/>
          <w:color w:val="auto"/>
        </w:rPr>
        <w:t>文件的正本每一页必需加盖公章以及</w:t>
      </w:r>
      <w:r>
        <w:rPr>
          <w:rFonts w:hint="eastAsia"/>
          <w:color w:val="auto"/>
          <w:lang w:val="en-US" w:eastAsia="zh-CN"/>
        </w:rPr>
        <w:t>骑缝章</w:t>
      </w:r>
      <w:r>
        <w:rPr>
          <w:rFonts w:hint="eastAsia"/>
          <w:color w:val="auto"/>
        </w:rPr>
        <w:t>。</w:t>
      </w:r>
    </w:p>
    <w:p w14:paraId="2FFE85AD">
      <w:pPr>
        <w:snapToGrid w:val="0"/>
        <w:spacing w:line="360" w:lineRule="auto"/>
        <w:ind w:firstLine="573"/>
        <w:rPr>
          <w:color w:val="auto"/>
        </w:rPr>
      </w:pPr>
      <w:bookmarkStart w:id="10" w:name="_Toc122840226"/>
      <w:bookmarkStart w:id="11" w:name="_Toc12789055"/>
      <w:r>
        <w:rPr>
          <w:rFonts w:hint="eastAsia"/>
          <w:color w:val="auto"/>
        </w:rPr>
        <w:t>6、文件无效</w:t>
      </w:r>
    </w:p>
    <w:p w14:paraId="656B4613">
      <w:pPr>
        <w:snapToGrid w:val="0"/>
        <w:spacing w:line="360" w:lineRule="auto"/>
        <w:ind w:firstLine="573"/>
        <w:rPr>
          <w:color w:val="auto"/>
        </w:rPr>
      </w:pPr>
      <w:r>
        <w:rPr>
          <w:rFonts w:hint="eastAsia"/>
          <w:color w:val="auto"/>
        </w:rPr>
        <w:t>竞标人发生以下条款情况之一者，其竞标文件将被拒绝：</w:t>
      </w:r>
    </w:p>
    <w:p w14:paraId="5E30B6F9">
      <w:pPr>
        <w:snapToGrid w:val="0"/>
        <w:spacing w:line="360" w:lineRule="auto"/>
        <w:ind w:firstLine="573"/>
        <w:rPr>
          <w:color w:val="auto"/>
        </w:rPr>
      </w:pPr>
      <w:r>
        <w:rPr>
          <w:rFonts w:hint="eastAsia"/>
          <w:color w:val="auto"/>
        </w:rPr>
        <w:t>（1）竞标文件不按规定的格式、内容填写；</w:t>
      </w:r>
    </w:p>
    <w:p w14:paraId="0A13861B">
      <w:pPr>
        <w:snapToGrid w:val="0"/>
        <w:spacing w:line="360" w:lineRule="auto"/>
        <w:ind w:firstLine="573"/>
        <w:rPr>
          <w:color w:val="auto"/>
        </w:rPr>
      </w:pPr>
      <w:r>
        <w:rPr>
          <w:rFonts w:hint="eastAsia"/>
          <w:color w:val="auto"/>
        </w:rPr>
        <w:t>（2）超出营业范围的报价；</w:t>
      </w:r>
    </w:p>
    <w:p w14:paraId="0473C8BD">
      <w:pPr>
        <w:snapToGrid w:val="0"/>
        <w:spacing w:line="360" w:lineRule="auto"/>
        <w:ind w:firstLine="573"/>
        <w:rPr>
          <w:color w:val="auto"/>
        </w:rPr>
      </w:pPr>
      <w:r>
        <w:rPr>
          <w:rFonts w:hint="eastAsia"/>
          <w:color w:val="auto"/>
        </w:rPr>
        <w:t>（3）报价高于询价采购文件的最高限价；</w:t>
      </w:r>
    </w:p>
    <w:p w14:paraId="3FD754A0">
      <w:pPr>
        <w:snapToGrid w:val="0"/>
        <w:spacing w:line="360" w:lineRule="auto"/>
        <w:ind w:firstLine="573"/>
        <w:rPr>
          <w:color w:val="auto"/>
        </w:rPr>
      </w:pPr>
      <w:r>
        <w:rPr>
          <w:rFonts w:hint="eastAsia"/>
          <w:color w:val="auto"/>
        </w:rPr>
        <w:t>（4）竞标人的竞标文件的技术方案内容与采购项目实质性技术要求有严重背离；</w:t>
      </w:r>
    </w:p>
    <w:p w14:paraId="153B33FD">
      <w:pPr>
        <w:snapToGrid w:val="0"/>
        <w:spacing w:line="360" w:lineRule="auto"/>
        <w:ind w:firstLine="573"/>
        <w:rPr>
          <w:color w:val="auto"/>
        </w:rPr>
      </w:pPr>
      <w:r>
        <w:rPr>
          <w:rFonts w:hint="eastAsia"/>
          <w:color w:val="auto"/>
        </w:rPr>
        <w:t>（5）竞标人的资质不符合采购文件资质要求的内容。</w:t>
      </w:r>
    </w:p>
    <w:p w14:paraId="13009441">
      <w:pPr>
        <w:snapToGrid w:val="0"/>
        <w:spacing w:line="360" w:lineRule="auto"/>
        <w:ind w:firstLine="573"/>
        <w:rPr>
          <w:color w:val="auto"/>
        </w:rPr>
      </w:pPr>
      <w:r>
        <w:rPr>
          <w:rFonts w:hint="eastAsia"/>
          <w:color w:val="auto"/>
        </w:rPr>
        <w:t>（6）竞标文件未按要求密封、未按时送到准确地点。</w:t>
      </w:r>
    </w:p>
    <w:p w14:paraId="2A33478B">
      <w:pPr>
        <w:snapToGrid w:val="0"/>
        <w:spacing w:line="360" w:lineRule="auto"/>
        <w:ind w:firstLine="573"/>
        <w:rPr>
          <w:color w:val="auto"/>
        </w:rPr>
      </w:pPr>
      <w:r>
        <w:rPr>
          <w:rFonts w:hint="eastAsia"/>
          <w:color w:val="auto"/>
        </w:rPr>
        <w:t>7、出现以下情况之一的，应予废标，重新组织采购。</w:t>
      </w:r>
    </w:p>
    <w:p w14:paraId="6013542A">
      <w:pPr>
        <w:numPr>
          <w:ilvl w:val="0"/>
          <w:numId w:val="2"/>
        </w:numPr>
        <w:snapToGrid w:val="0"/>
        <w:spacing w:line="360" w:lineRule="auto"/>
        <w:rPr>
          <w:color w:val="auto"/>
        </w:rPr>
      </w:pPr>
      <w:r>
        <w:rPr>
          <w:rFonts w:hint="eastAsia"/>
          <w:color w:val="auto"/>
        </w:rPr>
        <w:t>出现影响采购公正的违法、违规行为的；</w:t>
      </w:r>
    </w:p>
    <w:p w14:paraId="42591F62">
      <w:pPr>
        <w:numPr>
          <w:ilvl w:val="0"/>
          <w:numId w:val="2"/>
        </w:numPr>
        <w:snapToGrid w:val="0"/>
        <w:spacing w:line="360" w:lineRule="auto"/>
        <w:rPr>
          <w:color w:val="auto"/>
        </w:rPr>
      </w:pPr>
      <w:r>
        <w:rPr>
          <w:rFonts w:hint="eastAsia"/>
          <w:color w:val="auto"/>
        </w:rPr>
        <w:t>竞标人的报价均超过了采购预算，采购人不能支付的；</w:t>
      </w:r>
    </w:p>
    <w:p w14:paraId="7F5F443E">
      <w:pPr>
        <w:numPr>
          <w:ilvl w:val="0"/>
          <w:numId w:val="2"/>
        </w:numPr>
        <w:snapToGrid w:val="0"/>
        <w:spacing w:line="360" w:lineRule="auto"/>
        <w:rPr>
          <w:color w:val="auto"/>
        </w:rPr>
      </w:pPr>
      <w:r>
        <w:rPr>
          <w:rFonts w:hint="eastAsia"/>
          <w:color w:val="auto"/>
        </w:rPr>
        <w:t>因重大变故，采购任务取消的；</w:t>
      </w:r>
    </w:p>
    <w:p w14:paraId="18BDE83A">
      <w:pPr>
        <w:pStyle w:val="3"/>
        <w:spacing w:line="360" w:lineRule="auto"/>
        <w:ind w:firstLine="539" w:firstLineChars="179"/>
        <w:rPr>
          <w:color w:val="auto"/>
          <w:sz w:val="30"/>
        </w:rPr>
      </w:pPr>
      <w:bookmarkStart w:id="12" w:name="_Toc1830"/>
      <w:r>
        <w:rPr>
          <w:rFonts w:hint="eastAsia"/>
          <w:color w:val="auto"/>
          <w:sz w:val="30"/>
        </w:rPr>
        <w:t>五、询价保证金</w:t>
      </w:r>
      <w:bookmarkEnd w:id="10"/>
      <w:bookmarkEnd w:id="11"/>
      <w:bookmarkEnd w:id="12"/>
    </w:p>
    <w:p w14:paraId="0939AD54">
      <w:pPr>
        <w:snapToGrid w:val="0"/>
        <w:spacing w:line="360" w:lineRule="auto"/>
        <w:ind w:firstLine="573"/>
        <w:rPr>
          <w:color w:val="auto"/>
        </w:rPr>
      </w:pPr>
      <w:r>
        <w:rPr>
          <w:rFonts w:hint="eastAsia"/>
          <w:color w:val="auto"/>
        </w:rPr>
        <w:t>本项目无询价保证金要求。</w:t>
      </w:r>
    </w:p>
    <w:p w14:paraId="40478BC4">
      <w:pPr>
        <w:pStyle w:val="3"/>
        <w:spacing w:line="360" w:lineRule="auto"/>
        <w:ind w:firstLine="539" w:firstLineChars="179"/>
        <w:rPr>
          <w:color w:val="auto"/>
          <w:sz w:val="30"/>
        </w:rPr>
      </w:pPr>
      <w:bookmarkStart w:id="13" w:name="_Toc233445126"/>
      <w:bookmarkStart w:id="14" w:name="_Toc102227321"/>
      <w:bookmarkStart w:id="15" w:name="_Toc8692"/>
      <w:r>
        <w:rPr>
          <w:rFonts w:hint="eastAsia"/>
          <w:color w:val="auto"/>
          <w:sz w:val="30"/>
        </w:rPr>
        <w:t>六、成交通知</w:t>
      </w:r>
      <w:bookmarkEnd w:id="13"/>
      <w:bookmarkEnd w:id="14"/>
      <w:bookmarkEnd w:id="15"/>
    </w:p>
    <w:p w14:paraId="1D90721D">
      <w:pPr>
        <w:snapToGrid w:val="0"/>
        <w:spacing w:line="360" w:lineRule="auto"/>
        <w:ind w:firstLine="480" w:firstLineChars="200"/>
        <w:rPr>
          <w:color w:val="auto"/>
          <w:szCs w:val="28"/>
        </w:rPr>
      </w:pPr>
      <w:bookmarkStart w:id="16" w:name="_Toc102227322"/>
      <w:bookmarkStart w:id="17" w:name="_Toc233445127"/>
      <w:r>
        <w:rPr>
          <w:rFonts w:hint="eastAsia"/>
          <w:color w:val="auto"/>
          <w:szCs w:val="28"/>
        </w:rPr>
        <w:t>询价公示期结束3个工作日内，我部将通知中标单位，进入合同签订流程。</w:t>
      </w:r>
    </w:p>
    <w:p w14:paraId="625239CA">
      <w:pPr>
        <w:pStyle w:val="3"/>
        <w:spacing w:line="360" w:lineRule="auto"/>
        <w:ind w:firstLine="539" w:firstLineChars="179"/>
        <w:rPr>
          <w:color w:val="auto"/>
          <w:sz w:val="30"/>
        </w:rPr>
      </w:pPr>
      <w:bookmarkStart w:id="18" w:name="_Toc18238"/>
      <w:r>
        <w:rPr>
          <w:rFonts w:hint="eastAsia"/>
          <w:color w:val="auto"/>
          <w:sz w:val="30"/>
        </w:rPr>
        <w:t>七、签订</w:t>
      </w:r>
      <w:bookmarkEnd w:id="16"/>
      <w:r>
        <w:rPr>
          <w:rFonts w:hint="eastAsia"/>
          <w:color w:val="auto"/>
          <w:sz w:val="30"/>
        </w:rPr>
        <w:t>合同</w:t>
      </w:r>
      <w:bookmarkEnd w:id="17"/>
      <w:bookmarkEnd w:id="18"/>
    </w:p>
    <w:p w14:paraId="541017B7">
      <w:pPr>
        <w:snapToGrid w:val="0"/>
        <w:spacing w:line="360" w:lineRule="auto"/>
        <w:ind w:firstLine="573"/>
        <w:rPr>
          <w:color w:val="auto"/>
          <w:szCs w:val="28"/>
        </w:rPr>
      </w:pPr>
      <w:r>
        <w:rPr>
          <w:color w:val="auto"/>
          <w:szCs w:val="28"/>
        </w:rPr>
        <w:t>1</w:t>
      </w:r>
      <w:r>
        <w:rPr>
          <w:rFonts w:hint="eastAsia"/>
          <w:color w:val="auto"/>
          <w:szCs w:val="28"/>
        </w:rPr>
        <w:t>、成交供应商按成交要求指定时间、地点与采购人签订采购合同。</w:t>
      </w:r>
    </w:p>
    <w:p w14:paraId="355824EE">
      <w:pPr>
        <w:snapToGrid w:val="0"/>
        <w:spacing w:line="360" w:lineRule="auto"/>
        <w:ind w:firstLine="573"/>
        <w:rPr>
          <w:color w:val="auto"/>
          <w:szCs w:val="28"/>
        </w:rPr>
      </w:pPr>
      <w:r>
        <w:rPr>
          <w:color w:val="auto"/>
          <w:szCs w:val="28"/>
        </w:rPr>
        <w:t>2</w:t>
      </w:r>
      <w:r>
        <w:rPr>
          <w:rFonts w:hint="eastAsia"/>
          <w:color w:val="auto"/>
          <w:szCs w:val="28"/>
        </w:rPr>
        <w:t>、成交供应商的竞标文件及有效承诺文件等，均为签订合同的依据。</w:t>
      </w:r>
    </w:p>
    <w:p w14:paraId="0635E61D">
      <w:r>
        <w:rPr>
          <w:color w:val="auto"/>
          <w:szCs w:val="28"/>
        </w:rPr>
        <w:t>3</w:t>
      </w:r>
      <w:r>
        <w:rPr>
          <w:rFonts w:hint="eastAsia"/>
          <w:color w:val="auto"/>
          <w:szCs w:val="28"/>
        </w:rPr>
        <w:t>、如成交供应商放弃成交项目或在签订合同时改变成交状态，我公司将取消其成交资格。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852C2"/>
    <w:multiLevelType w:val="multilevel"/>
    <w:tmpl w:val="3DD852C2"/>
    <w:lvl w:ilvl="0" w:tentative="0">
      <w:start w:val="1"/>
      <w:numFmt w:val="bullet"/>
      <w:lvlText w:val=""/>
      <w:lvlJc w:val="left"/>
      <w:pPr>
        <w:tabs>
          <w:tab w:val="left" w:pos="993"/>
        </w:tabs>
        <w:ind w:left="993" w:hanging="420"/>
      </w:pPr>
      <w:rPr>
        <w:rFonts w:hint="default" w:ascii="Wingdings" w:hAnsi="Wingdings"/>
      </w:rPr>
    </w:lvl>
    <w:lvl w:ilvl="1" w:tentative="0">
      <w:start w:val="1"/>
      <w:numFmt w:val="bullet"/>
      <w:lvlText w:val=""/>
      <w:lvlJc w:val="left"/>
      <w:pPr>
        <w:tabs>
          <w:tab w:val="left" w:pos="1413"/>
        </w:tabs>
        <w:ind w:left="1413" w:hanging="420"/>
      </w:pPr>
      <w:rPr>
        <w:rFonts w:hint="default" w:ascii="Wingdings" w:hAnsi="Wingdings"/>
      </w:rPr>
    </w:lvl>
    <w:lvl w:ilvl="2" w:tentative="0">
      <w:start w:val="1"/>
      <w:numFmt w:val="bullet"/>
      <w:lvlText w:val=""/>
      <w:lvlJc w:val="left"/>
      <w:pPr>
        <w:tabs>
          <w:tab w:val="left" w:pos="1833"/>
        </w:tabs>
        <w:ind w:left="1833" w:hanging="420"/>
      </w:pPr>
      <w:rPr>
        <w:rFonts w:hint="default" w:ascii="Wingdings" w:hAnsi="Wingdings"/>
      </w:rPr>
    </w:lvl>
    <w:lvl w:ilvl="3" w:tentative="0">
      <w:start w:val="1"/>
      <w:numFmt w:val="bullet"/>
      <w:lvlText w:val=""/>
      <w:lvlJc w:val="left"/>
      <w:pPr>
        <w:tabs>
          <w:tab w:val="left" w:pos="2253"/>
        </w:tabs>
        <w:ind w:left="2253" w:hanging="420"/>
      </w:pPr>
      <w:rPr>
        <w:rFonts w:hint="default" w:ascii="Wingdings" w:hAnsi="Wingdings"/>
      </w:rPr>
    </w:lvl>
    <w:lvl w:ilvl="4" w:tentative="0">
      <w:start w:val="1"/>
      <w:numFmt w:val="bullet"/>
      <w:lvlText w:val=""/>
      <w:lvlJc w:val="left"/>
      <w:pPr>
        <w:tabs>
          <w:tab w:val="left" w:pos="2673"/>
        </w:tabs>
        <w:ind w:left="2673" w:hanging="420"/>
      </w:pPr>
      <w:rPr>
        <w:rFonts w:hint="default" w:ascii="Wingdings" w:hAnsi="Wingdings"/>
      </w:rPr>
    </w:lvl>
    <w:lvl w:ilvl="5" w:tentative="0">
      <w:start w:val="1"/>
      <w:numFmt w:val="bullet"/>
      <w:lvlText w:val=""/>
      <w:lvlJc w:val="left"/>
      <w:pPr>
        <w:tabs>
          <w:tab w:val="left" w:pos="3093"/>
        </w:tabs>
        <w:ind w:left="3093" w:hanging="420"/>
      </w:pPr>
      <w:rPr>
        <w:rFonts w:hint="default" w:ascii="Wingdings" w:hAnsi="Wingdings"/>
      </w:rPr>
    </w:lvl>
    <w:lvl w:ilvl="6" w:tentative="0">
      <w:start w:val="1"/>
      <w:numFmt w:val="bullet"/>
      <w:lvlText w:val=""/>
      <w:lvlJc w:val="left"/>
      <w:pPr>
        <w:tabs>
          <w:tab w:val="left" w:pos="3513"/>
        </w:tabs>
        <w:ind w:left="3513" w:hanging="420"/>
      </w:pPr>
      <w:rPr>
        <w:rFonts w:hint="default" w:ascii="Wingdings" w:hAnsi="Wingdings"/>
      </w:rPr>
    </w:lvl>
    <w:lvl w:ilvl="7" w:tentative="0">
      <w:start w:val="1"/>
      <w:numFmt w:val="bullet"/>
      <w:lvlText w:val=""/>
      <w:lvlJc w:val="left"/>
      <w:pPr>
        <w:tabs>
          <w:tab w:val="left" w:pos="3933"/>
        </w:tabs>
        <w:ind w:left="3933" w:hanging="420"/>
      </w:pPr>
      <w:rPr>
        <w:rFonts w:hint="default" w:ascii="Wingdings" w:hAnsi="Wingdings"/>
      </w:rPr>
    </w:lvl>
    <w:lvl w:ilvl="8" w:tentative="0">
      <w:start w:val="1"/>
      <w:numFmt w:val="bullet"/>
      <w:lvlText w:val=""/>
      <w:lvlJc w:val="left"/>
      <w:pPr>
        <w:tabs>
          <w:tab w:val="left" w:pos="4353"/>
        </w:tabs>
        <w:ind w:left="4353" w:hanging="420"/>
      </w:pPr>
      <w:rPr>
        <w:rFonts w:hint="default" w:ascii="Wingdings" w:hAnsi="Wingdings"/>
      </w:rPr>
    </w:lvl>
  </w:abstractNum>
  <w:abstractNum w:abstractNumId="1">
    <w:nsid w:val="5EBE5884"/>
    <w:multiLevelType w:val="multilevel"/>
    <w:tmpl w:val="5EBE5884"/>
    <w:lvl w:ilvl="0" w:tentative="0">
      <w:start w:val="1"/>
      <w:numFmt w:val="japaneseCounting"/>
      <w:lvlText w:val="%1、"/>
      <w:lvlJc w:val="left"/>
      <w:pPr>
        <w:ind w:left="1127" w:hanging="600"/>
      </w:pPr>
      <w:rPr>
        <w:rFonts w:hint="default"/>
        <w:b w:val="0"/>
      </w:rPr>
    </w:lvl>
    <w:lvl w:ilvl="1" w:tentative="0">
      <w:start w:val="1"/>
      <w:numFmt w:val="lowerLetter"/>
      <w:lvlText w:val="%2)"/>
      <w:lvlJc w:val="left"/>
      <w:pPr>
        <w:ind w:left="1367" w:hanging="420"/>
      </w:pPr>
    </w:lvl>
    <w:lvl w:ilvl="2" w:tentative="0">
      <w:start w:val="1"/>
      <w:numFmt w:val="lowerRoman"/>
      <w:lvlText w:val="%3."/>
      <w:lvlJc w:val="right"/>
      <w:pPr>
        <w:ind w:left="1787" w:hanging="420"/>
      </w:pPr>
    </w:lvl>
    <w:lvl w:ilvl="3" w:tentative="0">
      <w:start w:val="1"/>
      <w:numFmt w:val="decimal"/>
      <w:lvlText w:val="%4."/>
      <w:lvlJc w:val="left"/>
      <w:pPr>
        <w:ind w:left="2207" w:hanging="420"/>
      </w:pPr>
    </w:lvl>
    <w:lvl w:ilvl="4" w:tentative="0">
      <w:start w:val="1"/>
      <w:numFmt w:val="lowerLetter"/>
      <w:lvlText w:val="%5)"/>
      <w:lvlJc w:val="left"/>
      <w:pPr>
        <w:ind w:left="2627" w:hanging="420"/>
      </w:pPr>
    </w:lvl>
    <w:lvl w:ilvl="5" w:tentative="0">
      <w:start w:val="1"/>
      <w:numFmt w:val="lowerRoman"/>
      <w:lvlText w:val="%6."/>
      <w:lvlJc w:val="right"/>
      <w:pPr>
        <w:ind w:left="3047" w:hanging="420"/>
      </w:pPr>
    </w:lvl>
    <w:lvl w:ilvl="6" w:tentative="0">
      <w:start w:val="1"/>
      <w:numFmt w:val="decimal"/>
      <w:lvlText w:val="%7."/>
      <w:lvlJc w:val="left"/>
      <w:pPr>
        <w:ind w:left="3467" w:hanging="420"/>
      </w:pPr>
    </w:lvl>
    <w:lvl w:ilvl="7" w:tentative="0">
      <w:start w:val="1"/>
      <w:numFmt w:val="lowerLetter"/>
      <w:lvlText w:val="%8)"/>
      <w:lvlJc w:val="left"/>
      <w:pPr>
        <w:ind w:left="3887" w:hanging="420"/>
      </w:pPr>
    </w:lvl>
    <w:lvl w:ilvl="8" w:tentative="0">
      <w:start w:val="1"/>
      <w:numFmt w:val="lowerRoman"/>
      <w:lvlText w:val="%9."/>
      <w:lvlJc w:val="right"/>
      <w:pPr>
        <w:ind w:left="430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D216C"/>
    <w:rsid w:val="0AEE78F5"/>
    <w:rsid w:val="114D216C"/>
    <w:rsid w:val="2B394179"/>
    <w:rsid w:val="2F24706F"/>
    <w:rsid w:val="310A2C7E"/>
    <w:rsid w:val="41FF52A9"/>
    <w:rsid w:val="502216C2"/>
    <w:rsid w:val="542F02A3"/>
    <w:rsid w:val="54836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样式1"/>
    <w:basedOn w:val="1"/>
    <w:autoRedefine/>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1573</Words>
  <Characters>1683</Characters>
  <Lines>0</Lines>
  <Paragraphs>0</Paragraphs>
  <TotalTime>3</TotalTime>
  <ScaleCrop>false</ScaleCrop>
  <LinksUpToDate>false</LinksUpToDate>
  <CharactersWithSpaces>1698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2026-05-18T06:45:00Z</dcterms:created>
  <dc:creator>殷佳玉</dc:creator>
  <cp:lastModifiedBy>卷起千堆雪</cp:lastModifiedBy>
  <dcterms:modified xsi:type="dcterms:W3CDTF">2026-06-02T07:53:19Z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8A888F16D3A64935BFC32B453567AEC7_13</vt:lpwstr>
  </property>
  <property fmtid="{D5CDD505-2E9C-101B-9397-08002B2CF9AE}" pid="4" name="KSOTemplateDocerSaveRecord">
    <vt:lpwstr>eyJoZGlkIjoiZjk0MzBhOWQ1ZDJiOWMwZjUxOGI3ZmMzOTk1ZGI1ZGEiLCJ1c2VySWQiOiIxMTQ2NTc1NDM2In0=</vt:lpwstr>
  </property>
</Properties>
</file>