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28DBB">
      <w:pPr>
        <w:spacing w:line="360" w:lineRule="auto"/>
        <w:jc w:val="center"/>
        <w:outlineLvl w:val="0"/>
        <w:rPr>
          <w:rFonts w:hint="eastAsia"/>
          <w:b/>
          <w:bCs/>
          <w:sz w:val="36"/>
          <w:highlight w:val="none"/>
        </w:rPr>
      </w:pPr>
      <w:bookmarkStart w:id="0" w:name="_Toc11641050"/>
      <w:bookmarkStart w:id="1" w:name="_Toc22443"/>
      <w:bookmarkStart w:id="2" w:name="_Toc28958"/>
      <w:bookmarkStart w:id="3" w:name="_Toc25725118"/>
      <w:bookmarkStart w:id="4" w:name="_Toc28950"/>
      <w:bookmarkStart w:id="5" w:name="_Toc14392"/>
      <w:bookmarkStart w:id="6" w:name="_Toc15781"/>
      <w:r>
        <w:rPr>
          <w:rFonts w:hint="eastAsia"/>
          <w:b/>
          <w:bCs/>
          <w:sz w:val="36"/>
          <w:highlight w:val="none"/>
        </w:rPr>
        <w:t xml:space="preserve">第一篇  </w:t>
      </w:r>
      <w:bookmarkEnd w:id="0"/>
      <w:r>
        <w:rPr>
          <w:rFonts w:hint="eastAsia"/>
          <w:b/>
          <w:bCs/>
          <w:sz w:val="36"/>
          <w:highlight w:val="none"/>
        </w:rPr>
        <w:t>询价采购项目书</w:t>
      </w:r>
      <w:bookmarkEnd w:id="1"/>
      <w:bookmarkEnd w:id="2"/>
      <w:bookmarkEnd w:id="3"/>
      <w:bookmarkEnd w:id="4"/>
      <w:bookmarkEnd w:id="5"/>
      <w:bookmarkEnd w:id="6"/>
    </w:p>
    <w:p w14:paraId="69964EC7">
      <w:pPr>
        <w:spacing w:line="360" w:lineRule="auto"/>
        <w:ind w:firstLine="480" w:firstLineChars="200"/>
        <w:outlineLvl w:val="9"/>
        <w:rPr>
          <w:highlight w:val="none"/>
        </w:rPr>
      </w:pPr>
      <w:r>
        <w:rPr>
          <w:rFonts w:hint="eastAsia"/>
          <w:highlight w:val="none"/>
        </w:rPr>
        <w:t>湖北机场集团信息科技有限公司对</w:t>
      </w:r>
      <w:r>
        <w:rPr>
          <w:rFonts w:hint="eastAsia"/>
          <w:highlight w:val="none"/>
          <w:u w:val="single"/>
        </w:rPr>
        <w:t>电子与智能化工程专业承包贰级</w:t>
      </w:r>
      <w:r>
        <w:rPr>
          <w:rFonts w:hint="eastAsia"/>
          <w:highlight w:val="none"/>
          <w:u w:val="single"/>
          <w:lang w:val="en-US" w:eastAsia="zh-CN"/>
        </w:rPr>
        <w:t>咨询服务</w:t>
      </w:r>
      <w:r>
        <w:rPr>
          <w:rFonts w:hint="eastAsia"/>
          <w:highlight w:val="none"/>
        </w:rPr>
        <w:t>进行询价，湖北机场集团信息科技有限公司负责经办，所有询价采购事宜由湖北机场集团信息科技有限公司负责联系。</w:t>
      </w:r>
    </w:p>
    <w:p w14:paraId="0A054B1A">
      <w:pPr>
        <w:numPr>
          <w:ilvl w:val="0"/>
          <w:numId w:val="0"/>
        </w:numPr>
        <w:spacing w:line="360" w:lineRule="auto"/>
        <w:ind w:firstLine="600" w:firstLineChars="200"/>
        <w:outlineLvl w:val="9"/>
        <w:rPr>
          <w:rFonts w:hint="eastAsia"/>
          <w:sz w:val="30"/>
          <w:highlight w:val="none"/>
        </w:rPr>
      </w:pPr>
      <w:bookmarkStart w:id="7" w:name="_Toc17101"/>
      <w:bookmarkStart w:id="8" w:name="_Toc3111"/>
      <w:bookmarkStart w:id="9" w:name="_Toc11641051"/>
      <w:bookmarkStart w:id="10" w:name="_Toc25725119"/>
      <w:r>
        <w:rPr>
          <w:rFonts w:hint="eastAsia"/>
          <w:sz w:val="30"/>
          <w:highlight w:val="none"/>
          <w:lang w:val="en-US" w:eastAsia="zh-CN"/>
        </w:rPr>
        <w:t>一、</w:t>
      </w:r>
      <w:r>
        <w:rPr>
          <w:rFonts w:hint="eastAsia"/>
          <w:sz w:val="30"/>
          <w:highlight w:val="none"/>
        </w:rPr>
        <w:t>询价内容：</w:t>
      </w:r>
      <w:bookmarkEnd w:id="7"/>
      <w:bookmarkEnd w:id="8"/>
    </w:p>
    <w:tbl>
      <w:tblPr>
        <w:tblStyle w:val="36"/>
        <w:tblW w:w="832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2817"/>
        <w:gridCol w:w="4807"/>
      </w:tblGrid>
      <w:tr w14:paraId="7973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DB67E28">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76BED22B">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eastAsia="宋体" w:cs="宋体"/>
                <w:i w:val="0"/>
                <w:iCs w:val="0"/>
                <w:color w:val="000000"/>
                <w:kern w:val="0"/>
                <w:sz w:val="24"/>
                <w:szCs w:val="24"/>
                <w:u w:val="none"/>
                <w:lang w:val="en-US" w:eastAsia="zh-CN" w:bidi="ar"/>
              </w:rPr>
              <w:t>服务</w:t>
            </w:r>
            <w:r>
              <w:rPr>
                <w:rFonts w:hint="eastAsia" w:ascii="宋体" w:hAnsi="宋体" w:eastAsia="宋体" w:cs="宋体"/>
                <w:i w:val="0"/>
                <w:iCs w:val="0"/>
                <w:color w:val="000000"/>
                <w:kern w:val="0"/>
                <w:sz w:val="24"/>
                <w:szCs w:val="24"/>
                <w:u w:val="none"/>
                <w:lang w:val="en-US" w:eastAsia="zh-CN" w:bidi="ar"/>
              </w:rPr>
              <w:t>名称</w:t>
            </w:r>
          </w:p>
        </w:tc>
        <w:tc>
          <w:tcPr>
            <w:tcW w:w="4807" w:type="dxa"/>
            <w:tcBorders>
              <w:top w:val="single" w:color="000000" w:sz="4" w:space="0"/>
              <w:left w:val="single" w:color="000000" w:sz="4" w:space="0"/>
              <w:bottom w:val="single" w:color="000000" w:sz="4" w:space="0"/>
              <w:right w:val="single" w:color="000000" w:sz="4" w:space="0"/>
            </w:tcBorders>
            <w:noWrap/>
            <w:vAlign w:val="center"/>
          </w:tcPr>
          <w:p w14:paraId="599308DE">
            <w:pPr>
              <w:keepNext w:val="0"/>
              <w:keepLines w:val="0"/>
              <w:widowControl/>
              <w:suppressLineNumbers w:val="0"/>
              <w:jc w:val="center"/>
              <w:textAlignment w:val="center"/>
              <w:outlineLvl w:val="9"/>
              <w:rPr>
                <w:rFonts w:hint="default" w:ascii="宋体" w:hAnsi="宋体" w:eastAsia="宋体" w:cs="宋体"/>
                <w:i w:val="0"/>
                <w:iCs w:val="0"/>
                <w:color w:val="000000"/>
                <w:sz w:val="24"/>
                <w:szCs w:val="24"/>
                <w:u w:val="none"/>
                <w:lang w:val="en-US" w:eastAsia="zh-CN"/>
              </w:rPr>
            </w:pPr>
            <w:r>
              <w:rPr>
                <w:rFonts w:hint="eastAsia" w:eastAsia="宋体" w:cs="宋体"/>
                <w:i w:val="0"/>
                <w:iCs w:val="0"/>
                <w:color w:val="000000"/>
                <w:sz w:val="24"/>
                <w:szCs w:val="24"/>
                <w:u w:val="none"/>
                <w:lang w:val="en-US" w:eastAsia="zh-CN"/>
              </w:rPr>
              <w:t>服务内容</w:t>
            </w:r>
          </w:p>
        </w:tc>
      </w:tr>
      <w:tr w14:paraId="5EC6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293CCB3F">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4CF0D4D">
            <w:pPr>
              <w:keepNext w:val="0"/>
              <w:keepLines w:val="0"/>
              <w:widowControl/>
              <w:suppressLineNumbers w:val="0"/>
              <w:jc w:val="center"/>
              <w:textAlignment w:val="center"/>
              <w:outlineLvl w:val="9"/>
              <w:rPr>
                <w:rFonts w:hint="eastAsia" w:ascii="宋体" w:hAnsi="宋体" w:eastAsia="宋体" w:cs="宋体"/>
                <w:i w:val="0"/>
                <w:iCs w:val="0"/>
                <w:color w:val="000000"/>
                <w:sz w:val="24"/>
                <w:szCs w:val="24"/>
                <w:u w:val="none"/>
              </w:rPr>
            </w:pPr>
            <w:r>
              <w:rPr>
                <w:rFonts w:hint="eastAsia" w:ascii="宋体" w:hAnsi="宋体" w:eastAsia="宋体" w:cs="宋体"/>
                <w:b w:val="0"/>
                <w:bCs/>
                <w:sz w:val="21"/>
                <w:szCs w:val="21"/>
              </w:rPr>
              <w:t>建筑业企业资质新办--电子与智能化工程专业承包贰级</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14:paraId="1EA03D27">
            <w:pPr>
              <w:keepNext w:val="0"/>
              <w:keepLines w:val="0"/>
              <w:widowControl/>
              <w:suppressLineNumbers w:val="0"/>
              <w:jc w:val="left"/>
              <w:textAlignment w:val="center"/>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1.认证资质：协助采购方成功新办《电子与智能化工程专业承包贰级》建筑业企业资质，确保资质合法有效、可正常使用。</w:t>
            </w:r>
          </w:p>
          <w:p w14:paraId="37A27D97">
            <w:pPr>
              <w:keepNext w:val="0"/>
              <w:keepLines w:val="0"/>
              <w:widowControl/>
              <w:suppressLineNumbers w:val="0"/>
              <w:jc w:val="left"/>
              <w:textAlignment w:val="center"/>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2.取得资质范围：确保所办资质可覆盖电子与智能化工程专业承包贰级对应的法定承包范围，满足采购方日常经营及项目承接需求。</w:t>
            </w:r>
          </w:p>
          <w:p w14:paraId="6354AA46">
            <w:pPr>
              <w:keepNext w:val="0"/>
              <w:keepLines w:val="0"/>
              <w:widowControl/>
              <w:suppressLineNumbers w:val="0"/>
              <w:jc w:val="left"/>
              <w:textAlignment w:val="center"/>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3.证书要求：协助采购方取得官方核发的电子证书1套，确保证书信息准确、可查询、无任何瑕疵。</w:t>
            </w:r>
          </w:p>
          <w:p w14:paraId="55604EAD">
            <w:pPr>
              <w:keepNext w:val="0"/>
              <w:keepLines w:val="0"/>
              <w:widowControl/>
              <w:suppressLineNumbers w:val="0"/>
              <w:jc w:val="left"/>
              <w:textAlignment w:val="center"/>
              <w:outlineLvl w:val="9"/>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sz w:val="21"/>
                <w:szCs w:val="21"/>
                <w:lang w:val="en-US" w:eastAsia="zh-CN"/>
              </w:rPr>
              <w:t>4.技术服务：提供资质申报全流程一站式辅导服务，全程协助采购方推进资质新办工作，直至采购方成功取得目标资质，具体包括但不限于：人员配置优化建议、相关人员证书注册协助、申报资料收集与整理、申报材料合规性审核、申报文件规范编制、申报全流程操作指导、进度实时管控、申报过程中各类问题协调解决，以及资质取得后的后续维护服务。</w:t>
            </w:r>
          </w:p>
        </w:tc>
      </w:tr>
    </w:tbl>
    <w:p w14:paraId="5CDEE99A">
      <w:pPr>
        <w:outlineLvl w:val="9"/>
        <w:rPr>
          <w:rFonts w:hint="eastAsia"/>
          <w:highlight w:val="none"/>
        </w:rPr>
      </w:pPr>
    </w:p>
    <w:p w14:paraId="4DF73BB5">
      <w:pPr>
        <w:rPr>
          <w:highlight w:val="none"/>
        </w:rPr>
      </w:pPr>
      <w:r>
        <w:rPr>
          <w:rFonts w:hint="eastAsia"/>
          <w:highlight w:val="yellow"/>
        </w:rPr>
        <w:t>采购预算</w:t>
      </w:r>
      <w:r>
        <w:rPr>
          <w:rFonts w:hint="eastAsia"/>
          <w:highlight w:val="yellow"/>
          <w:lang w:eastAsia="zh-CN"/>
        </w:rPr>
        <w:t>（</w:t>
      </w:r>
      <w:r>
        <w:rPr>
          <w:rFonts w:hint="eastAsia"/>
          <w:highlight w:val="yellow"/>
          <w:lang w:val="en-US" w:eastAsia="zh-CN"/>
        </w:rPr>
        <w:t>含税</w:t>
      </w:r>
      <w:r>
        <w:rPr>
          <w:rFonts w:hint="eastAsia"/>
          <w:highlight w:val="yellow"/>
          <w:lang w:eastAsia="zh-CN"/>
        </w:rPr>
        <w:t>）</w:t>
      </w:r>
      <w:r>
        <w:rPr>
          <w:rFonts w:hint="eastAsia"/>
          <w:highlight w:val="yellow"/>
        </w:rPr>
        <w:t>：</w:t>
      </w:r>
      <w:r>
        <w:rPr>
          <w:rFonts w:hint="eastAsia"/>
          <w:highlight w:val="yellow"/>
          <w:u w:val="single"/>
          <w:lang w:val="en-US" w:eastAsia="zh-CN"/>
        </w:rPr>
        <w:t>人民币</w:t>
      </w:r>
      <w:r>
        <w:rPr>
          <w:rFonts w:hint="eastAsia" w:ascii="宋体" w:hAnsi="宋体" w:eastAsia="宋体" w:cs="宋体"/>
          <w:highlight w:val="yellow"/>
          <w:u w:val="single"/>
          <w:lang w:val="en-US" w:eastAsia="zh-CN"/>
        </w:rPr>
        <w:t>玖万元整</w:t>
      </w:r>
      <w:r>
        <w:rPr>
          <w:rFonts w:hint="eastAsia"/>
          <w:highlight w:val="yellow"/>
          <w:u w:val="single"/>
          <w:lang w:val="en-US" w:eastAsia="zh-CN"/>
        </w:rPr>
        <w:t>（¥90,000.00）</w:t>
      </w:r>
      <w:r>
        <w:rPr>
          <w:rFonts w:hint="eastAsia"/>
          <w:highlight w:val="none"/>
        </w:rPr>
        <w:t>，响应报价超过采购预算金额的，其报价无效。</w:t>
      </w:r>
      <w:r>
        <w:rPr>
          <w:rFonts w:hint="eastAsia"/>
          <w:lang w:eastAsia="zh-CN"/>
        </w:rPr>
        <w:t>报价</w:t>
      </w:r>
      <w:r>
        <w:rPr>
          <w:rFonts w:hint="eastAsia"/>
          <w:lang w:val="en-US" w:eastAsia="zh-CN"/>
        </w:rPr>
        <w:t>应</w:t>
      </w:r>
      <w:r>
        <w:rPr>
          <w:rFonts w:hint="eastAsia"/>
          <w:lang w:eastAsia="zh-CN"/>
        </w:rPr>
        <w:t>包含资质新办及后续维护相关的全部服务费用，无任何隐形收费。</w:t>
      </w:r>
    </w:p>
    <w:p w14:paraId="3E620D03">
      <w:pPr>
        <w:spacing w:line="360" w:lineRule="auto"/>
        <w:ind w:firstLine="527"/>
        <w:outlineLvl w:val="9"/>
        <w:rPr>
          <w:rFonts w:hint="eastAsia"/>
          <w:sz w:val="30"/>
          <w:highlight w:val="none"/>
        </w:rPr>
      </w:pPr>
      <w:bookmarkStart w:id="11" w:name="_Toc1841"/>
      <w:bookmarkStart w:id="12" w:name="_Toc1050"/>
      <w:r>
        <w:rPr>
          <w:rFonts w:hint="eastAsia"/>
          <w:sz w:val="30"/>
          <w:highlight w:val="none"/>
        </w:rPr>
        <w:t>二、询价采购时间、地点</w:t>
      </w:r>
      <w:bookmarkEnd w:id="9"/>
      <w:bookmarkEnd w:id="10"/>
      <w:bookmarkEnd w:id="11"/>
      <w:bookmarkEnd w:id="12"/>
    </w:p>
    <w:p w14:paraId="47FA7514">
      <w:pPr>
        <w:tabs>
          <w:tab w:val="left" w:pos="378"/>
        </w:tabs>
        <w:snapToGrid w:val="0"/>
        <w:spacing w:line="360" w:lineRule="auto"/>
        <w:ind w:left="142"/>
        <w:outlineLvl w:val="9"/>
        <w:rPr>
          <w:highlight w:val="none"/>
        </w:rPr>
      </w:pPr>
      <w:r>
        <w:rPr>
          <w:rFonts w:hint="eastAsia"/>
          <w:highlight w:val="none"/>
        </w:rPr>
        <w:t>1、询价采购文件获取</w:t>
      </w:r>
      <w:bookmarkStart w:id="13" w:name="_Hlk485112949"/>
    </w:p>
    <w:p w14:paraId="03E46DE3">
      <w:pPr>
        <w:tabs>
          <w:tab w:val="left" w:pos="378"/>
        </w:tabs>
        <w:snapToGrid w:val="0"/>
        <w:spacing w:line="360" w:lineRule="auto"/>
        <w:ind w:firstLine="480" w:firstLineChars="200"/>
        <w:outlineLvl w:val="9"/>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2026年</w:t>
      </w:r>
      <w:r>
        <w:rPr>
          <w:rFonts w:hint="eastAsia"/>
          <w:highlight w:val="none"/>
        </w:rPr>
        <w:t xml:space="preserve"> </w:t>
      </w:r>
      <w:r>
        <w:rPr>
          <w:rFonts w:hint="eastAsia"/>
          <w:highlight w:val="none"/>
          <w:lang w:val="en-US" w:eastAsia="zh-CN"/>
        </w:rPr>
        <w:t>5</w:t>
      </w:r>
      <w:r>
        <w:rPr>
          <w:rFonts w:hint="eastAsia"/>
          <w:highlight w:val="none"/>
        </w:rPr>
        <w:t xml:space="preserve">月 </w:t>
      </w:r>
      <w:r>
        <w:rPr>
          <w:rFonts w:hint="eastAsia"/>
          <w:highlight w:val="none"/>
          <w:lang w:val="en-US" w:eastAsia="zh-CN"/>
        </w:rPr>
        <w:t>27</w:t>
      </w:r>
      <w:r>
        <w:rPr>
          <w:rFonts w:hint="eastAsia"/>
          <w:highlight w:val="none"/>
        </w:rPr>
        <w:t xml:space="preserve"> 日至</w:t>
      </w:r>
      <w:r>
        <w:rPr>
          <w:rFonts w:hint="eastAsia"/>
          <w:highlight w:val="none"/>
          <w:lang w:eastAsia="zh-CN"/>
        </w:rPr>
        <w:t>2026年</w:t>
      </w:r>
      <w:r>
        <w:rPr>
          <w:rFonts w:hint="eastAsia"/>
          <w:highlight w:val="none"/>
        </w:rPr>
        <w:t xml:space="preserve"> </w:t>
      </w:r>
      <w:r>
        <w:rPr>
          <w:rFonts w:hint="eastAsia"/>
          <w:highlight w:val="none"/>
          <w:lang w:val="en-US" w:eastAsia="zh-CN"/>
        </w:rPr>
        <w:t>5</w:t>
      </w:r>
      <w:r>
        <w:rPr>
          <w:rFonts w:hint="eastAsia"/>
          <w:highlight w:val="none"/>
        </w:rPr>
        <w:t xml:space="preserve"> 月 </w:t>
      </w:r>
      <w:r>
        <w:rPr>
          <w:rFonts w:hint="eastAsia"/>
          <w:highlight w:val="none"/>
          <w:lang w:val="en-US" w:eastAsia="zh-CN"/>
        </w:rPr>
        <w:t>29</w:t>
      </w:r>
      <w:r>
        <w:rPr>
          <w:rFonts w:hint="eastAsia"/>
          <w:highlight w:val="none"/>
        </w:rPr>
        <w:t xml:space="preserve"> 日（北京时间每天上午9:30～11:30、下午14:00～16:00，法定节假日除外）。</w:t>
      </w:r>
    </w:p>
    <w:p w14:paraId="58BCA9E4">
      <w:pPr>
        <w:snapToGrid w:val="0"/>
        <w:spacing w:line="360" w:lineRule="auto"/>
        <w:ind w:firstLine="480" w:firstLineChars="200"/>
        <w:outlineLvl w:val="9"/>
        <w:rPr>
          <w:rFonts w:hint="eastAsia"/>
          <w:highlight w:val="none"/>
        </w:rPr>
      </w:pPr>
      <w:r>
        <w:rPr>
          <w:rFonts w:hint="eastAsia"/>
          <w:highlight w:val="none"/>
        </w:rPr>
        <w:t>（2）地点：湖北机场集团公司综合楼C326。</w:t>
      </w:r>
    </w:p>
    <w:p w14:paraId="20CD5C00">
      <w:pPr>
        <w:snapToGrid w:val="0"/>
        <w:spacing w:line="360" w:lineRule="auto"/>
        <w:ind w:firstLine="480" w:firstLineChars="200"/>
        <w:outlineLvl w:val="9"/>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7EB68BE3">
      <w:pPr>
        <w:snapToGrid w:val="0"/>
        <w:spacing w:line="360" w:lineRule="auto"/>
        <w:ind w:left="142" w:leftChars="59"/>
        <w:outlineLvl w:val="9"/>
        <w:rPr>
          <w:rFonts w:hint="eastAsia"/>
          <w:highlight w:val="none"/>
        </w:rPr>
      </w:pPr>
      <w:r>
        <w:rPr>
          <w:rFonts w:hint="eastAsia"/>
          <w:highlight w:val="none"/>
        </w:rPr>
        <w:t>2、投递报价文件地点：</w:t>
      </w:r>
    </w:p>
    <w:p w14:paraId="10444A05">
      <w:pPr>
        <w:snapToGrid w:val="0"/>
        <w:spacing w:line="360" w:lineRule="auto"/>
        <w:ind w:firstLine="360" w:firstLineChars="150"/>
        <w:outlineLvl w:val="9"/>
        <w:rPr>
          <w:highlight w:val="none"/>
        </w:rPr>
      </w:pPr>
      <w:r>
        <w:rPr>
          <w:rFonts w:hint="eastAsia"/>
          <w:highlight w:val="none"/>
        </w:rPr>
        <w:t xml:space="preserve"> 湖北机场集团公司综合楼C326</w:t>
      </w:r>
    </w:p>
    <w:p w14:paraId="55E4A6CB">
      <w:pPr>
        <w:tabs>
          <w:tab w:val="left" w:pos="426"/>
          <w:tab w:val="left" w:pos="993"/>
        </w:tabs>
        <w:snapToGrid w:val="0"/>
        <w:spacing w:line="360" w:lineRule="auto"/>
        <w:ind w:left="142" w:leftChars="59"/>
        <w:outlineLvl w:val="9"/>
        <w:rPr>
          <w:rFonts w:hint="eastAsia"/>
          <w:highlight w:val="none"/>
        </w:rPr>
      </w:pPr>
      <w:r>
        <w:rPr>
          <w:rFonts w:hint="eastAsia"/>
          <w:highlight w:val="none"/>
        </w:rPr>
        <w:t xml:space="preserve">3、投递报价文件截止时间： </w:t>
      </w:r>
      <w:r>
        <w:rPr>
          <w:rFonts w:hint="eastAsia"/>
          <w:highlight w:val="none"/>
          <w:lang w:eastAsia="zh-CN"/>
        </w:rPr>
        <w:t>2026年</w:t>
      </w:r>
      <w:r>
        <w:rPr>
          <w:rFonts w:hint="eastAsia"/>
          <w:highlight w:val="none"/>
        </w:rPr>
        <w:t xml:space="preserve"> </w:t>
      </w:r>
      <w:r>
        <w:rPr>
          <w:rFonts w:hint="eastAsia"/>
          <w:highlight w:val="none"/>
          <w:lang w:val="en-US" w:eastAsia="zh-CN"/>
        </w:rPr>
        <w:t>6</w:t>
      </w:r>
      <w:r>
        <w:rPr>
          <w:rFonts w:hint="eastAsia"/>
          <w:highlight w:val="none"/>
        </w:rPr>
        <w:t xml:space="preserve"> 月 </w:t>
      </w:r>
      <w:r>
        <w:rPr>
          <w:rFonts w:hint="eastAsia"/>
          <w:highlight w:val="none"/>
          <w:lang w:val="en-US" w:eastAsia="zh-CN"/>
        </w:rPr>
        <w:t>1</w:t>
      </w:r>
      <w:r>
        <w:rPr>
          <w:rFonts w:hint="eastAsia"/>
          <w:highlight w:val="none"/>
        </w:rPr>
        <w:t xml:space="preserve"> 日 </w:t>
      </w:r>
      <w:r>
        <w:rPr>
          <w:rFonts w:hint="eastAsia"/>
          <w:highlight w:val="none"/>
          <w:lang w:val="en-US" w:eastAsia="zh-CN"/>
        </w:rPr>
        <w:t>10</w:t>
      </w:r>
      <w:r>
        <w:rPr>
          <w:rFonts w:hint="eastAsia"/>
          <w:highlight w:val="none"/>
        </w:rPr>
        <w:t xml:space="preserve"> 时</w:t>
      </w:r>
    </w:p>
    <w:p w14:paraId="6E75FDE5">
      <w:pPr>
        <w:tabs>
          <w:tab w:val="left" w:pos="993"/>
        </w:tabs>
        <w:snapToGrid w:val="0"/>
        <w:spacing w:line="360" w:lineRule="auto"/>
        <w:ind w:left="139" w:leftChars="58" w:firstLine="1"/>
        <w:outlineLvl w:val="9"/>
        <w:rPr>
          <w:rFonts w:hint="eastAsia"/>
          <w:highlight w:val="none"/>
        </w:rPr>
      </w:pPr>
      <w:r>
        <w:rPr>
          <w:rFonts w:hint="eastAsia"/>
          <w:highlight w:val="none"/>
        </w:rPr>
        <w:t xml:space="preserve">4、询价采购评审时间： </w:t>
      </w:r>
      <w:r>
        <w:rPr>
          <w:rFonts w:hint="eastAsia"/>
          <w:highlight w:val="none"/>
          <w:lang w:eastAsia="zh-CN"/>
        </w:rPr>
        <w:t>2026年</w:t>
      </w:r>
      <w:r>
        <w:rPr>
          <w:rFonts w:hint="eastAsia"/>
          <w:highlight w:val="none"/>
        </w:rPr>
        <w:t xml:space="preserve"> </w:t>
      </w:r>
      <w:r>
        <w:rPr>
          <w:rFonts w:hint="eastAsia"/>
          <w:highlight w:val="none"/>
          <w:lang w:val="en-US" w:eastAsia="zh-CN"/>
        </w:rPr>
        <w:t>6</w:t>
      </w:r>
      <w:r>
        <w:rPr>
          <w:rFonts w:hint="eastAsia"/>
          <w:highlight w:val="none"/>
        </w:rPr>
        <w:t xml:space="preserve"> 月 </w:t>
      </w:r>
      <w:r>
        <w:rPr>
          <w:rFonts w:hint="eastAsia"/>
          <w:highlight w:val="none"/>
          <w:lang w:val="en-US" w:eastAsia="zh-CN"/>
        </w:rPr>
        <w:t>1</w:t>
      </w:r>
      <w:bookmarkStart w:id="32" w:name="_GoBack"/>
      <w:bookmarkEnd w:id="32"/>
      <w:r>
        <w:rPr>
          <w:rFonts w:hint="eastAsia"/>
          <w:highlight w:val="none"/>
        </w:rPr>
        <w:t xml:space="preserve"> 日（遇情况依次顺延）</w:t>
      </w:r>
    </w:p>
    <w:p w14:paraId="2196C554">
      <w:pPr>
        <w:tabs>
          <w:tab w:val="left" w:pos="378"/>
          <w:tab w:val="left" w:pos="993"/>
        </w:tabs>
        <w:snapToGrid w:val="0"/>
        <w:spacing w:line="360" w:lineRule="auto"/>
        <w:ind w:left="142" w:leftChars="59"/>
        <w:outlineLvl w:val="9"/>
        <w:rPr>
          <w:highlight w:val="none"/>
        </w:rPr>
      </w:pPr>
      <w:r>
        <w:rPr>
          <w:rFonts w:hint="eastAsia"/>
          <w:highlight w:val="none"/>
        </w:rPr>
        <w:t>5、联系方式：027-85818211、</w:t>
      </w:r>
      <w:r>
        <w:rPr>
          <w:rFonts w:hint="eastAsia"/>
          <w:highlight w:val="none"/>
          <w:lang w:val="en-US" w:eastAsia="zh-CN"/>
        </w:rPr>
        <w:t>15327342639</w:t>
      </w:r>
      <w:r>
        <w:rPr>
          <w:rFonts w:hint="eastAsia"/>
          <w:highlight w:val="none"/>
        </w:rPr>
        <w:t>8</w:t>
      </w:r>
    </w:p>
    <w:p w14:paraId="4195F7BA">
      <w:pPr>
        <w:snapToGrid w:val="0"/>
        <w:spacing w:line="360" w:lineRule="auto"/>
        <w:ind w:firstLine="480" w:firstLineChars="200"/>
        <w:outlineLvl w:val="9"/>
        <w:rPr>
          <w:rFonts w:hint="default" w:eastAsia="宋体"/>
          <w:highlight w:val="none"/>
          <w:lang w:val="en-US" w:eastAsia="zh-CN"/>
        </w:rPr>
      </w:pPr>
      <w:r>
        <w:rPr>
          <w:rFonts w:hint="eastAsia"/>
          <w:highlight w:val="none"/>
        </w:rPr>
        <w:t>联系人：</w:t>
      </w:r>
      <w:r>
        <w:rPr>
          <w:rFonts w:hint="eastAsia"/>
          <w:highlight w:val="none"/>
          <w:lang w:eastAsia="zh-CN"/>
        </w:rPr>
        <w:t>周子健</w:t>
      </w:r>
      <w:r>
        <w:rPr>
          <w:rFonts w:hint="eastAsia"/>
          <w:highlight w:val="none"/>
        </w:rPr>
        <w:t>、</w:t>
      </w:r>
      <w:r>
        <w:rPr>
          <w:rFonts w:hint="eastAsia"/>
          <w:highlight w:val="none"/>
          <w:lang w:val="en-US" w:eastAsia="zh-CN"/>
        </w:rPr>
        <w:t>曾昊婷</w:t>
      </w:r>
    </w:p>
    <w:p w14:paraId="66395656">
      <w:pPr>
        <w:spacing w:line="360" w:lineRule="auto"/>
        <w:ind w:firstLine="527"/>
        <w:outlineLvl w:val="9"/>
        <w:rPr>
          <w:rFonts w:hint="eastAsia"/>
          <w:sz w:val="30"/>
          <w:highlight w:val="none"/>
        </w:rPr>
      </w:pPr>
      <w:bookmarkStart w:id="14" w:name="_Toc11231"/>
      <w:bookmarkStart w:id="15" w:name="_Toc19312"/>
      <w:bookmarkStart w:id="16" w:name="_Toc11641053"/>
      <w:bookmarkStart w:id="17" w:name="_Toc25725120"/>
      <w:r>
        <w:rPr>
          <w:rFonts w:hint="eastAsia"/>
          <w:sz w:val="30"/>
          <w:highlight w:val="none"/>
        </w:rPr>
        <w:t>三、供应商资质要求：</w:t>
      </w:r>
      <w:bookmarkEnd w:id="14"/>
      <w:bookmarkEnd w:id="15"/>
    </w:p>
    <w:p w14:paraId="4E146ADF">
      <w:pPr>
        <w:snapToGrid w:val="0"/>
        <w:spacing w:line="360" w:lineRule="auto"/>
        <w:ind w:firstLine="480" w:firstLineChars="200"/>
        <w:outlineLvl w:val="9"/>
        <w:rPr>
          <w:rFonts w:hint="eastAsia" w:ascii="宋体" w:hAnsi="宋体" w:eastAsia="宋体" w:cs="宋体"/>
          <w:szCs w:val="28"/>
          <w:highlight w:val="none"/>
        </w:rPr>
      </w:pPr>
      <w:r>
        <w:rPr>
          <w:rFonts w:hint="eastAsia" w:ascii="宋体" w:hAnsi="宋体" w:eastAsia="宋体" w:cs="宋体"/>
          <w:szCs w:val="28"/>
          <w:highlight w:val="none"/>
        </w:rPr>
        <w:t>（1）供应商应具有在中华人民共和国境内注册登记并取得有效营业执照。</w:t>
      </w:r>
    </w:p>
    <w:p w14:paraId="78D3CE27">
      <w:pPr>
        <w:wordWrap w:val="0"/>
        <w:spacing w:line="360" w:lineRule="auto"/>
        <w:ind w:firstLine="484" w:firstLineChars="202"/>
        <w:jc w:val="left"/>
        <w:rPr>
          <w:rFonts w:hint="eastAsia" w:ascii="宋体" w:hAnsi="宋体" w:cs="宋体"/>
          <w:color w:val="auto"/>
          <w:kern w:val="0"/>
          <w:szCs w:val="21"/>
          <w:highlight w:val="none"/>
        </w:rPr>
      </w:pP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2</w:t>
      </w:r>
      <w:r>
        <w:rPr>
          <w:rFonts w:hint="eastAsia" w:ascii="宋体" w:hAnsi="宋体" w:eastAsia="宋体" w:cs="宋体"/>
          <w:szCs w:val="28"/>
          <w:highlight w:val="none"/>
          <w:lang w:eastAsia="zh-CN"/>
        </w:rPr>
        <w:t>）</w:t>
      </w:r>
      <w:r>
        <w:rPr>
          <w:rFonts w:hint="eastAsia" w:ascii="宋体" w:hAnsi="宋体" w:cs="宋体"/>
          <w:color w:val="auto"/>
          <w:kern w:val="0"/>
          <w:szCs w:val="21"/>
          <w:highlight w:val="none"/>
        </w:rPr>
        <w:t>供应商2023年</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月1日（以合同签订时间为准）至今具有1项</w:t>
      </w:r>
      <w:r>
        <w:rPr>
          <w:rFonts w:hint="eastAsia" w:ascii="宋体" w:hAnsi="宋体" w:cs="宋体"/>
          <w:color w:val="auto"/>
          <w:kern w:val="0"/>
          <w:szCs w:val="21"/>
          <w:highlight w:val="none"/>
          <w:lang w:val="en-US" w:eastAsia="zh-CN"/>
        </w:rPr>
        <w:t>合同金额为5万元以上的类似</w:t>
      </w:r>
      <w:r>
        <w:rPr>
          <w:rFonts w:hint="eastAsia" w:ascii="宋体" w:hAnsi="宋体" w:cs="宋体"/>
          <w:color w:val="auto"/>
          <w:kern w:val="0"/>
          <w:szCs w:val="21"/>
          <w:highlight w:val="none"/>
        </w:rPr>
        <w:t>业绩</w:t>
      </w: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类似业绩指合同内容</w:t>
      </w:r>
      <w:r>
        <w:rPr>
          <w:rFonts w:hint="eastAsia" w:ascii="宋体" w:hAnsi="宋体" w:eastAsia="宋体" w:cs="宋体"/>
          <w:szCs w:val="28"/>
          <w:highlight w:val="none"/>
        </w:rPr>
        <w:t>须包含协助采购方新办电子与智能化工程专业承包贰级或更高级别资质</w:t>
      </w:r>
      <w:r>
        <w:rPr>
          <w:rFonts w:hint="eastAsia" w:ascii="宋体" w:hAnsi="宋体" w:eastAsia="宋体" w:cs="宋体"/>
          <w:szCs w:val="28"/>
          <w:highlight w:val="none"/>
          <w:lang w:eastAsia="zh-CN"/>
        </w:rPr>
        <w:t>）</w:t>
      </w:r>
      <w:r>
        <w:rPr>
          <w:rFonts w:hint="eastAsia" w:ascii="宋体" w:hAnsi="宋体" w:cs="宋体"/>
          <w:color w:val="auto"/>
          <w:kern w:val="0"/>
          <w:szCs w:val="21"/>
          <w:highlight w:val="none"/>
        </w:rPr>
        <w:t>。</w:t>
      </w:r>
      <w:r>
        <w:rPr>
          <w:rFonts w:hint="eastAsia" w:ascii="宋体" w:hAnsi="宋体" w:cs="宋体"/>
          <w:color w:val="auto"/>
          <w:szCs w:val="21"/>
          <w:highlight w:val="none"/>
        </w:rPr>
        <w:t>须同时提供①合同（含封面页、合同内容页、签章页等关键页）、②项目发票（发票二维码清晰可查并提供税务局发票查询截图，发票开具时间须在本项目采购公告发布之日前），</w:t>
      </w:r>
      <w:r>
        <w:rPr>
          <w:rFonts w:hint="eastAsia"/>
          <w:color w:val="auto"/>
          <w:kern w:val="0"/>
          <w:szCs w:val="21"/>
          <w:highlight w:val="none"/>
        </w:rPr>
        <w:t>证明材料不全无法确定为相关业绩的，不予认可；</w:t>
      </w:r>
    </w:p>
    <w:p w14:paraId="1A3C6195">
      <w:pPr>
        <w:snapToGrid w:val="0"/>
        <w:spacing w:line="360" w:lineRule="auto"/>
        <w:ind w:firstLine="480" w:firstLineChars="200"/>
        <w:outlineLvl w:val="9"/>
        <w:rPr>
          <w:rFonts w:hint="eastAsia"/>
          <w:szCs w:val="28"/>
          <w:highlight w:val="none"/>
        </w:rPr>
      </w:pPr>
      <w:r>
        <w:rPr>
          <w:rFonts w:hint="eastAsia"/>
          <w:szCs w:val="28"/>
          <w:highlight w:val="none"/>
        </w:rPr>
        <w:t>（</w:t>
      </w:r>
      <w:r>
        <w:rPr>
          <w:rFonts w:hint="eastAsia"/>
          <w:szCs w:val="28"/>
          <w:highlight w:val="none"/>
          <w:lang w:val="en-US" w:eastAsia="zh-CN"/>
        </w:rPr>
        <w:t>3</w:t>
      </w:r>
      <w:r>
        <w:rPr>
          <w:rFonts w:hint="eastAsia"/>
          <w:szCs w:val="28"/>
          <w:highlight w:val="none"/>
        </w:rPr>
        <w:t>）供应商未被列入“信用中国”网站(www.creditchina.gov.cn)或中国执行信息公开网（http://zxgk.court.gov.cn)失信被执行人名单。(提供网站查询截图）</w:t>
      </w:r>
    </w:p>
    <w:p w14:paraId="6C0E5E17">
      <w:pPr>
        <w:snapToGrid w:val="0"/>
        <w:spacing w:line="360" w:lineRule="auto"/>
        <w:ind w:firstLine="480" w:firstLineChars="200"/>
        <w:outlineLvl w:val="9"/>
        <w:rPr>
          <w:rFonts w:hint="eastAsia"/>
          <w:szCs w:val="28"/>
          <w:highlight w:val="none"/>
        </w:rPr>
      </w:pPr>
      <w:r>
        <w:rPr>
          <w:rFonts w:hint="eastAsia"/>
          <w:szCs w:val="28"/>
          <w:highlight w:val="none"/>
        </w:rPr>
        <w:t>（</w:t>
      </w:r>
      <w:r>
        <w:rPr>
          <w:rFonts w:hint="eastAsia"/>
          <w:szCs w:val="28"/>
          <w:highlight w:val="none"/>
          <w:lang w:val="en-US" w:eastAsia="zh-CN"/>
        </w:rPr>
        <w:t>4</w:t>
      </w:r>
      <w:r>
        <w:rPr>
          <w:rFonts w:hint="eastAsia"/>
          <w:szCs w:val="28"/>
          <w:highlight w:val="none"/>
        </w:rPr>
        <w:t>）供应商须对关于《湖北机场集团有限公司“供应商不良行为”管理办法》在“询价采购报价文件格式”“承诺书”中做出承诺，格式详见采购文件格式。</w:t>
      </w:r>
    </w:p>
    <w:p w14:paraId="23A2983C">
      <w:pPr>
        <w:snapToGrid w:val="0"/>
        <w:spacing w:line="360" w:lineRule="auto"/>
        <w:ind w:firstLine="480" w:firstLineChars="200"/>
        <w:outlineLvl w:val="9"/>
        <w:rPr>
          <w:rFonts w:hint="eastAsia"/>
          <w:szCs w:val="28"/>
          <w:highlight w:val="none"/>
        </w:rPr>
      </w:pPr>
      <w:r>
        <w:rPr>
          <w:rFonts w:hint="eastAsia"/>
          <w:szCs w:val="28"/>
          <w:highlight w:val="none"/>
        </w:rPr>
        <w:t>（</w:t>
      </w:r>
      <w:r>
        <w:rPr>
          <w:rFonts w:hint="eastAsia"/>
          <w:szCs w:val="28"/>
          <w:highlight w:val="none"/>
          <w:lang w:val="en-US" w:eastAsia="zh-CN"/>
        </w:rPr>
        <w:t>5</w:t>
      </w:r>
      <w:r>
        <w:rPr>
          <w:rFonts w:hint="eastAsia"/>
          <w:szCs w:val="28"/>
          <w:highlight w:val="none"/>
        </w:rPr>
        <w:t>）本项目不接受联合体响应。</w:t>
      </w:r>
    </w:p>
    <w:p w14:paraId="1C54F316">
      <w:pPr>
        <w:pStyle w:val="63"/>
        <w:spacing w:line="360" w:lineRule="auto"/>
        <w:jc w:val="center"/>
        <w:outlineLvl w:val="9"/>
        <w:rPr>
          <w:rFonts w:hint="eastAsia"/>
          <w:szCs w:val="21"/>
          <w:highlight w:val="none"/>
        </w:rPr>
      </w:pPr>
      <w:r>
        <w:rPr>
          <w:rFonts w:hint="eastAsia"/>
          <w:szCs w:val="28"/>
          <w:highlight w:val="none"/>
        </w:rPr>
        <w:t>以上资格要求为本次响应供应商应具备的基本条件，参加响应的供应商必须满足资格要求中的所有条款，并按照相关规定递交资格证明文件。</w:t>
      </w:r>
    </w:p>
    <w:p w14:paraId="4631FDF1">
      <w:pPr>
        <w:spacing w:line="360" w:lineRule="auto"/>
        <w:ind w:firstLine="527"/>
        <w:outlineLvl w:val="9"/>
        <w:rPr>
          <w:rFonts w:hint="eastAsia" w:eastAsia="宋体"/>
          <w:b w:val="0"/>
          <w:bCs w:val="0"/>
          <w:sz w:val="30"/>
          <w:highlight w:val="none"/>
        </w:rPr>
      </w:pPr>
      <w:bookmarkStart w:id="18" w:name="_Toc2188"/>
      <w:bookmarkStart w:id="19" w:name="_Toc19893"/>
      <w:r>
        <w:rPr>
          <w:rFonts w:hint="eastAsia" w:eastAsia="宋体"/>
          <w:b w:val="0"/>
          <w:bCs w:val="0"/>
          <w:sz w:val="30"/>
          <w:highlight w:val="none"/>
        </w:rPr>
        <w:t>四、</w:t>
      </w:r>
      <w:bookmarkEnd w:id="16"/>
      <w:bookmarkEnd w:id="17"/>
      <w:r>
        <w:rPr>
          <w:rFonts w:hint="eastAsia" w:eastAsia="宋体"/>
          <w:b w:val="0"/>
          <w:bCs w:val="0"/>
          <w:sz w:val="30"/>
          <w:highlight w:val="none"/>
        </w:rPr>
        <w:t>询价采购须知</w:t>
      </w:r>
      <w:bookmarkEnd w:id="18"/>
      <w:bookmarkEnd w:id="19"/>
    </w:p>
    <w:p w14:paraId="104C41A5">
      <w:pPr>
        <w:snapToGrid w:val="0"/>
        <w:spacing w:line="360" w:lineRule="auto"/>
        <w:ind w:firstLine="573"/>
        <w:outlineLvl w:val="9"/>
        <w:rPr>
          <w:rFonts w:hint="eastAsia"/>
          <w:highlight w:val="none"/>
        </w:rPr>
      </w:pPr>
      <w:r>
        <w:rPr>
          <w:rFonts w:hint="eastAsia"/>
          <w:highlight w:val="none"/>
        </w:rPr>
        <w:t>1、报价文件须用信封</w:t>
      </w:r>
      <w:r>
        <w:rPr>
          <w:rFonts w:hint="eastAsia"/>
          <w:highlight w:val="none"/>
          <w:lang w:val="en-US" w:eastAsia="zh-CN"/>
        </w:rPr>
        <w:t>或</w:t>
      </w:r>
      <w:r>
        <w:rPr>
          <w:rFonts w:hint="eastAsia"/>
          <w:color w:val="auto"/>
          <w:lang w:val="en-US" w:eastAsia="zh-CN"/>
        </w:rPr>
        <w:t>文件袋密</w:t>
      </w:r>
      <w:r>
        <w:rPr>
          <w:rFonts w:hint="eastAsia"/>
          <w:highlight w:val="none"/>
        </w:rPr>
        <w:t>封，信封</w:t>
      </w:r>
      <w:r>
        <w:rPr>
          <w:rFonts w:hint="eastAsia"/>
          <w:highlight w:val="none"/>
          <w:lang w:val="en-US" w:eastAsia="zh-CN"/>
        </w:rPr>
        <w:t>或</w:t>
      </w:r>
      <w:r>
        <w:rPr>
          <w:rFonts w:hint="eastAsia"/>
          <w:color w:val="auto"/>
          <w:lang w:val="en-US" w:eastAsia="zh-CN"/>
        </w:rPr>
        <w:t>文件袋</w:t>
      </w:r>
      <w:r>
        <w:rPr>
          <w:rFonts w:hint="eastAsia"/>
          <w:highlight w:val="none"/>
        </w:rPr>
        <w:t>上注明询价采购项目名称、供应商名称、地址以及“不准提前启封”字样。信封所有有口、有缝的部位都要贴封条并加盖供应商公章。</w:t>
      </w:r>
    </w:p>
    <w:p w14:paraId="41ED29D6">
      <w:pPr>
        <w:snapToGrid w:val="0"/>
        <w:spacing w:line="360" w:lineRule="auto"/>
        <w:ind w:firstLine="573"/>
        <w:outlineLvl w:val="9"/>
        <w:rPr>
          <w:rFonts w:hint="eastAsia"/>
          <w:highlight w:val="none"/>
        </w:rPr>
      </w:pPr>
      <w:r>
        <w:rPr>
          <w:rFonts w:hint="eastAsia"/>
          <w:highlight w:val="none"/>
        </w:rPr>
        <w:t>2、报价文件必须按规定的时间及地点送达投递地点，并按要求交纳询价采购保证金，否则报价无效。</w:t>
      </w:r>
    </w:p>
    <w:p w14:paraId="3AAE9A8F">
      <w:pPr>
        <w:snapToGrid w:val="0"/>
        <w:spacing w:line="360" w:lineRule="auto"/>
        <w:ind w:firstLine="573"/>
        <w:outlineLvl w:val="9"/>
        <w:rPr>
          <w:rFonts w:hint="eastAsia"/>
          <w:b/>
          <w:highlight w:val="none"/>
        </w:rPr>
      </w:pPr>
      <w:r>
        <w:rPr>
          <w:rFonts w:hint="eastAsia"/>
          <w:highlight w:val="none"/>
        </w:rPr>
        <w:t>3、报价文件的报价为</w:t>
      </w:r>
      <w:r>
        <w:rPr>
          <w:rFonts w:hint="eastAsia"/>
          <w:b/>
          <w:highlight w:val="none"/>
        </w:rPr>
        <w:t>闭口价，并且供应商只能提供一个报价。</w:t>
      </w:r>
    </w:p>
    <w:p w14:paraId="5A5B097D">
      <w:pPr>
        <w:snapToGrid w:val="0"/>
        <w:spacing w:line="360" w:lineRule="auto"/>
        <w:ind w:firstLine="573"/>
        <w:outlineLvl w:val="9"/>
        <w:rPr>
          <w:rFonts w:hint="eastAsia"/>
          <w:highlight w:val="none"/>
        </w:rPr>
      </w:pPr>
      <w:r>
        <w:rPr>
          <w:rFonts w:hint="eastAsia"/>
          <w:highlight w:val="none"/>
        </w:rPr>
        <w:t>4、成交原则：本项目评审采用最低竞标标价</w:t>
      </w:r>
      <w:r>
        <w:rPr>
          <w:rFonts w:hint="eastAsia"/>
          <w:highlight w:val="none"/>
          <w:lang w:eastAsia="zh-CN"/>
        </w:rPr>
        <w:t>（</w:t>
      </w:r>
      <w:r>
        <w:rPr>
          <w:rFonts w:hint="eastAsia"/>
          <w:highlight w:val="none"/>
          <w:lang w:val="en-US" w:eastAsia="zh-CN"/>
        </w:rPr>
        <w:t>不含税</w:t>
      </w:r>
      <w:r>
        <w:rPr>
          <w:rFonts w:hint="eastAsia"/>
          <w:highlight w:val="none"/>
          <w:lang w:eastAsia="zh-CN"/>
        </w:rPr>
        <w:t>）</w:t>
      </w:r>
      <w:r>
        <w:rPr>
          <w:rFonts w:hint="eastAsia"/>
          <w:highlight w:val="none"/>
        </w:rPr>
        <w:t>进行评审。</w:t>
      </w:r>
    </w:p>
    <w:p w14:paraId="6638DBEC">
      <w:pPr>
        <w:snapToGrid w:val="0"/>
        <w:spacing w:line="360" w:lineRule="auto"/>
        <w:ind w:firstLine="573"/>
        <w:outlineLvl w:val="9"/>
        <w:rPr>
          <w:rFonts w:hint="eastAsia"/>
          <w:highlight w:val="none"/>
        </w:rPr>
      </w:pPr>
      <w:r>
        <w:rPr>
          <w:rFonts w:hint="eastAsia"/>
          <w:highlight w:val="none"/>
        </w:rPr>
        <w:t>不允许竞标人竞标方案对采购方案有任何负偏离，否则按无效竞标处理。</w:t>
      </w:r>
    </w:p>
    <w:bookmarkEnd w:id="13"/>
    <w:p w14:paraId="2253FC34">
      <w:pPr>
        <w:snapToGrid w:val="0"/>
        <w:spacing w:line="360" w:lineRule="auto"/>
        <w:ind w:firstLine="573"/>
        <w:outlineLvl w:val="9"/>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0946A5FA">
      <w:pPr>
        <w:snapToGrid w:val="0"/>
        <w:spacing w:line="360" w:lineRule="auto"/>
        <w:ind w:firstLine="573"/>
        <w:outlineLvl w:val="9"/>
        <w:rPr>
          <w:rFonts w:hint="eastAsia"/>
          <w:highlight w:val="none"/>
        </w:rPr>
      </w:pPr>
      <w:r>
        <w:rPr>
          <w:rFonts w:hint="eastAsia"/>
          <w:highlight w:val="none"/>
        </w:rPr>
        <w:t>竞标价格相同的情况下询价小组确定服务承诺、优惠条件较优的单位为成交供应商。</w:t>
      </w:r>
    </w:p>
    <w:p w14:paraId="297E0529">
      <w:pPr>
        <w:snapToGrid w:val="0"/>
        <w:spacing w:line="360" w:lineRule="auto"/>
        <w:ind w:firstLine="573"/>
        <w:outlineLvl w:val="9"/>
        <w:rPr>
          <w:rFonts w:hint="eastAsia"/>
          <w:highlight w:val="none"/>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r>
        <w:rPr>
          <w:rFonts w:hint="eastAsia"/>
          <w:highlight w:val="none"/>
          <w:lang w:val="en-US" w:eastAsia="zh-CN"/>
        </w:rPr>
        <w:t>骑缝章</w:t>
      </w:r>
      <w:r>
        <w:rPr>
          <w:rFonts w:hint="eastAsia"/>
          <w:highlight w:val="none"/>
        </w:rPr>
        <w:t>。</w:t>
      </w:r>
    </w:p>
    <w:p w14:paraId="1D7938B6">
      <w:pPr>
        <w:snapToGrid w:val="0"/>
        <w:spacing w:line="360" w:lineRule="auto"/>
        <w:ind w:firstLine="573"/>
        <w:outlineLvl w:val="9"/>
        <w:rPr>
          <w:highlight w:val="none"/>
        </w:rPr>
      </w:pPr>
      <w:bookmarkStart w:id="20" w:name="_Toc122840226"/>
      <w:bookmarkStart w:id="21" w:name="_Toc12789055"/>
      <w:r>
        <w:rPr>
          <w:rFonts w:hint="eastAsia"/>
          <w:highlight w:val="none"/>
        </w:rPr>
        <w:t>6、文件无效</w:t>
      </w:r>
    </w:p>
    <w:p w14:paraId="39D38D0D">
      <w:pPr>
        <w:snapToGrid w:val="0"/>
        <w:spacing w:line="360" w:lineRule="auto"/>
        <w:ind w:firstLine="573"/>
        <w:outlineLvl w:val="9"/>
        <w:rPr>
          <w:highlight w:val="none"/>
        </w:rPr>
      </w:pPr>
      <w:r>
        <w:rPr>
          <w:rFonts w:hint="eastAsia"/>
          <w:highlight w:val="none"/>
        </w:rPr>
        <w:t>竞标人发生以下条款情况之一者，其竞标文件将被拒绝：</w:t>
      </w:r>
    </w:p>
    <w:p w14:paraId="1729D157">
      <w:pPr>
        <w:snapToGrid w:val="0"/>
        <w:spacing w:line="360" w:lineRule="auto"/>
        <w:ind w:firstLine="573"/>
        <w:outlineLvl w:val="9"/>
        <w:rPr>
          <w:highlight w:val="none"/>
        </w:rPr>
      </w:pPr>
      <w:r>
        <w:rPr>
          <w:rFonts w:hint="eastAsia"/>
          <w:highlight w:val="none"/>
        </w:rPr>
        <w:t>（1）竞标文件不按规定的格式、内容填写；</w:t>
      </w:r>
    </w:p>
    <w:p w14:paraId="68F884E6">
      <w:pPr>
        <w:snapToGrid w:val="0"/>
        <w:spacing w:line="360" w:lineRule="auto"/>
        <w:ind w:firstLine="573"/>
        <w:outlineLvl w:val="9"/>
        <w:rPr>
          <w:rFonts w:hint="eastAsia"/>
          <w:highlight w:val="none"/>
        </w:rPr>
      </w:pPr>
      <w:r>
        <w:rPr>
          <w:rFonts w:hint="eastAsia"/>
          <w:highlight w:val="none"/>
        </w:rPr>
        <w:t>（2）超出营业范围的报价；</w:t>
      </w:r>
    </w:p>
    <w:p w14:paraId="4EC30536">
      <w:pPr>
        <w:snapToGrid w:val="0"/>
        <w:spacing w:line="360" w:lineRule="auto"/>
        <w:ind w:firstLine="573"/>
        <w:outlineLvl w:val="9"/>
        <w:rPr>
          <w:rFonts w:hint="eastAsia"/>
          <w:highlight w:val="none"/>
        </w:rPr>
      </w:pPr>
      <w:r>
        <w:rPr>
          <w:rFonts w:hint="eastAsia"/>
          <w:highlight w:val="none"/>
        </w:rPr>
        <w:t>（3）报价高于询价采购文件的最高限价；</w:t>
      </w:r>
    </w:p>
    <w:p w14:paraId="7D73945E">
      <w:pPr>
        <w:snapToGrid w:val="0"/>
        <w:spacing w:line="360" w:lineRule="auto"/>
        <w:ind w:firstLine="573"/>
        <w:outlineLvl w:val="9"/>
        <w:rPr>
          <w:rFonts w:hint="eastAsia"/>
          <w:highlight w:val="none"/>
        </w:rPr>
      </w:pPr>
      <w:r>
        <w:rPr>
          <w:rFonts w:hint="eastAsia"/>
          <w:highlight w:val="none"/>
        </w:rPr>
        <w:t>（4）竞标人的竞标文件的技术方案内容与采购项目实质性技术要求有严重背离；</w:t>
      </w:r>
    </w:p>
    <w:p w14:paraId="6648114B">
      <w:pPr>
        <w:snapToGrid w:val="0"/>
        <w:spacing w:line="360" w:lineRule="auto"/>
        <w:ind w:firstLine="573"/>
        <w:outlineLvl w:val="9"/>
        <w:rPr>
          <w:rFonts w:hint="eastAsia"/>
          <w:highlight w:val="none"/>
        </w:rPr>
      </w:pPr>
      <w:r>
        <w:rPr>
          <w:rFonts w:hint="eastAsia"/>
          <w:highlight w:val="none"/>
        </w:rPr>
        <w:t>（5）竞标人的资质不符合采购文件资质要求的内容。</w:t>
      </w:r>
    </w:p>
    <w:p w14:paraId="64B808AA">
      <w:pPr>
        <w:numPr>
          <w:ilvl w:val="0"/>
          <w:numId w:val="3"/>
        </w:numPr>
        <w:snapToGrid w:val="0"/>
        <w:spacing w:line="360" w:lineRule="auto"/>
        <w:outlineLvl w:val="9"/>
        <w:rPr>
          <w:rFonts w:hint="eastAsia"/>
          <w:highlight w:val="none"/>
        </w:rPr>
      </w:pPr>
      <w:r>
        <w:rPr>
          <w:rFonts w:hint="eastAsia"/>
          <w:highlight w:val="none"/>
        </w:rPr>
        <w:t>竞标文件未按要求密封、未按时送到准确地点。</w:t>
      </w:r>
    </w:p>
    <w:p w14:paraId="76C1ADEF">
      <w:pPr>
        <w:snapToGrid w:val="0"/>
        <w:spacing w:line="360" w:lineRule="auto"/>
        <w:ind w:firstLine="566" w:firstLineChars="236"/>
        <w:outlineLvl w:val="9"/>
        <w:rPr>
          <w:rFonts w:hint="eastAsia"/>
          <w:highlight w:val="none"/>
        </w:rPr>
      </w:pPr>
      <w:r>
        <w:rPr>
          <w:rFonts w:hint="eastAsia"/>
          <w:highlight w:val="none"/>
        </w:rPr>
        <w:t>7、出现以下情况之一的，应予废标，重新组织采购。</w:t>
      </w:r>
    </w:p>
    <w:p w14:paraId="1E2FAF84">
      <w:pPr>
        <w:snapToGrid w:val="0"/>
        <w:spacing w:line="360" w:lineRule="auto"/>
        <w:ind w:firstLine="480" w:firstLineChars="200"/>
        <w:outlineLvl w:val="9"/>
        <w:rPr>
          <w:rFonts w:hint="eastAsia"/>
          <w:highlight w:val="none"/>
        </w:rPr>
      </w:pPr>
      <w:r>
        <w:rPr>
          <w:rFonts w:hint="eastAsia"/>
          <w:highlight w:val="none"/>
        </w:rPr>
        <w:t>（1）出现影响采购公正的违法、违规行为的；</w:t>
      </w:r>
    </w:p>
    <w:p w14:paraId="4EE59ED2">
      <w:pPr>
        <w:snapToGrid w:val="0"/>
        <w:spacing w:line="360" w:lineRule="auto"/>
        <w:ind w:firstLine="480" w:firstLineChars="200"/>
        <w:outlineLvl w:val="9"/>
        <w:rPr>
          <w:rFonts w:hint="eastAsia"/>
          <w:highlight w:val="none"/>
        </w:rPr>
      </w:pPr>
      <w:r>
        <w:rPr>
          <w:rFonts w:hint="eastAsia"/>
          <w:highlight w:val="none"/>
        </w:rPr>
        <w:t>（2）竞标人的报价均超过了采购预算，采购人不能支付的；</w:t>
      </w:r>
    </w:p>
    <w:p w14:paraId="5284D71D">
      <w:pPr>
        <w:snapToGrid w:val="0"/>
        <w:spacing w:line="360" w:lineRule="auto"/>
        <w:ind w:firstLine="480" w:firstLineChars="200"/>
        <w:outlineLvl w:val="9"/>
        <w:rPr>
          <w:rFonts w:hint="eastAsia"/>
          <w:highlight w:val="none"/>
        </w:rPr>
      </w:pPr>
      <w:r>
        <w:rPr>
          <w:rFonts w:hint="eastAsia"/>
          <w:highlight w:val="none"/>
        </w:rPr>
        <w:t>（3）因重大变故，采购任务取消的；</w:t>
      </w:r>
    </w:p>
    <w:p w14:paraId="52E48FEE">
      <w:pPr>
        <w:spacing w:before="0" w:after="0" w:line="360" w:lineRule="auto"/>
        <w:ind w:firstLine="537" w:firstLineChars="179"/>
        <w:outlineLvl w:val="9"/>
        <w:rPr>
          <w:rFonts w:hint="eastAsia"/>
          <w:sz w:val="30"/>
          <w:highlight w:val="none"/>
        </w:rPr>
      </w:pPr>
      <w:bookmarkStart w:id="22" w:name="_Toc30157"/>
      <w:bookmarkStart w:id="23" w:name="_Toc18500"/>
      <w:r>
        <w:rPr>
          <w:rFonts w:hint="eastAsia"/>
          <w:sz w:val="30"/>
          <w:highlight w:val="none"/>
        </w:rPr>
        <w:t>五、询价保证金</w:t>
      </w:r>
      <w:bookmarkEnd w:id="20"/>
      <w:bookmarkEnd w:id="21"/>
      <w:bookmarkEnd w:id="22"/>
      <w:bookmarkEnd w:id="23"/>
    </w:p>
    <w:p w14:paraId="0C11CCAE">
      <w:pPr>
        <w:snapToGrid w:val="0"/>
        <w:spacing w:line="360" w:lineRule="auto"/>
        <w:ind w:firstLine="573"/>
        <w:outlineLvl w:val="9"/>
        <w:rPr>
          <w:rFonts w:hint="eastAsia"/>
          <w:highlight w:val="none"/>
        </w:rPr>
      </w:pPr>
      <w:r>
        <w:rPr>
          <w:rFonts w:hint="eastAsia"/>
          <w:highlight w:val="none"/>
        </w:rPr>
        <w:t>本项目无询价保证金要求。</w:t>
      </w:r>
    </w:p>
    <w:p w14:paraId="2D453C19">
      <w:pPr>
        <w:spacing w:before="0" w:after="0" w:line="360" w:lineRule="auto"/>
        <w:ind w:firstLine="537" w:firstLineChars="179"/>
        <w:outlineLvl w:val="9"/>
        <w:rPr>
          <w:sz w:val="30"/>
          <w:highlight w:val="none"/>
        </w:rPr>
      </w:pPr>
      <w:bookmarkStart w:id="24" w:name="_Toc102227321"/>
      <w:bookmarkStart w:id="25" w:name="_Toc233445126"/>
      <w:bookmarkStart w:id="26" w:name="_Toc18775"/>
      <w:bookmarkStart w:id="27" w:name="_Toc26239"/>
      <w:r>
        <w:rPr>
          <w:rFonts w:hint="eastAsia"/>
          <w:sz w:val="30"/>
          <w:highlight w:val="none"/>
        </w:rPr>
        <w:t>六、成交通知</w:t>
      </w:r>
      <w:bookmarkEnd w:id="24"/>
      <w:bookmarkEnd w:id="25"/>
      <w:bookmarkEnd w:id="26"/>
      <w:bookmarkEnd w:id="27"/>
    </w:p>
    <w:p w14:paraId="2194A933">
      <w:pPr>
        <w:snapToGrid w:val="0"/>
        <w:spacing w:line="360" w:lineRule="auto"/>
        <w:ind w:firstLine="480" w:firstLineChars="200"/>
        <w:outlineLvl w:val="9"/>
        <w:rPr>
          <w:szCs w:val="28"/>
          <w:highlight w:val="none"/>
        </w:rPr>
      </w:pPr>
      <w:bookmarkStart w:id="28" w:name="_Toc102227322"/>
      <w:bookmarkStart w:id="29" w:name="_Toc233445127"/>
      <w:r>
        <w:rPr>
          <w:rFonts w:hint="eastAsia"/>
          <w:szCs w:val="28"/>
          <w:highlight w:val="none"/>
        </w:rPr>
        <w:t>成交公示期结束3个工作日内，我部将通知中标单位，进入合同签订流程。</w:t>
      </w:r>
    </w:p>
    <w:p w14:paraId="64BD3D6F">
      <w:pPr>
        <w:spacing w:before="0" w:after="0" w:line="360" w:lineRule="auto"/>
        <w:ind w:firstLine="537" w:firstLineChars="179"/>
        <w:outlineLvl w:val="9"/>
        <w:rPr>
          <w:sz w:val="30"/>
          <w:highlight w:val="none"/>
        </w:rPr>
      </w:pPr>
      <w:bookmarkStart w:id="30" w:name="_Toc264"/>
      <w:bookmarkStart w:id="31" w:name="_Toc14460"/>
      <w:r>
        <w:rPr>
          <w:rFonts w:hint="eastAsia"/>
          <w:sz w:val="30"/>
          <w:highlight w:val="none"/>
        </w:rPr>
        <w:t>七、签订</w:t>
      </w:r>
      <w:bookmarkEnd w:id="28"/>
      <w:r>
        <w:rPr>
          <w:rFonts w:hint="eastAsia"/>
          <w:sz w:val="30"/>
          <w:highlight w:val="none"/>
        </w:rPr>
        <w:t>合同</w:t>
      </w:r>
      <w:bookmarkEnd w:id="29"/>
      <w:bookmarkEnd w:id="30"/>
      <w:bookmarkEnd w:id="31"/>
    </w:p>
    <w:p w14:paraId="08CE2CDC">
      <w:pPr>
        <w:snapToGrid w:val="0"/>
        <w:spacing w:line="360" w:lineRule="auto"/>
        <w:ind w:firstLine="573"/>
        <w:outlineLvl w:val="9"/>
        <w:rPr>
          <w:szCs w:val="28"/>
          <w:highlight w:val="none"/>
        </w:rPr>
      </w:pPr>
      <w:r>
        <w:rPr>
          <w:szCs w:val="28"/>
          <w:highlight w:val="none"/>
        </w:rPr>
        <w:t>1</w:t>
      </w:r>
      <w:r>
        <w:rPr>
          <w:rFonts w:hint="eastAsia"/>
          <w:szCs w:val="28"/>
          <w:highlight w:val="none"/>
        </w:rPr>
        <w:t>、成交供应商按成交要求指定时间、地点与采购人签订采购合同。</w:t>
      </w:r>
    </w:p>
    <w:p w14:paraId="758A27CE">
      <w:pPr>
        <w:snapToGrid w:val="0"/>
        <w:spacing w:line="360" w:lineRule="auto"/>
        <w:ind w:firstLine="573"/>
        <w:outlineLvl w:val="9"/>
        <w:rPr>
          <w:szCs w:val="28"/>
          <w:highlight w:val="none"/>
        </w:rPr>
      </w:pPr>
      <w:r>
        <w:rPr>
          <w:szCs w:val="28"/>
          <w:highlight w:val="none"/>
        </w:rPr>
        <w:t>2</w:t>
      </w:r>
      <w:r>
        <w:rPr>
          <w:rFonts w:hint="eastAsia"/>
          <w:szCs w:val="28"/>
          <w:highlight w:val="none"/>
        </w:rPr>
        <w:t>、成交供应商的竞标文件及有效承诺文件等，均为签订合同的依据。</w:t>
      </w:r>
    </w:p>
    <w:p w14:paraId="74AA3991">
      <w:pPr>
        <w:snapToGrid w:val="0"/>
        <w:spacing w:line="360" w:lineRule="auto"/>
        <w:ind w:right="24" w:rightChars="10" w:firstLine="573"/>
        <w:outlineLvl w:val="9"/>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8209E5D0-7DA6-4093-87AA-BA51B703AC6C}"/>
  </w:font>
  <w:font w:name="楷体">
    <w:panose1 w:val="02010609060101010101"/>
    <w:charset w:val="86"/>
    <w:family w:val="modern"/>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2F8A">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AEB207">
                          <w:pPr>
                            <w:pStyle w:val="21"/>
                            <w:rPr>
                              <w:rStyle w:val="39"/>
                            </w:rPr>
                          </w:pPr>
                          <w:r>
                            <w:rPr>
                              <w:rStyle w:val="39"/>
                            </w:rPr>
                            <w:t xml:space="preserve">— </w:t>
                          </w:r>
                          <w:r>
                            <w:rPr>
                              <w:rStyle w:val="39"/>
                            </w:rPr>
                            <w:fldChar w:fldCharType="begin"/>
                          </w:r>
                          <w:r>
                            <w:rPr>
                              <w:rStyle w:val="39"/>
                            </w:rPr>
                            <w:instrText xml:space="preserve"> PAGE  \* MERGEFORMAT </w:instrText>
                          </w:r>
                          <w:r>
                            <w:rPr>
                              <w:rStyle w:val="39"/>
                            </w:rPr>
                            <w:fldChar w:fldCharType="separate"/>
                          </w:r>
                          <w:r>
                            <w:rPr>
                              <w:rStyle w:val="39"/>
                            </w:rPr>
                            <w:t>1</w:t>
                          </w:r>
                          <w:r>
                            <w:rPr>
                              <w:rStyle w:val="39"/>
                            </w:rPr>
                            <w:fldChar w:fldCharType="end"/>
                          </w:r>
                          <w:r>
                            <w:rPr>
                              <w:rStyle w:val="39"/>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V3NsBAADAAwAADgAAAGRycy9lMm9Eb2MueG1srVNNrtMwEN4jcQfL&#10;e5q0Eq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DlnTli68Mv3b5cfvy4/v7Jl&#10;kqf3saKqO091OLyCgZZmjkcKJtZDG2z6Ex9GeRL3fBVXDchkOrRerdclpSTlZofwi/vjPkR8o8Cy&#10;ZNQ80O1lUcXpXcSxdC5J3RzcamPyDRr3V4Awx4jKKzCdTkzGiZOFw36Y6O2hORM7ehTUtYPwhbOe&#10;VqLmjl4AZ+atI8XT9sxGmI39bAgn6WDNkbPRfI15y9JY0b88Is2aKaTWYz+inhy62CzCtIRpc/70&#10;c9X9w9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nX9Xc2wEAAMADAAAOAAAAAAAAAAEA&#10;IAAAAB4BAABkcnMvZTJvRG9jLnhtbFBLBQYAAAAABgAGAFkBAABrBQAAAAA=&#10;">
              <v:fill on="f" focussize="0,0"/>
              <v:stroke on="f"/>
              <v:imagedata o:title=""/>
              <o:lock v:ext="edit" aspectratio="f"/>
              <v:textbox inset="0mm,0mm,0mm,0mm" style="mso-fit-shape-to-text:t;">
                <w:txbxContent>
                  <w:p w14:paraId="44AEB207">
                    <w:pPr>
                      <w:pStyle w:val="21"/>
                      <w:rPr>
                        <w:rStyle w:val="39"/>
                      </w:rPr>
                    </w:pPr>
                    <w:r>
                      <w:rPr>
                        <w:rStyle w:val="39"/>
                      </w:rPr>
                      <w:t xml:space="preserve">— </w:t>
                    </w:r>
                    <w:r>
                      <w:rPr>
                        <w:rStyle w:val="39"/>
                      </w:rPr>
                      <w:fldChar w:fldCharType="begin"/>
                    </w:r>
                    <w:r>
                      <w:rPr>
                        <w:rStyle w:val="39"/>
                      </w:rPr>
                      <w:instrText xml:space="preserve"> PAGE  \* MERGEFORMAT </w:instrText>
                    </w:r>
                    <w:r>
                      <w:rPr>
                        <w:rStyle w:val="39"/>
                      </w:rPr>
                      <w:fldChar w:fldCharType="separate"/>
                    </w:r>
                    <w:r>
                      <w:rPr>
                        <w:rStyle w:val="39"/>
                      </w:rPr>
                      <w:t>1</w:t>
                    </w:r>
                    <w:r>
                      <w:rPr>
                        <w:rStyle w:val="39"/>
                      </w:rPr>
                      <w:fldChar w:fldCharType="end"/>
                    </w:r>
                    <w:r>
                      <w:rPr>
                        <w:rStyle w:val="39"/>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1ECC">
    <w:pPr>
      <w:pStyle w:val="22"/>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65"/>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2"/>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MTYxNWViY2ZkZjcwNWNjZTAzYjY2Mjc3ZmZiN2E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026909"/>
    <w:rsid w:val="012F0E57"/>
    <w:rsid w:val="01411C2E"/>
    <w:rsid w:val="020A1A37"/>
    <w:rsid w:val="02C42317"/>
    <w:rsid w:val="02D61D94"/>
    <w:rsid w:val="02F834AD"/>
    <w:rsid w:val="030A62A4"/>
    <w:rsid w:val="035C6B10"/>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C38649C"/>
    <w:rsid w:val="0C913FA4"/>
    <w:rsid w:val="0D246B24"/>
    <w:rsid w:val="0D4A1558"/>
    <w:rsid w:val="0D526D3D"/>
    <w:rsid w:val="0DEB3885"/>
    <w:rsid w:val="0ED63E13"/>
    <w:rsid w:val="0F0F012B"/>
    <w:rsid w:val="113C1D21"/>
    <w:rsid w:val="11510668"/>
    <w:rsid w:val="11C84020"/>
    <w:rsid w:val="125A744D"/>
    <w:rsid w:val="127C36AC"/>
    <w:rsid w:val="12BC0408"/>
    <w:rsid w:val="1331700B"/>
    <w:rsid w:val="13477AFB"/>
    <w:rsid w:val="139E6D39"/>
    <w:rsid w:val="13AA7EAB"/>
    <w:rsid w:val="14902461"/>
    <w:rsid w:val="14AC54C9"/>
    <w:rsid w:val="14B939EA"/>
    <w:rsid w:val="15B02E28"/>
    <w:rsid w:val="16131E07"/>
    <w:rsid w:val="16AD6E91"/>
    <w:rsid w:val="1899108E"/>
    <w:rsid w:val="18CB78A2"/>
    <w:rsid w:val="1A0C7B42"/>
    <w:rsid w:val="1A7C4F16"/>
    <w:rsid w:val="1B553EF2"/>
    <w:rsid w:val="1B857F6B"/>
    <w:rsid w:val="1BBF4480"/>
    <w:rsid w:val="1BC655FE"/>
    <w:rsid w:val="1C685AC7"/>
    <w:rsid w:val="1E421409"/>
    <w:rsid w:val="1E6A12A3"/>
    <w:rsid w:val="1EBA4E0F"/>
    <w:rsid w:val="1F0575FF"/>
    <w:rsid w:val="1F3928BF"/>
    <w:rsid w:val="208859F7"/>
    <w:rsid w:val="219F69CD"/>
    <w:rsid w:val="21B44B54"/>
    <w:rsid w:val="21F562DA"/>
    <w:rsid w:val="21F80F4C"/>
    <w:rsid w:val="23685BD8"/>
    <w:rsid w:val="23D779F5"/>
    <w:rsid w:val="24E55459"/>
    <w:rsid w:val="252A52DE"/>
    <w:rsid w:val="25C75127"/>
    <w:rsid w:val="26570B8B"/>
    <w:rsid w:val="26F87079"/>
    <w:rsid w:val="273A359F"/>
    <w:rsid w:val="27651240"/>
    <w:rsid w:val="278C46B7"/>
    <w:rsid w:val="27DB7C94"/>
    <w:rsid w:val="27E100E2"/>
    <w:rsid w:val="28006D63"/>
    <w:rsid w:val="285C5EAD"/>
    <w:rsid w:val="28C50AAE"/>
    <w:rsid w:val="29270734"/>
    <w:rsid w:val="293C13A7"/>
    <w:rsid w:val="29693DC3"/>
    <w:rsid w:val="29BB2D3A"/>
    <w:rsid w:val="29C667C5"/>
    <w:rsid w:val="29D13E41"/>
    <w:rsid w:val="2A5A716F"/>
    <w:rsid w:val="2AA81E51"/>
    <w:rsid w:val="2ADC6B3B"/>
    <w:rsid w:val="2B79079C"/>
    <w:rsid w:val="2BB54273"/>
    <w:rsid w:val="2C320458"/>
    <w:rsid w:val="2D716EAF"/>
    <w:rsid w:val="2DBB0F1A"/>
    <w:rsid w:val="2E2C3B97"/>
    <w:rsid w:val="2E6D54B5"/>
    <w:rsid w:val="2EB74EE6"/>
    <w:rsid w:val="2EE72408"/>
    <w:rsid w:val="2F176E80"/>
    <w:rsid w:val="2F9D6E1A"/>
    <w:rsid w:val="2FCF0F1F"/>
    <w:rsid w:val="2FE91756"/>
    <w:rsid w:val="2FFE2E70"/>
    <w:rsid w:val="301C3479"/>
    <w:rsid w:val="302C05D3"/>
    <w:rsid w:val="31045E46"/>
    <w:rsid w:val="315C7E3B"/>
    <w:rsid w:val="317220B1"/>
    <w:rsid w:val="32000483"/>
    <w:rsid w:val="32135397"/>
    <w:rsid w:val="323A76CB"/>
    <w:rsid w:val="33056C12"/>
    <w:rsid w:val="33312A72"/>
    <w:rsid w:val="33BA01D3"/>
    <w:rsid w:val="33BA520D"/>
    <w:rsid w:val="33CB36DC"/>
    <w:rsid w:val="353419DD"/>
    <w:rsid w:val="353A0FEA"/>
    <w:rsid w:val="358442A0"/>
    <w:rsid w:val="365211A8"/>
    <w:rsid w:val="36543FF7"/>
    <w:rsid w:val="368D6292"/>
    <w:rsid w:val="36F078C2"/>
    <w:rsid w:val="381F3539"/>
    <w:rsid w:val="383E47E0"/>
    <w:rsid w:val="388749CB"/>
    <w:rsid w:val="38AE21DF"/>
    <w:rsid w:val="38F503AC"/>
    <w:rsid w:val="392C6C96"/>
    <w:rsid w:val="3ACA5D8E"/>
    <w:rsid w:val="3B87057A"/>
    <w:rsid w:val="3C3A63C0"/>
    <w:rsid w:val="3D0174D7"/>
    <w:rsid w:val="3D295C5D"/>
    <w:rsid w:val="3F3D62BF"/>
    <w:rsid w:val="3F75300D"/>
    <w:rsid w:val="3F973136"/>
    <w:rsid w:val="3FCD7A4E"/>
    <w:rsid w:val="3FF05F77"/>
    <w:rsid w:val="4023499A"/>
    <w:rsid w:val="40AC22B9"/>
    <w:rsid w:val="40D349DE"/>
    <w:rsid w:val="40D5397D"/>
    <w:rsid w:val="413E0B8A"/>
    <w:rsid w:val="42113AC3"/>
    <w:rsid w:val="42293648"/>
    <w:rsid w:val="42903712"/>
    <w:rsid w:val="42B005BA"/>
    <w:rsid w:val="42B501FD"/>
    <w:rsid w:val="42FE2EDF"/>
    <w:rsid w:val="43910801"/>
    <w:rsid w:val="43B56C36"/>
    <w:rsid w:val="43D14E97"/>
    <w:rsid w:val="43EE1D29"/>
    <w:rsid w:val="44677F52"/>
    <w:rsid w:val="453E3116"/>
    <w:rsid w:val="45B70290"/>
    <w:rsid w:val="45C87EC1"/>
    <w:rsid w:val="45D53A97"/>
    <w:rsid w:val="461B39BC"/>
    <w:rsid w:val="46653280"/>
    <w:rsid w:val="466D6C84"/>
    <w:rsid w:val="46D91D99"/>
    <w:rsid w:val="47DD344F"/>
    <w:rsid w:val="48555B1E"/>
    <w:rsid w:val="485C2E6F"/>
    <w:rsid w:val="486007E7"/>
    <w:rsid w:val="48DE671D"/>
    <w:rsid w:val="493E1098"/>
    <w:rsid w:val="4AB41467"/>
    <w:rsid w:val="4AE87EF3"/>
    <w:rsid w:val="4C156088"/>
    <w:rsid w:val="4CB75CD2"/>
    <w:rsid w:val="4CCA2977"/>
    <w:rsid w:val="4D367204"/>
    <w:rsid w:val="4D96665A"/>
    <w:rsid w:val="4E0B0C8B"/>
    <w:rsid w:val="4E0B1509"/>
    <w:rsid w:val="4E2053C1"/>
    <w:rsid w:val="4E651E82"/>
    <w:rsid w:val="4FA5289F"/>
    <w:rsid w:val="50261065"/>
    <w:rsid w:val="512B20E8"/>
    <w:rsid w:val="519312A1"/>
    <w:rsid w:val="52295149"/>
    <w:rsid w:val="52DB0D4D"/>
    <w:rsid w:val="53F063C8"/>
    <w:rsid w:val="545D78E8"/>
    <w:rsid w:val="54730F05"/>
    <w:rsid w:val="54FC5883"/>
    <w:rsid w:val="5508745F"/>
    <w:rsid w:val="568A061D"/>
    <w:rsid w:val="56C34358"/>
    <w:rsid w:val="56FA3AC9"/>
    <w:rsid w:val="584D1BA8"/>
    <w:rsid w:val="5A38410A"/>
    <w:rsid w:val="5AC822DF"/>
    <w:rsid w:val="5B5A3637"/>
    <w:rsid w:val="5B9A7831"/>
    <w:rsid w:val="5BEC1A3D"/>
    <w:rsid w:val="5C2B407B"/>
    <w:rsid w:val="5C462421"/>
    <w:rsid w:val="5CD21A5C"/>
    <w:rsid w:val="5CDD536F"/>
    <w:rsid w:val="5ED434BE"/>
    <w:rsid w:val="5FB7486E"/>
    <w:rsid w:val="5FDD161E"/>
    <w:rsid w:val="5FF0455B"/>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CB581E"/>
    <w:rsid w:val="69F800AA"/>
    <w:rsid w:val="6A731156"/>
    <w:rsid w:val="6B9163A4"/>
    <w:rsid w:val="6BB2782C"/>
    <w:rsid w:val="6BBF1840"/>
    <w:rsid w:val="6BE925AA"/>
    <w:rsid w:val="6C1255B4"/>
    <w:rsid w:val="6CA84DFB"/>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2121111"/>
    <w:rsid w:val="730D1F05"/>
    <w:rsid w:val="7313657D"/>
    <w:rsid w:val="73A94B23"/>
    <w:rsid w:val="75965B44"/>
    <w:rsid w:val="75DA5A6C"/>
    <w:rsid w:val="761D41C0"/>
    <w:rsid w:val="76C14706"/>
    <w:rsid w:val="76E42390"/>
    <w:rsid w:val="770A5F69"/>
    <w:rsid w:val="770E287F"/>
    <w:rsid w:val="77A03980"/>
    <w:rsid w:val="77EE7748"/>
    <w:rsid w:val="7890278C"/>
    <w:rsid w:val="78947FB0"/>
    <w:rsid w:val="78E67813"/>
    <w:rsid w:val="7A241698"/>
    <w:rsid w:val="7B0528C7"/>
    <w:rsid w:val="7C3362B8"/>
    <w:rsid w:val="7CCA4C96"/>
    <w:rsid w:val="7CE3002B"/>
    <w:rsid w:val="7CFA0F06"/>
    <w:rsid w:val="7D901A4B"/>
    <w:rsid w:val="7DC35DA7"/>
    <w:rsid w:val="7E7C601B"/>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sz w:val="24"/>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8">
    <w:name w:val="Default Paragraph Font"/>
    <w:semiHidden/>
    <w:uiPriority w:val="0"/>
  </w:style>
  <w:style w:type="table" w:default="1" w:styleId="36">
    <w:name w:val="Normal Table"/>
    <w:semiHidden/>
    <w:uiPriority w:val="0"/>
    <w:tblPr>
      <w:tblStyle w:val="36"/>
      <w:tblCellMar>
        <w:top w:w="0" w:type="dxa"/>
        <w:left w:w="108" w:type="dxa"/>
        <w:bottom w:w="0" w:type="dxa"/>
        <w:right w:w="108" w:type="dxa"/>
      </w:tblCellMar>
    </w:tblPr>
  </w:style>
  <w:style w:type="paragraph" w:styleId="6">
    <w:name w:val="toc 7"/>
    <w:basedOn w:val="1"/>
    <w:next w:val="1"/>
    <w:semiHidden/>
    <w:uiPriority w:val="0"/>
    <w:pPr>
      <w:ind w:left="1680"/>
      <w:jc w:val="left"/>
    </w:pPr>
    <w:rPr>
      <w:rFonts w:ascii="等线" w:eastAsia="等线"/>
      <w:sz w:val="20"/>
    </w:rPr>
  </w:style>
  <w:style w:type="paragraph" w:styleId="7">
    <w:name w:val="index 8"/>
    <w:basedOn w:val="1"/>
    <w:next w:val="1"/>
    <w:semiHidden/>
    <w:uiPriority w:val="0"/>
    <w:pPr>
      <w:ind w:left="1400" w:leftChars="1400"/>
    </w:pPr>
  </w:style>
  <w:style w:type="paragraph" w:styleId="8">
    <w:name w:val="index 5"/>
    <w:basedOn w:val="1"/>
    <w:next w:val="1"/>
    <w:semiHidden/>
    <w:uiPriority w:val="0"/>
    <w:pPr>
      <w:ind w:left="800" w:leftChars="800"/>
    </w:pPr>
  </w:style>
  <w:style w:type="paragraph" w:styleId="9">
    <w:name w:val="annotation text"/>
    <w:basedOn w:val="1"/>
    <w:link w:val="43"/>
    <w:uiPriority w:val="0"/>
  </w:style>
  <w:style w:type="paragraph" w:styleId="10">
    <w:name w:val="index 6"/>
    <w:basedOn w:val="1"/>
    <w:next w:val="1"/>
    <w:semiHidden/>
    <w:uiPriority w:val="0"/>
    <w:pPr>
      <w:ind w:left="1000" w:leftChars="1000"/>
    </w:pPr>
  </w:style>
  <w:style w:type="paragraph" w:styleId="11">
    <w:name w:val="Body Text"/>
    <w:basedOn w:val="1"/>
    <w:uiPriority w:val="0"/>
    <w:pPr>
      <w:jc w:val="left"/>
    </w:pPr>
    <w:rPr>
      <w:rFonts w:ascii="宋体"/>
    </w:rPr>
  </w:style>
  <w:style w:type="paragraph" w:styleId="12">
    <w:name w:val="Body Text Indent"/>
    <w:basedOn w:val="1"/>
    <w:uiPriority w:val="0"/>
    <w:pPr>
      <w:spacing w:line="700" w:lineRule="exact"/>
      <w:ind w:left="960"/>
    </w:pPr>
    <w:rPr>
      <w:sz w:val="44"/>
    </w:rPr>
  </w:style>
  <w:style w:type="paragraph" w:styleId="13">
    <w:name w:val="index 4"/>
    <w:basedOn w:val="1"/>
    <w:next w:val="1"/>
    <w:semiHidden/>
    <w:uiPriority w:val="0"/>
    <w:pPr>
      <w:ind w:left="600" w:leftChars="600"/>
    </w:pPr>
  </w:style>
  <w:style w:type="paragraph" w:styleId="14">
    <w:name w:val="toc 5"/>
    <w:basedOn w:val="1"/>
    <w:next w:val="1"/>
    <w:semiHidden/>
    <w:uiPriority w:val="0"/>
    <w:pPr>
      <w:ind w:left="1120"/>
      <w:jc w:val="left"/>
    </w:pPr>
    <w:rPr>
      <w:rFonts w:ascii="等线" w:eastAsia="等线"/>
      <w:sz w:val="20"/>
    </w:rPr>
  </w:style>
  <w:style w:type="paragraph" w:styleId="15">
    <w:name w:val="toc 3"/>
    <w:basedOn w:val="1"/>
    <w:next w:val="1"/>
    <w:uiPriority w:val="39"/>
    <w:pPr>
      <w:ind w:left="560"/>
      <w:jc w:val="left"/>
    </w:pPr>
    <w:rPr>
      <w:rFonts w:ascii="等线" w:eastAsia="等线"/>
      <w:sz w:val="20"/>
    </w:rPr>
  </w:style>
  <w:style w:type="paragraph" w:styleId="16">
    <w:name w:val="toc 8"/>
    <w:basedOn w:val="1"/>
    <w:next w:val="1"/>
    <w:semiHidden/>
    <w:uiPriority w:val="0"/>
    <w:pPr>
      <w:ind w:left="1960"/>
      <w:jc w:val="left"/>
    </w:pPr>
    <w:rPr>
      <w:rFonts w:ascii="等线" w:eastAsia="等线"/>
      <w:sz w:val="20"/>
    </w:rPr>
  </w:style>
  <w:style w:type="paragraph" w:styleId="17">
    <w:name w:val="index 3"/>
    <w:basedOn w:val="1"/>
    <w:next w:val="1"/>
    <w:semiHidden/>
    <w:uiPriority w:val="0"/>
    <w:pPr>
      <w:ind w:left="400" w:leftChars="400"/>
    </w:pPr>
  </w:style>
  <w:style w:type="paragraph" w:styleId="18">
    <w:name w:val="Date"/>
    <w:basedOn w:val="1"/>
    <w:next w:val="1"/>
    <w:uiPriority w:val="0"/>
  </w:style>
  <w:style w:type="paragraph" w:styleId="19">
    <w:name w:val="Body Text Indent 2"/>
    <w:basedOn w:val="1"/>
    <w:uiPriority w:val="0"/>
    <w:pPr>
      <w:snapToGrid w:val="0"/>
      <w:spacing w:line="560" w:lineRule="atLeast"/>
      <w:ind w:firstLine="540"/>
    </w:pPr>
  </w:style>
  <w:style w:type="paragraph" w:styleId="20">
    <w:name w:val="Balloon Text"/>
    <w:basedOn w:val="1"/>
    <w:semiHidden/>
    <w:uiPriority w:val="0"/>
    <w:rPr>
      <w:sz w:val="18"/>
      <w:szCs w:val="18"/>
    </w:rPr>
  </w:style>
  <w:style w:type="paragraph" w:styleId="21">
    <w:name w:val="footer"/>
    <w:basedOn w:val="1"/>
    <w:uiPriority w:val="0"/>
    <w:pPr>
      <w:tabs>
        <w:tab w:val="center" w:pos="4153"/>
        <w:tab w:val="right" w:pos="8306"/>
      </w:tabs>
      <w:snapToGrid w:val="0"/>
      <w:jc w:val="left"/>
    </w:pPr>
    <w:rPr>
      <w:sz w:val="18"/>
    </w:rPr>
  </w:style>
  <w:style w:type="paragraph" w:styleId="22">
    <w:name w:val="header"/>
    <w:basedOn w:val="1"/>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uiPriority w:val="39"/>
    <w:pPr>
      <w:spacing w:before="120"/>
      <w:jc w:val="left"/>
    </w:pPr>
    <w:rPr>
      <w:rFonts w:ascii="等线" w:eastAsia="等线"/>
      <w:b/>
      <w:bCs/>
      <w:i/>
      <w:iCs/>
      <w:sz w:val="24"/>
      <w:szCs w:val="24"/>
    </w:rPr>
  </w:style>
  <w:style w:type="paragraph" w:styleId="24">
    <w:name w:val="toc 4"/>
    <w:basedOn w:val="1"/>
    <w:next w:val="1"/>
    <w:semiHidden/>
    <w:uiPriority w:val="0"/>
    <w:pPr>
      <w:ind w:left="840"/>
      <w:jc w:val="left"/>
    </w:pPr>
    <w:rPr>
      <w:rFonts w:ascii="等线" w:eastAsia="等线"/>
      <w:sz w:val="20"/>
    </w:rPr>
  </w:style>
  <w:style w:type="paragraph" w:styleId="25">
    <w:name w:val="index heading"/>
    <w:basedOn w:val="1"/>
    <w:next w:val="26"/>
    <w:semiHidden/>
    <w:uiPriority w:val="0"/>
  </w:style>
  <w:style w:type="paragraph" w:styleId="26">
    <w:name w:val="index 1"/>
    <w:basedOn w:val="1"/>
    <w:next w:val="1"/>
    <w:semiHidden/>
    <w:uiPriority w:val="0"/>
  </w:style>
  <w:style w:type="paragraph" w:styleId="27">
    <w:name w:val="toc 6"/>
    <w:basedOn w:val="1"/>
    <w:next w:val="1"/>
    <w:semiHidden/>
    <w:uiPriority w:val="0"/>
    <w:pPr>
      <w:ind w:left="1400"/>
      <w:jc w:val="left"/>
    </w:pPr>
    <w:rPr>
      <w:rFonts w:ascii="等线" w:eastAsia="等线"/>
      <w:sz w:val="20"/>
    </w:rPr>
  </w:style>
  <w:style w:type="paragraph" w:styleId="28">
    <w:name w:val="Body Text Indent 3"/>
    <w:basedOn w:val="1"/>
    <w:uiPriority w:val="0"/>
    <w:pPr>
      <w:spacing w:after="120"/>
      <w:ind w:left="420" w:leftChars="200"/>
    </w:pPr>
    <w:rPr>
      <w:sz w:val="16"/>
      <w:szCs w:val="16"/>
    </w:rPr>
  </w:style>
  <w:style w:type="paragraph" w:styleId="29">
    <w:name w:val="index 7"/>
    <w:basedOn w:val="1"/>
    <w:next w:val="1"/>
    <w:semiHidden/>
    <w:uiPriority w:val="0"/>
    <w:pPr>
      <w:ind w:left="1200" w:leftChars="1200"/>
    </w:pPr>
  </w:style>
  <w:style w:type="paragraph" w:styleId="30">
    <w:name w:val="index 9"/>
    <w:basedOn w:val="1"/>
    <w:next w:val="1"/>
    <w:semiHidden/>
    <w:uiPriority w:val="0"/>
    <w:pPr>
      <w:ind w:left="1600" w:leftChars="1600"/>
    </w:pPr>
  </w:style>
  <w:style w:type="paragraph" w:styleId="31">
    <w:name w:val="toc 2"/>
    <w:basedOn w:val="1"/>
    <w:next w:val="1"/>
    <w:uiPriority w:val="39"/>
    <w:pPr>
      <w:spacing w:before="120"/>
      <w:ind w:left="280"/>
      <w:jc w:val="left"/>
    </w:pPr>
    <w:rPr>
      <w:rFonts w:ascii="等线" w:eastAsia="等线"/>
      <w:b/>
      <w:bCs/>
      <w:sz w:val="22"/>
      <w:szCs w:val="22"/>
    </w:rPr>
  </w:style>
  <w:style w:type="paragraph" w:styleId="32">
    <w:name w:val="toc 9"/>
    <w:basedOn w:val="1"/>
    <w:next w:val="1"/>
    <w:semiHidden/>
    <w:uiPriority w:val="0"/>
    <w:pPr>
      <w:ind w:left="2240"/>
      <w:jc w:val="left"/>
    </w:pPr>
    <w:rPr>
      <w:rFonts w:ascii="等线" w:eastAsia="等线"/>
      <w:sz w:val="20"/>
    </w:rPr>
  </w:style>
  <w:style w:type="paragraph" w:styleId="33">
    <w:name w:val="HTML Preformatted"/>
    <w:basedOn w:val="1"/>
    <w:link w:val="44"/>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4">
    <w:name w:val="index 2"/>
    <w:basedOn w:val="1"/>
    <w:next w:val="1"/>
    <w:semiHidden/>
    <w:uiPriority w:val="0"/>
    <w:pPr>
      <w:ind w:left="200" w:leftChars="200"/>
    </w:pPr>
  </w:style>
  <w:style w:type="paragraph" w:styleId="35">
    <w:name w:val="annotation subject"/>
    <w:basedOn w:val="9"/>
    <w:next w:val="9"/>
    <w:link w:val="45"/>
    <w:uiPriority w:val="0"/>
    <w:rPr>
      <w:b/>
      <w:bCs/>
    </w:rPr>
  </w:style>
  <w:style w:type="table" w:styleId="37">
    <w:name w:val="Table Grid"/>
    <w:basedOn w:val="36"/>
    <w:uiPriority w:val="0"/>
    <w:pPr>
      <w:widowControl w:val="0"/>
      <w:jc w:val="both"/>
    </w:p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uiPriority w:val="0"/>
  </w:style>
  <w:style w:type="character" w:styleId="40">
    <w:name w:val="FollowedHyperlink"/>
    <w:uiPriority w:val="0"/>
    <w:rPr>
      <w:color w:val="800080"/>
      <w:u w:val="single"/>
    </w:rPr>
  </w:style>
  <w:style w:type="character" w:styleId="41">
    <w:name w:val="Hyperlink"/>
    <w:uiPriority w:val="99"/>
    <w:rPr>
      <w:color w:val="0000FF"/>
      <w:u w:val="single"/>
    </w:rPr>
  </w:style>
  <w:style w:type="character" w:styleId="42">
    <w:name w:val="annotation reference"/>
    <w:uiPriority w:val="0"/>
    <w:rPr>
      <w:sz w:val="21"/>
      <w:szCs w:val="21"/>
    </w:rPr>
  </w:style>
  <w:style w:type="character" w:customStyle="1" w:styleId="43">
    <w:name w:val="批注文字 字符"/>
    <w:link w:val="9"/>
    <w:uiPriority w:val="0"/>
    <w:rPr>
      <w:rFonts w:ascii="宋体" w:hAnsi="宋体" w:cs="宋体"/>
      <w:sz w:val="24"/>
      <w:szCs w:val="24"/>
    </w:rPr>
  </w:style>
  <w:style w:type="character" w:customStyle="1" w:styleId="44">
    <w:name w:val="HTML 预设格式 字符"/>
    <w:link w:val="33"/>
    <w:uiPriority w:val="0"/>
    <w:rPr>
      <w:rFonts w:ascii="黑体" w:hAnsi="Courier New" w:eastAsia="黑体" w:cs="Courier New"/>
      <w:color w:val="000000"/>
    </w:rPr>
  </w:style>
  <w:style w:type="character" w:customStyle="1" w:styleId="45">
    <w:name w:val="批注主题 字符"/>
    <w:link w:val="35"/>
    <w:uiPriority w:val="0"/>
    <w:rPr>
      <w:rFonts w:ascii="宋体" w:hAnsi="宋体" w:cs="宋体"/>
      <w:b/>
      <w:bCs/>
      <w:sz w:val="24"/>
      <w:szCs w:val="24"/>
    </w:rPr>
  </w:style>
  <w:style w:type="character" w:customStyle="1" w:styleId="46">
    <w:name w:val="font01"/>
    <w:basedOn w:val="38"/>
    <w:uiPriority w:val="0"/>
    <w:rPr>
      <w:rFonts w:hint="eastAsia" w:ascii="宋体" w:hAnsi="宋体" w:eastAsia="宋体" w:cs="宋体"/>
      <w:color w:val="000000"/>
      <w:sz w:val="22"/>
      <w:szCs w:val="22"/>
      <w:u w:val="none"/>
    </w:rPr>
  </w:style>
  <w:style w:type="character" w:customStyle="1" w:styleId="47">
    <w:name w:val="font11"/>
    <w:basedOn w:val="38"/>
    <w:uiPriority w:val="0"/>
    <w:rPr>
      <w:rFonts w:hint="default" w:ascii="Times New Roman" w:hAnsi="Times New Roman" w:cs="Times New Roman"/>
      <w:color w:val="000000"/>
      <w:sz w:val="22"/>
      <w:szCs w:val="22"/>
      <w:u w:val="none"/>
    </w:rPr>
  </w:style>
  <w:style w:type="character" w:customStyle="1" w:styleId="48">
    <w:name w:val="HTML 预设格式 字符1"/>
    <w:uiPriority w:val="0"/>
    <w:rPr>
      <w:rFonts w:ascii="Courier New" w:hAnsi="Courier New" w:cs="Courier New"/>
      <w:kern w:val="2"/>
    </w:rPr>
  </w:style>
  <w:style w:type="character" w:customStyle="1" w:styleId="49">
    <w:name w:val="表格 Char Char"/>
    <w:link w:val="50"/>
    <w:uiPriority w:val="0"/>
    <w:rPr>
      <w:rFonts w:ascii="宋体" w:hAnsi="宋体"/>
    </w:rPr>
  </w:style>
  <w:style w:type="paragraph" w:customStyle="1" w:styleId="50">
    <w:name w:val="表格"/>
    <w:basedOn w:val="1"/>
    <w:link w:val="49"/>
    <w:uiPriority w:val="0"/>
    <w:pPr>
      <w:widowControl/>
      <w:snapToGrid w:val="0"/>
      <w:jc w:val="left"/>
    </w:pPr>
    <w:rPr>
      <w:rFonts w:cs="Times New Roman"/>
      <w:sz w:val="20"/>
      <w:szCs w:val="20"/>
    </w:rPr>
  </w:style>
  <w:style w:type="character" w:customStyle="1" w:styleId="51">
    <w:name w:val="NormalCharacter"/>
    <w:qFormat/>
    <w:uiPriority w:val="0"/>
    <w:rPr>
      <w:rFonts w:ascii="Times New Roman" w:hAnsi="Times New Roman" w:eastAsia="宋体" w:cs="Times New Roman"/>
      <w:kern w:val="2"/>
      <w:sz w:val="21"/>
      <w:szCs w:val="22"/>
      <w:lang w:val="en-US" w:eastAsia="zh-CN" w:bidi="ar-SA"/>
    </w:rPr>
  </w:style>
  <w:style w:type="paragraph" w:customStyle="1" w:styleId="52">
    <w:name w:val="合同正文"/>
    <w:qFormat/>
    <w:uiPriority w:val="0"/>
    <w:pPr>
      <w:numPr>
        <w:ilvl w:val="0"/>
        <w:numId w:val="1"/>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54">
    <w:name w:val="Char1 Char Char Char"/>
    <w:basedOn w:val="1"/>
    <w:uiPriority w:val="0"/>
    <w:rPr>
      <w:rFonts w:ascii="Tahoma" w:hAnsi="Tahoma"/>
      <w:sz w:val="30"/>
      <w:szCs w:val="30"/>
    </w:rPr>
  </w:style>
  <w:style w:type="paragraph" w:customStyle="1" w:styleId="55">
    <w:name w:val="段"/>
    <w:next w:val="1"/>
    <w:qFormat/>
    <w:uiPriority w:val="0"/>
    <w:pPr>
      <w:autoSpaceDE w:val="0"/>
      <w:autoSpaceDN w:val="0"/>
      <w:ind w:firstLine="200" w:firstLineChars="200"/>
      <w:jc w:val="both"/>
    </w:pPr>
    <w:rPr>
      <w:rFonts w:ascii="宋体"/>
      <w:sz w:val="21"/>
      <w:lang w:val="en-US" w:eastAsia="zh-CN" w:bidi="ar-SA"/>
    </w:rPr>
  </w:style>
  <w:style w:type="paragraph" w:customStyle="1" w:styleId="56">
    <w:name w:val="正文 New"/>
    <w:qFormat/>
    <w:uiPriority w:val="99"/>
    <w:pPr>
      <w:widowControl w:val="0"/>
      <w:spacing w:line="440" w:lineRule="exact"/>
      <w:ind w:left="357" w:hanging="357"/>
      <w:jc w:val="both"/>
    </w:pPr>
    <w:rPr>
      <w:kern w:val="2"/>
      <w:sz w:val="21"/>
      <w:szCs w:val="22"/>
      <w:lang w:val="en-US" w:eastAsia="zh-CN" w:bidi="ar-SA"/>
    </w:rPr>
  </w:style>
  <w:style w:type="paragraph" w:customStyle="1" w:styleId="57">
    <w:name w:val="合同标题"/>
    <w:basedOn w:val="52"/>
    <w:next w:val="52"/>
    <w:qFormat/>
    <w:uiPriority w:val="0"/>
    <w:pPr>
      <w:numPr>
        <w:ilvl w:val="0"/>
        <w:numId w:val="0"/>
      </w:numPr>
      <w:jc w:val="center"/>
    </w:pPr>
    <w:rPr>
      <w:rFonts w:eastAsia="方正小标宋简体"/>
      <w:sz w:val="32"/>
      <w:szCs w:val="32"/>
    </w:rPr>
  </w:style>
  <w:style w:type="paragraph" w:customStyle="1" w:styleId="58">
    <w:name w:val="Table Paragraph"/>
    <w:basedOn w:val="1"/>
    <w:qFormat/>
    <w:uiPriority w:val="1"/>
    <w:pPr>
      <w:spacing w:before="143"/>
    </w:pPr>
    <w:rPr>
      <w:rFonts w:ascii="宋体" w:hAnsi="宋体" w:eastAsia="宋体" w:cs="宋体"/>
    </w:rPr>
  </w:style>
  <w:style w:type="paragraph" w:styleId="59">
    <w:name w:val=""/>
    <w:basedOn w:val="2"/>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60">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1">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62">
    <w:name w:val="列表内容"/>
    <w:basedOn w:val="1"/>
    <w:uiPriority w:val="0"/>
    <w:pPr>
      <w:widowControl/>
      <w:spacing w:beforeLines="15" w:afterLines="15" w:line="260" w:lineRule="exact"/>
      <w:ind w:left="251"/>
      <w:jc w:val="left"/>
    </w:pPr>
    <w:rPr>
      <w:rFonts w:ascii="宋体" w:hAnsi="宋体"/>
      <w:kern w:val="0"/>
      <w:sz w:val="18"/>
      <w:szCs w:val="21"/>
    </w:rPr>
  </w:style>
  <w:style w:type="paragraph" w:customStyle="1" w:styleId="63">
    <w:name w:val="正文_15"/>
    <w:qFormat/>
    <w:uiPriority w:val="0"/>
    <w:pPr>
      <w:widowControl w:val="0"/>
      <w:jc w:val="both"/>
    </w:pPr>
    <w:rPr>
      <w:kern w:val="2"/>
      <w:sz w:val="21"/>
      <w:szCs w:val="22"/>
      <w:lang w:val="en-US" w:eastAsia="zh-CN" w:bidi="ar-SA"/>
    </w:rPr>
  </w:style>
  <w:style w:type="paragraph" w:customStyle="1" w:styleId="64">
    <w:name w:val="正文_1"/>
    <w:qFormat/>
    <w:uiPriority w:val="0"/>
    <w:pPr>
      <w:widowControl w:val="0"/>
      <w:jc w:val="both"/>
    </w:pPr>
    <w:rPr>
      <w:kern w:val="2"/>
      <w:sz w:val="21"/>
      <w:szCs w:val="22"/>
      <w:lang w:val="en-US" w:eastAsia="zh-CN" w:bidi="ar-SA"/>
    </w:rPr>
  </w:style>
  <w:style w:type="paragraph" w:customStyle="1" w:styleId="65">
    <w:name w:val="合同内一级标题"/>
    <w:qFormat/>
    <w:uiPriority w:val="0"/>
    <w:pPr>
      <w:numPr>
        <w:ilvl w:val="0"/>
        <w:numId w:val="2"/>
      </w:numPr>
    </w:pPr>
    <w:rPr>
      <w:rFonts w:ascii="Times New Roman" w:hAnsi="Times New Roman" w:eastAsia="黑体" w:cs="Times New Roman"/>
      <w:sz w:val="28"/>
      <w:szCs w:val="28"/>
      <w:lang w:val="en-US" w:eastAsia="zh-CN" w:bidi="ar-SA"/>
    </w:rPr>
  </w:style>
  <w:style w:type="paragraph" w:customStyle="1" w:styleId="66">
    <w:name w:val="WPSOffice手动目录 1"/>
    <w:uiPriority w:val="0"/>
    <w:pPr>
      <w:ind w:leftChars="0"/>
    </w:pPr>
    <w:rPr>
      <w:sz w:val="20"/>
      <w:szCs w:val="20"/>
    </w:rPr>
  </w:style>
  <w:style w:type="paragraph" w:customStyle="1" w:styleId="67">
    <w:name w:val="WPSOffice手动目录 2"/>
    <w:uiPriority w:val="0"/>
    <w:pPr>
      <w:ind w:leftChars="200"/>
    </w:pPr>
    <w:rPr>
      <w:sz w:val="20"/>
      <w:szCs w:val="20"/>
    </w:rPr>
  </w:style>
  <w:style w:type="table" w:customStyle="1" w:styleId="68">
    <w:name w:val="Table Normal"/>
    <w:unhideWhenUsed/>
    <w:qFormat/>
    <w:uiPriority w:val="0"/>
    <w:rPr>
      <w:lang w:val="en-US" w:eastAsia="zh-CN" w:bidi="ar-SA"/>
    </w:rPr>
    <w:tblPr>
      <w:tblStyle w:val="36"/>
      <w:tblCellMar>
        <w:top w:w="0" w:type="dxa"/>
        <w:left w:w="0" w:type="dxa"/>
        <w:bottom w:w="0" w:type="dxa"/>
        <w:right w:w="0" w:type="dxa"/>
      </w:tblCellMar>
    </w:tblPr>
  </w:style>
  <w:style w:type="paragraph" w:customStyle="1" w:styleId="69">
    <w:name w:val="Pa1"/>
    <w:basedOn w:val="1"/>
    <w:next w:val="1"/>
    <w:qFormat/>
    <w:uiPriority w:val="99"/>
    <w:pPr>
      <w:spacing w:line="241" w:lineRule="atLeast"/>
    </w:pPr>
    <w:rPr>
      <w:rFonts w:ascii="Calibri" w:hAnsi="Calibri"/>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8718</Words>
  <Characters>9143</Characters>
  <Lines>91</Lines>
  <Paragraphs>25</Paragraphs>
  <TotalTime>16</TotalTime>
  <ScaleCrop>false</ScaleCrop>
  <LinksUpToDate>false</LinksUpToDate>
  <CharactersWithSpaces>9773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2026-05-26T07:39:04Z</dcterms:modified>
  <dc:title>重庆市公检法系统公务用车议标项目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3F54009E1B9F445CBB1A3CB5C7ECA8D3_13</vt:lpwstr>
  </property>
  <property fmtid="{D5CDD505-2E9C-101B-9397-08002B2CF9AE}" pid="4" name="KSOTemplateDocerSaveRecord">
    <vt:lpwstr>eyJoZGlkIjoiZjk0MzBhOWQ1ZDJiOWMwZjUxOGI3ZmMzOTk1ZGI1ZGEiLCJ1c2VySWQiOiIxMTQ2NTc1NDM2In0=</vt:lpwstr>
  </property>
</Properties>
</file>