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A6F8E">
      <w:pPr>
        <w:pStyle w:val="3"/>
        <w:spacing w:line="360" w:lineRule="auto"/>
        <w:jc w:val="center"/>
        <w:rPr>
          <w:rFonts w:hint="eastAsia" w:eastAsia="黑体"/>
          <w:sz w:val="36"/>
          <w:highlight w:val="none"/>
          <w:lang w:eastAsia="zh-CN"/>
        </w:rPr>
      </w:pPr>
      <w:bookmarkStart w:id="0" w:name="_Toc19426"/>
      <w:bookmarkStart w:id="1" w:name="_Toc25725118"/>
      <w:r>
        <w:rPr>
          <w:rFonts w:hint="eastAsia"/>
          <w:sz w:val="36"/>
          <w:highlight w:val="none"/>
        </w:rPr>
        <w:t>询价采购</w:t>
      </w:r>
      <w:bookmarkEnd w:id="0"/>
      <w:bookmarkEnd w:id="1"/>
      <w:r>
        <w:rPr>
          <w:rFonts w:hint="eastAsia"/>
          <w:sz w:val="36"/>
          <w:highlight w:val="none"/>
          <w:lang w:val="en-US" w:eastAsia="zh-CN"/>
        </w:rPr>
        <w:t>公告</w:t>
      </w:r>
    </w:p>
    <w:p w14:paraId="514F1368">
      <w:pPr>
        <w:spacing w:line="360" w:lineRule="auto"/>
        <w:ind w:firstLine="480" w:firstLineChars="200"/>
        <w:rPr>
          <w:highlight w:val="none"/>
        </w:rPr>
      </w:pPr>
      <w:r>
        <w:rPr>
          <w:rFonts w:hint="eastAsia"/>
          <w:highlight w:val="none"/>
          <w:lang w:eastAsia="zh-CN"/>
        </w:rPr>
        <w:t>湖北机场集团信息科技有限公司</w:t>
      </w:r>
      <w:r>
        <w:rPr>
          <w:rFonts w:hint="eastAsia"/>
          <w:highlight w:val="none"/>
        </w:rPr>
        <w:t>对</w:t>
      </w:r>
      <w:r>
        <w:rPr>
          <w:rFonts w:hint="eastAsia"/>
          <w:highlight w:val="none"/>
          <w:u w:val="single"/>
          <w:lang w:eastAsia="zh-CN"/>
        </w:rPr>
        <w:t>武汉机场弱电机房供配电设备设施排查及保养服务项目（</w:t>
      </w:r>
      <w:r>
        <w:rPr>
          <w:rFonts w:hint="eastAsia"/>
          <w:highlight w:val="none"/>
          <w:u w:val="single"/>
          <w:lang w:val="en-US" w:eastAsia="zh-CN"/>
        </w:rPr>
        <w:t>二次</w:t>
      </w:r>
      <w:r>
        <w:rPr>
          <w:rFonts w:hint="eastAsia"/>
          <w:highlight w:val="none"/>
          <w:u w:val="single"/>
          <w:lang w:eastAsia="zh-CN"/>
        </w:rPr>
        <w:t>）</w:t>
      </w:r>
      <w:r>
        <w:rPr>
          <w:rFonts w:hint="eastAsia"/>
          <w:highlight w:val="none"/>
        </w:rPr>
        <w:t>进行询价，湖北机场集团</w:t>
      </w:r>
      <w:r>
        <w:rPr>
          <w:rFonts w:hint="eastAsia"/>
          <w:highlight w:val="none"/>
          <w:lang w:eastAsia="zh-CN"/>
        </w:rPr>
        <w:t>信息科技有限公司</w:t>
      </w:r>
      <w:r>
        <w:rPr>
          <w:rFonts w:hint="eastAsia"/>
          <w:highlight w:val="none"/>
        </w:rPr>
        <w:t>负责经办，所有询价采购事宜由湖北机场集团</w:t>
      </w:r>
      <w:r>
        <w:rPr>
          <w:rFonts w:hint="eastAsia"/>
          <w:highlight w:val="none"/>
          <w:lang w:eastAsia="zh-CN"/>
        </w:rPr>
        <w:t>信息科技有限公司</w:t>
      </w:r>
      <w:r>
        <w:rPr>
          <w:rFonts w:hint="eastAsia"/>
          <w:highlight w:val="none"/>
        </w:rPr>
        <w:t>负责联系。</w:t>
      </w:r>
    </w:p>
    <w:p w14:paraId="7928147C">
      <w:pPr>
        <w:pStyle w:val="4"/>
        <w:numPr>
          <w:ilvl w:val="0"/>
          <w:numId w:val="1"/>
        </w:numPr>
        <w:spacing w:line="360" w:lineRule="auto"/>
        <w:rPr>
          <w:sz w:val="30"/>
          <w:highlight w:val="none"/>
        </w:rPr>
      </w:pPr>
      <w:bookmarkStart w:id="2" w:name="_Toc7671"/>
      <w:bookmarkStart w:id="3" w:name="_Toc30211"/>
      <w:bookmarkStart w:id="4" w:name="_Toc11641051"/>
      <w:bookmarkStart w:id="5" w:name="_Toc25725119"/>
      <w:r>
        <w:rPr>
          <w:rFonts w:hint="eastAsia"/>
          <w:sz w:val="30"/>
          <w:highlight w:val="none"/>
        </w:rPr>
        <w:t>询价内容：</w:t>
      </w:r>
      <w:bookmarkEnd w:id="2"/>
      <w:bookmarkEnd w:id="3"/>
    </w:p>
    <w:p w14:paraId="099F0FE7">
      <w:pPr>
        <w:widowControl w:val="0"/>
        <w:spacing w:line="240" w:lineRule="auto"/>
        <w:ind w:firstLine="480" w:firstLineChars="200"/>
        <w:jc w:val="both"/>
        <w:rPr>
          <w:rFonts w:hint="eastAsia"/>
          <w:highlight w:val="none"/>
          <w:lang w:val="en-US" w:eastAsia="zh-CN"/>
        </w:rPr>
      </w:pPr>
      <w:r>
        <w:rPr>
          <w:rFonts w:hint="eastAsia"/>
          <w:highlight w:val="none"/>
          <w:lang w:val="en-US" w:eastAsia="zh-CN"/>
        </w:rPr>
        <w:t>信科公司信息事业部、安防事业部、机电事业部三个业务部门所辖的372间武汉机场弱电机房进行年度供配电设备设施排查及保养。主要包括配电箱，UPS列头柜，机房空调供配电线路、配电箱等，具体如下：</w:t>
      </w:r>
    </w:p>
    <w:tbl>
      <w:tblPr>
        <w:tblStyle w:val="36"/>
        <w:tblW w:w="8020" w:type="dxa"/>
        <w:tblInd w:w="113" w:type="dxa"/>
        <w:tblLayout w:type="autofit"/>
        <w:tblCellMar>
          <w:top w:w="0" w:type="dxa"/>
          <w:left w:w="108" w:type="dxa"/>
          <w:bottom w:w="0" w:type="dxa"/>
          <w:right w:w="108" w:type="dxa"/>
        </w:tblCellMar>
      </w:tblPr>
      <w:tblGrid>
        <w:gridCol w:w="723"/>
        <w:gridCol w:w="706"/>
        <w:gridCol w:w="2404"/>
        <w:gridCol w:w="2585"/>
        <w:gridCol w:w="801"/>
        <w:gridCol w:w="801"/>
      </w:tblGrid>
      <w:tr w14:paraId="4EEDD27F">
        <w:tblPrEx>
          <w:tblCellMar>
            <w:top w:w="0" w:type="dxa"/>
            <w:left w:w="108" w:type="dxa"/>
            <w:bottom w:w="0" w:type="dxa"/>
            <w:right w:w="108" w:type="dxa"/>
          </w:tblCellMar>
        </w:tblPrEx>
        <w:trPr>
          <w:trHeight w:val="30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3658CA2D">
            <w:pPr>
              <w:jc w:val="center"/>
              <w:rPr>
                <w:rFonts w:hint="eastAsia"/>
                <w:color w:val="000000"/>
              </w:rPr>
            </w:pPr>
            <w:r>
              <w:rPr>
                <w:rFonts w:hint="eastAsia"/>
                <w:color w:val="000000"/>
              </w:rPr>
              <w:t>序号</w:t>
            </w:r>
          </w:p>
        </w:tc>
        <w:tc>
          <w:tcPr>
            <w:tcW w:w="706" w:type="dxa"/>
            <w:tcBorders>
              <w:top w:val="single" w:color="auto" w:sz="4" w:space="0"/>
              <w:left w:val="nil"/>
              <w:bottom w:val="single" w:color="auto" w:sz="4" w:space="0"/>
              <w:right w:val="single" w:color="auto" w:sz="4" w:space="0"/>
            </w:tcBorders>
            <w:noWrap w:val="0"/>
            <w:vAlign w:val="center"/>
          </w:tcPr>
          <w:p w14:paraId="2374F17E">
            <w:pPr>
              <w:jc w:val="center"/>
              <w:rPr>
                <w:rFonts w:hint="eastAsia"/>
                <w:color w:val="000000"/>
              </w:rPr>
            </w:pPr>
            <w:r>
              <w:rPr>
                <w:rFonts w:hint="eastAsia"/>
                <w:color w:val="000000"/>
              </w:rPr>
              <w:t>区域</w:t>
            </w:r>
          </w:p>
        </w:tc>
        <w:tc>
          <w:tcPr>
            <w:tcW w:w="2404" w:type="dxa"/>
            <w:tcBorders>
              <w:top w:val="single" w:color="auto" w:sz="4" w:space="0"/>
              <w:left w:val="nil"/>
              <w:bottom w:val="single" w:color="auto" w:sz="4" w:space="0"/>
              <w:right w:val="single" w:color="auto" w:sz="4" w:space="0"/>
            </w:tcBorders>
            <w:noWrap w:val="0"/>
            <w:vAlign w:val="center"/>
          </w:tcPr>
          <w:p w14:paraId="7BDFE369">
            <w:pPr>
              <w:jc w:val="center"/>
              <w:rPr>
                <w:rFonts w:hint="default" w:eastAsia="宋体"/>
                <w:color w:val="000000"/>
                <w:lang w:val="en-US" w:eastAsia="zh-CN"/>
              </w:rPr>
            </w:pPr>
            <w:r>
              <w:rPr>
                <w:rFonts w:hint="eastAsia"/>
                <w:color w:val="000000"/>
                <w:lang w:val="en-US" w:eastAsia="zh-CN"/>
              </w:rPr>
              <w:t>项目名称</w:t>
            </w:r>
          </w:p>
        </w:tc>
        <w:tc>
          <w:tcPr>
            <w:tcW w:w="2585" w:type="dxa"/>
            <w:tcBorders>
              <w:top w:val="single" w:color="auto" w:sz="4" w:space="0"/>
              <w:left w:val="nil"/>
              <w:bottom w:val="single" w:color="auto" w:sz="4" w:space="0"/>
              <w:right w:val="single" w:color="auto" w:sz="4" w:space="0"/>
            </w:tcBorders>
            <w:noWrap w:val="0"/>
            <w:vAlign w:val="center"/>
          </w:tcPr>
          <w:p w14:paraId="40ABF823">
            <w:pPr>
              <w:jc w:val="center"/>
              <w:rPr>
                <w:rFonts w:hint="eastAsia"/>
                <w:color w:val="000000"/>
              </w:rPr>
            </w:pPr>
            <w:r>
              <w:rPr>
                <w:rFonts w:hint="eastAsia"/>
                <w:color w:val="000000"/>
              </w:rPr>
              <w:t>服务内容</w:t>
            </w:r>
          </w:p>
        </w:tc>
        <w:tc>
          <w:tcPr>
            <w:tcW w:w="801" w:type="dxa"/>
            <w:tcBorders>
              <w:top w:val="single" w:color="auto" w:sz="4" w:space="0"/>
              <w:left w:val="nil"/>
              <w:bottom w:val="single" w:color="auto" w:sz="4" w:space="0"/>
              <w:right w:val="single" w:color="auto" w:sz="4" w:space="0"/>
            </w:tcBorders>
            <w:noWrap w:val="0"/>
            <w:vAlign w:val="center"/>
          </w:tcPr>
          <w:p w14:paraId="1A1EC620">
            <w:pPr>
              <w:jc w:val="center"/>
              <w:rPr>
                <w:rFonts w:hint="eastAsia"/>
                <w:color w:val="000000"/>
              </w:rPr>
            </w:pPr>
            <w:r>
              <w:rPr>
                <w:rFonts w:hint="eastAsia"/>
                <w:color w:val="000000"/>
              </w:rPr>
              <w:t>数量</w:t>
            </w:r>
          </w:p>
        </w:tc>
        <w:tc>
          <w:tcPr>
            <w:tcW w:w="801" w:type="dxa"/>
            <w:tcBorders>
              <w:top w:val="single" w:color="auto" w:sz="4" w:space="0"/>
              <w:left w:val="nil"/>
              <w:bottom w:val="single" w:color="auto" w:sz="4" w:space="0"/>
              <w:right w:val="single" w:color="auto" w:sz="4" w:space="0"/>
            </w:tcBorders>
            <w:noWrap w:val="0"/>
            <w:vAlign w:val="center"/>
          </w:tcPr>
          <w:p w14:paraId="1EEA0B6C">
            <w:pPr>
              <w:jc w:val="center"/>
              <w:rPr>
                <w:rFonts w:hint="eastAsia"/>
                <w:color w:val="000000"/>
              </w:rPr>
            </w:pPr>
            <w:r>
              <w:rPr>
                <w:rFonts w:hint="eastAsia"/>
                <w:color w:val="000000"/>
              </w:rPr>
              <w:t>单位</w:t>
            </w:r>
          </w:p>
        </w:tc>
      </w:tr>
      <w:tr w14:paraId="67A1B9B3">
        <w:tblPrEx>
          <w:tblCellMar>
            <w:top w:w="0" w:type="dxa"/>
            <w:left w:w="108" w:type="dxa"/>
            <w:bottom w:w="0" w:type="dxa"/>
            <w:right w:w="108" w:type="dxa"/>
          </w:tblCellMar>
        </w:tblPrEx>
        <w:trPr>
          <w:trHeight w:val="970" w:hRule="atLeast"/>
        </w:trPr>
        <w:tc>
          <w:tcPr>
            <w:tcW w:w="723" w:type="dxa"/>
            <w:tcBorders>
              <w:top w:val="nil"/>
              <w:left w:val="single" w:color="auto" w:sz="4" w:space="0"/>
              <w:bottom w:val="single" w:color="auto" w:sz="4" w:space="0"/>
              <w:right w:val="single" w:color="auto" w:sz="4" w:space="0"/>
            </w:tcBorders>
            <w:noWrap w:val="0"/>
            <w:vAlign w:val="center"/>
          </w:tcPr>
          <w:p w14:paraId="258A4DD2">
            <w:pPr>
              <w:jc w:val="center"/>
              <w:rPr>
                <w:rFonts w:hint="eastAsia"/>
                <w:color w:val="000000"/>
                <w:sz w:val="22"/>
                <w:szCs w:val="22"/>
              </w:rPr>
            </w:pPr>
            <w:r>
              <w:rPr>
                <w:rFonts w:hint="eastAsia"/>
                <w:color w:val="000000"/>
                <w:sz w:val="22"/>
                <w:szCs w:val="22"/>
              </w:rPr>
              <w:t>1</w:t>
            </w:r>
          </w:p>
        </w:tc>
        <w:tc>
          <w:tcPr>
            <w:tcW w:w="706" w:type="dxa"/>
            <w:vMerge w:val="restart"/>
            <w:tcBorders>
              <w:top w:val="nil"/>
              <w:left w:val="single" w:color="auto" w:sz="4" w:space="0"/>
              <w:bottom w:val="single" w:color="000000" w:sz="4" w:space="0"/>
              <w:right w:val="single" w:color="auto" w:sz="4" w:space="0"/>
            </w:tcBorders>
            <w:noWrap w:val="0"/>
            <w:vAlign w:val="center"/>
          </w:tcPr>
          <w:p w14:paraId="1AA92E86">
            <w:pPr>
              <w:jc w:val="center"/>
              <w:rPr>
                <w:rFonts w:hint="eastAsia"/>
                <w:color w:val="000000"/>
                <w:sz w:val="22"/>
                <w:szCs w:val="22"/>
              </w:rPr>
            </w:pPr>
            <w:r>
              <w:rPr>
                <w:rFonts w:hint="eastAsia"/>
                <w:color w:val="000000"/>
                <w:sz w:val="22"/>
                <w:szCs w:val="22"/>
                <w:lang w:val="en-US" w:eastAsia="zh-CN"/>
              </w:rPr>
              <w:t>372</w:t>
            </w:r>
            <w:r>
              <w:rPr>
                <w:rFonts w:hint="eastAsia"/>
                <w:color w:val="000000"/>
                <w:sz w:val="22"/>
                <w:szCs w:val="22"/>
              </w:rPr>
              <w:t>间弱电机房</w:t>
            </w:r>
          </w:p>
        </w:tc>
        <w:tc>
          <w:tcPr>
            <w:tcW w:w="2404" w:type="dxa"/>
            <w:tcBorders>
              <w:top w:val="nil"/>
              <w:left w:val="nil"/>
              <w:bottom w:val="single" w:color="auto" w:sz="4" w:space="0"/>
              <w:right w:val="single" w:color="auto" w:sz="4" w:space="0"/>
            </w:tcBorders>
            <w:noWrap w:val="0"/>
            <w:vAlign w:val="center"/>
          </w:tcPr>
          <w:p w14:paraId="6D6D0D1D">
            <w:pPr>
              <w:jc w:val="center"/>
              <w:rPr>
                <w:rFonts w:hint="eastAsia"/>
                <w:color w:val="000000"/>
              </w:rPr>
            </w:pPr>
            <w:r>
              <w:rPr>
                <w:rFonts w:hint="eastAsia"/>
                <w:color w:val="000000"/>
              </w:rPr>
              <w:t>低压配电柜检查及保养</w:t>
            </w:r>
          </w:p>
        </w:tc>
        <w:tc>
          <w:tcPr>
            <w:tcW w:w="2585" w:type="dxa"/>
            <w:tcBorders>
              <w:top w:val="nil"/>
              <w:left w:val="nil"/>
              <w:bottom w:val="single" w:color="auto" w:sz="4" w:space="0"/>
              <w:right w:val="single" w:color="auto" w:sz="4" w:space="0"/>
            </w:tcBorders>
            <w:noWrap w:val="0"/>
            <w:vAlign w:val="center"/>
          </w:tcPr>
          <w:p w14:paraId="1B9634D3">
            <w:pPr>
              <w:rPr>
                <w:rFonts w:hint="eastAsia"/>
                <w:color w:val="000000"/>
              </w:rPr>
            </w:pPr>
            <w:r>
              <w:rPr>
                <w:rFonts w:hint="eastAsia"/>
                <w:color w:val="000000"/>
              </w:rPr>
              <w:t>柜内设施的可用性检查及保养（详见技术要求）</w:t>
            </w:r>
          </w:p>
        </w:tc>
        <w:tc>
          <w:tcPr>
            <w:tcW w:w="801" w:type="dxa"/>
            <w:tcBorders>
              <w:top w:val="nil"/>
              <w:left w:val="nil"/>
              <w:bottom w:val="single" w:color="auto" w:sz="4" w:space="0"/>
              <w:right w:val="single" w:color="auto" w:sz="4" w:space="0"/>
            </w:tcBorders>
            <w:noWrap w:val="0"/>
            <w:vAlign w:val="center"/>
          </w:tcPr>
          <w:p w14:paraId="1E5C274F">
            <w:pPr>
              <w:jc w:val="center"/>
              <w:rPr>
                <w:rFonts w:hint="default" w:eastAsia="宋体"/>
                <w:color w:val="000000"/>
                <w:lang w:val="en-US" w:eastAsia="zh-CN"/>
              </w:rPr>
            </w:pPr>
            <w:r>
              <w:rPr>
                <w:rFonts w:hint="eastAsia"/>
                <w:color w:val="000000"/>
                <w:lang w:val="en-US" w:eastAsia="zh-CN"/>
              </w:rPr>
              <w:t>576</w:t>
            </w:r>
          </w:p>
        </w:tc>
        <w:tc>
          <w:tcPr>
            <w:tcW w:w="801" w:type="dxa"/>
            <w:tcBorders>
              <w:top w:val="nil"/>
              <w:left w:val="nil"/>
              <w:bottom w:val="single" w:color="auto" w:sz="4" w:space="0"/>
              <w:right w:val="single" w:color="auto" w:sz="4" w:space="0"/>
            </w:tcBorders>
            <w:noWrap w:val="0"/>
            <w:vAlign w:val="center"/>
          </w:tcPr>
          <w:p w14:paraId="3B662BFC">
            <w:pPr>
              <w:jc w:val="center"/>
              <w:rPr>
                <w:rFonts w:hint="eastAsia"/>
                <w:color w:val="000000"/>
              </w:rPr>
            </w:pPr>
            <w:r>
              <w:rPr>
                <w:rFonts w:hint="eastAsia"/>
                <w:color w:val="000000"/>
              </w:rPr>
              <w:t>个</w:t>
            </w:r>
          </w:p>
        </w:tc>
      </w:tr>
      <w:tr w14:paraId="69CBE347">
        <w:tblPrEx>
          <w:tblCellMar>
            <w:top w:w="0" w:type="dxa"/>
            <w:left w:w="108" w:type="dxa"/>
            <w:bottom w:w="0" w:type="dxa"/>
            <w:right w:w="108" w:type="dxa"/>
          </w:tblCellMar>
        </w:tblPrEx>
        <w:trPr>
          <w:trHeight w:val="970" w:hRule="atLeast"/>
        </w:trPr>
        <w:tc>
          <w:tcPr>
            <w:tcW w:w="723" w:type="dxa"/>
            <w:tcBorders>
              <w:top w:val="nil"/>
              <w:left w:val="single" w:color="auto" w:sz="4" w:space="0"/>
              <w:bottom w:val="single" w:color="auto" w:sz="4" w:space="0"/>
              <w:right w:val="single" w:color="auto" w:sz="4" w:space="0"/>
            </w:tcBorders>
            <w:noWrap w:val="0"/>
            <w:vAlign w:val="center"/>
          </w:tcPr>
          <w:p w14:paraId="49A88456">
            <w:pPr>
              <w:jc w:val="center"/>
              <w:rPr>
                <w:rFonts w:hint="eastAsia"/>
                <w:color w:val="000000"/>
                <w:sz w:val="22"/>
                <w:szCs w:val="22"/>
              </w:rPr>
            </w:pPr>
            <w:r>
              <w:rPr>
                <w:rFonts w:hint="eastAsia"/>
                <w:color w:val="000000"/>
                <w:sz w:val="22"/>
                <w:szCs w:val="22"/>
              </w:rPr>
              <w:t>2</w:t>
            </w:r>
          </w:p>
        </w:tc>
        <w:tc>
          <w:tcPr>
            <w:tcW w:w="706" w:type="dxa"/>
            <w:vMerge w:val="continue"/>
            <w:tcBorders>
              <w:top w:val="nil"/>
              <w:left w:val="single" w:color="auto" w:sz="4" w:space="0"/>
              <w:bottom w:val="single" w:color="000000" w:sz="4" w:space="0"/>
              <w:right w:val="single" w:color="auto" w:sz="4" w:space="0"/>
            </w:tcBorders>
            <w:noWrap w:val="0"/>
            <w:vAlign w:val="center"/>
          </w:tcPr>
          <w:p w14:paraId="7C74B703">
            <w:pPr>
              <w:rPr>
                <w:rFonts w:hint="eastAsia"/>
                <w:color w:val="000000"/>
                <w:sz w:val="22"/>
                <w:szCs w:val="22"/>
              </w:rPr>
            </w:pPr>
          </w:p>
        </w:tc>
        <w:tc>
          <w:tcPr>
            <w:tcW w:w="2404" w:type="dxa"/>
            <w:tcBorders>
              <w:top w:val="nil"/>
              <w:left w:val="nil"/>
              <w:bottom w:val="single" w:color="auto" w:sz="4" w:space="0"/>
              <w:right w:val="single" w:color="auto" w:sz="4" w:space="0"/>
            </w:tcBorders>
            <w:noWrap w:val="0"/>
            <w:vAlign w:val="center"/>
          </w:tcPr>
          <w:p w14:paraId="0A3CBFC4">
            <w:pPr>
              <w:jc w:val="center"/>
              <w:rPr>
                <w:rFonts w:hint="eastAsia"/>
                <w:color w:val="000000"/>
              </w:rPr>
            </w:pPr>
            <w:r>
              <w:rPr>
                <w:rFonts w:hint="eastAsia"/>
                <w:color w:val="000000"/>
              </w:rPr>
              <w:t>UPS列头柜检查及保养</w:t>
            </w:r>
          </w:p>
        </w:tc>
        <w:tc>
          <w:tcPr>
            <w:tcW w:w="2585" w:type="dxa"/>
            <w:tcBorders>
              <w:top w:val="nil"/>
              <w:left w:val="nil"/>
              <w:bottom w:val="single" w:color="auto" w:sz="4" w:space="0"/>
              <w:right w:val="single" w:color="auto" w:sz="4" w:space="0"/>
            </w:tcBorders>
            <w:noWrap w:val="0"/>
            <w:vAlign w:val="center"/>
          </w:tcPr>
          <w:p w14:paraId="7512D97C">
            <w:pPr>
              <w:rPr>
                <w:rFonts w:hint="eastAsia"/>
                <w:color w:val="000000"/>
              </w:rPr>
            </w:pPr>
            <w:r>
              <w:rPr>
                <w:rFonts w:hint="eastAsia"/>
                <w:color w:val="000000"/>
              </w:rPr>
              <w:t>柜内设施的可用性检查及保养（详见技术要求）</w:t>
            </w:r>
          </w:p>
        </w:tc>
        <w:tc>
          <w:tcPr>
            <w:tcW w:w="801" w:type="dxa"/>
            <w:tcBorders>
              <w:top w:val="nil"/>
              <w:left w:val="nil"/>
              <w:bottom w:val="single" w:color="auto" w:sz="4" w:space="0"/>
              <w:right w:val="single" w:color="auto" w:sz="4" w:space="0"/>
            </w:tcBorders>
            <w:noWrap w:val="0"/>
            <w:vAlign w:val="center"/>
          </w:tcPr>
          <w:p w14:paraId="52D01A7B">
            <w:pPr>
              <w:jc w:val="center"/>
              <w:rPr>
                <w:rFonts w:hint="default" w:eastAsia="宋体"/>
                <w:color w:val="000000"/>
                <w:lang w:val="en-US" w:eastAsia="zh-CN"/>
              </w:rPr>
            </w:pPr>
            <w:r>
              <w:rPr>
                <w:rFonts w:hint="eastAsia"/>
                <w:color w:val="000000"/>
                <w:lang w:val="en-US" w:eastAsia="zh-CN"/>
              </w:rPr>
              <w:t>222</w:t>
            </w:r>
          </w:p>
        </w:tc>
        <w:tc>
          <w:tcPr>
            <w:tcW w:w="801" w:type="dxa"/>
            <w:tcBorders>
              <w:top w:val="nil"/>
              <w:left w:val="nil"/>
              <w:bottom w:val="single" w:color="auto" w:sz="4" w:space="0"/>
              <w:right w:val="single" w:color="auto" w:sz="4" w:space="0"/>
            </w:tcBorders>
            <w:noWrap w:val="0"/>
            <w:vAlign w:val="center"/>
          </w:tcPr>
          <w:p w14:paraId="2ACCDC23">
            <w:pPr>
              <w:jc w:val="center"/>
              <w:rPr>
                <w:rFonts w:hint="eastAsia"/>
                <w:color w:val="000000"/>
              </w:rPr>
            </w:pPr>
            <w:r>
              <w:rPr>
                <w:rFonts w:hint="eastAsia"/>
                <w:color w:val="000000"/>
              </w:rPr>
              <w:t>个</w:t>
            </w:r>
          </w:p>
        </w:tc>
      </w:tr>
      <w:tr w14:paraId="7AAEB048">
        <w:tblPrEx>
          <w:tblCellMar>
            <w:top w:w="0" w:type="dxa"/>
            <w:left w:w="108" w:type="dxa"/>
            <w:bottom w:w="0" w:type="dxa"/>
            <w:right w:w="108" w:type="dxa"/>
          </w:tblCellMar>
        </w:tblPrEx>
        <w:trPr>
          <w:trHeight w:val="970" w:hRule="atLeast"/>
        </w:trPr>
        <w:tc>
          <w:tcPr>
            <w:tcW w:w="723" w:type="dxa"/>
            <w:tcBorders>
              <w:top w:val="nil"/>
              <w:left w:val="single" w:color="auto" w:sz="4" w:space="0"/>
              <w:bottom w:val="single" w:color="auto" w:sz="4" w:space="0"/>
              <w:right w:val="single" w:color="auto" w:sz="4" w:space="0"/>
            </w:tcBorders>
            <w:noWrap w:val="0"/>
            <w:vAlign w:val="center"/>
          </w:tcPr>
          <w:p w14:paraId="657B432E">
            <w:pPr>
              <w:jc w:val="center"/>
              <w:rPr>
                <w:rFonts w:hint="eastAsia"/>
                <w:color w:val="000000"/>
                <w:sz w:val="22"/>
                <w:szCs w:val="22"/>
              </w:rPr>
            </w:pPr>
            <w:r>
              <w:rPr>
                <w:rFonts w:hint="eastAsia"/>
                <w:color w:val="000000"/>
                <w:sz w:val="22"/>
                <w:szCs w:val="22"/>
              </w:rPr>
              <w:t>3</w:t>
            </w:r>
          </w:p>
        </w:tc>
        <w:tc>
          <w:tcPr>
            <w:tcW w:w="706" w:type="dxa"/>
            <w:vMerge w:val="continue"/>
            <w:tcBorders>
              <w:top w:val="nil"/>
              <w:left w:val="single" w:color="auto" w:sz="4" w:space="0"/>
              <w:bottom w:val="single" w:color="auto" w:sz="4" w:space="0"/>
              <w:right w:val="single" w:color="auto" w:sz="4" w:space="0"/>
            </w:tcBorders>
            <w:noWrap w:val="0"/>
            <w:vAlign w:val="center"/>
          </w:tcPr>
          <w:p w14:paraId="67CD9A9D">
            <w:pPr>
              <w:rPr>
                <w:rFonts w:hint="eastAsia"/>
                <w:color w:val="000000"/>
                <w:sz w:val="22"/>
                <w:szCs w:val="22"/>
              </w:rPr>
            </w:pPr>
          </w:p>
        </w:tc>
        <w:tc>
          <w:tcPr>
            <w:tcW w:w="2404" w:type="dxa"/>
            <w:tcBorders>
              <w:top w:val="nil"/>
              <w:left w:val="nil"/>
              <w:bottom w:val="single" w:color="auto" w:sz="4" w:space="0"/>
              <w:right w:val="single" w:color="auto" w:sz="4" w:space="0"/>
            </w:tcBorders>
            <w:noWrap w:val="0"/>
            <w:vAlign w:val="center"/>
          </w:tcPr>
          <w:p w14:paraId="0E68C2AE">
            <w:pPr>
              <w:jc w:val="center"/>
              <w:rPr>
                <w:rFonts w:hint="eastAsia"/>
                <w:color w:val="000000"/>
              </w:rPr>
            </w:pPr>
            <w:r>
              <w:rPr>
                <w:rFonts w:hint="eastAsia"/>
                <w:color w:val="000000"/>
              </w:rPr>
              <w:t>空调供配电排查</w:t>
            </w:r>
          </w:p>
        </w:tc>
        <w:tc>
          <w:tcPr>
            <w:tcW w:w="2585" w:type="dxa"/>
            <w:tcBorders>
              <w:top w:val="nil"/>
              <w:left w:val="nil"/>
              <w:bottom w:val="single" w:color="auto" w:sz="4" w:space="0"/>
              <w:right w:val="single" w:color="auto" w:sz="4" w:space="0"/>
            </w:tcBorders>
            <w:noWrap w:val="0"/>
            <w:vAlign w:val="center"/>
          </w:tcPr>
          <w:p w14:paraId="18D7C6CC">
            <w:pPr>
              <w:rPr>
                <w:rFonts w:hint="eastAsia"/>
                <w:color w:val="000000"/>
              </w:rPr>
            </w:pPr>
            <w:r>
              <w:rPr>
                <w:rFonts w:hint="eastAsia"/>
                <w:color w:val="000000"/>
              </w:rPr>
              <w:t>设备内设施的可用性检查及保养（详见技术要求）</w:t>
            </w:r>
          </w:p>
        </w:tc>
        <w:tc>
          <w:tcPr>
            <w:tcW w:w="801" w:type="dxa"/>
            <w:tcBorders>
              <w:top w:val="nil"/>
              <w:left w:val="nil"/>
              <w:bottom w:val="single" w:color="auto" w:sz="4" w:space="0"/>
              <w:right w:val="single" w:color="auto" w:sz="4" w:space="0"/>
            </w:tcBorders>
            <w:noWrap w:val="0"/>
            <w:vAlign w:val="center"/>
          </w:tcPr>
          <w:p w14:paraId="51AE6AE4">
            <w:pPr>
              <w:jc w:val="center"/>
              <w:rPr>
                <w:rFonts w:hint="default" w:eastAsia="宋体"/>
                <w:color w:val="000000"/>
                <w:lang w:val="en-US" w:eastAsia="zh-CN"/>
              </w:rPr>
            </w:pPr>
            <w:r>
              <w:rPr>
                <w:rFonts w:hint="eastAsia"/>
                <w:color w:val="000000"/>
                <w:lang w:val="en-US" w:eastAsia="zh-CN"/>
              </w:rPr>
              <w:t>439</w:t>
            </w:r>
          </w:p>
        </w:tc>
        <w:tc>
          <w:tcPr>
            <w:tcW w:w="801" w:type="dxa"/>
            <w:tcBorders>
              <w:top w:val="nil"/>
              <w:left w:val="nil"/>
              <w:bottom w:val="single" w:color="auto" w:sz="4" w:space="0"/>
              <w:right w:val="single" w:color="auto" w:sz="4" w:space="0"/>
            </w:tcBorders>
            <w:noWrap w:val="0"/>
            <w:vAlign w:val="center"/>
          </w:tcPr>
          <w:p w14:paraId="26612A31">
            <w:pPr>
              <w:jc w:val="center"/>
              <w:rPr>
                <w:rFonts w:hint="eastAsia"/>
                <w:color w:val="000000"/>
              </w:rPr>
            </w:pPr>
            <w:r>
              <w:rPr>
                <w:rFonts w:hint="eastAsia"/>
                <w:color w:val="000000"/>
              </w:rPr>
              <w:t>个</w:t>
            </w:r>
          </w:p>
        </w:tc>
      </w:tr>
      <w:tr w14:paraId="3A074643">
        <w:tblPrEx>
          <w:tblCellMar>
            <w:top w:w="0" w:type="dxa"/>
            <w:left w:w="108" w:type="dxa"/>
            <w:bottom w:w="0" w:type="dxa"/>
            <w:right w:w="108" w:type="dxa"/>
          </w:tblCellMar>
        </w:tblPrEx>
        <w:trPr>
          <w:trHeight w:val="572" w:hRule="atLeast"/>
        </w:trPr>
        <w:tc>
          <w:tcPr>
            <w:tcW w:w="6418" w:type="dxa"/>
            <w:gridSpan w:val="4"/>
            <w:tcBorders>
              <w:top w:val="nil"/>
              <w:left w:val="single" w:color="auto" w:sz="4" w:space="0"/>
              <w:bottom w:val="single" w:color="auto" w:sz="4" w:space="0"/>
              <w:right w:val="single" w:color="auto" w:sz="4" w:space="0"/>
            </w:tcBorders>
            <w:noWrap w:val="0"/>
            <w:vAlign w:val="center"/>
          </w:tcPr>
          <w:p w14:paraId="07482CCB">
            <w:pPr>
              <w:jc w:val="center"/>
              <w:rPr>
                <w:rFonts w:hint="eastAsia"/>
                <w:color w:val="000000"/>
              </w:rPr>
            </w:pPr>
            <w:r>
              <w:rPr>
                <w:rFonts w:hint="eastAsia"/>
                <w:color w:val="000000"/>
                <w:sz w:val="22"/>
                <w:szCs w:val="22"/>
              </w:rPr>
              <w:t>合计</w:t>
            </w:r>
          </w:p>
        </w:tc>
        <w:tc>
          <w:tcPr>
            <w:tcW w:w="801" w:type="dxa"/>
            <w:tcBorders>
              <w:top w:val="nil"/>
              <w:left w:val="nil"/>
              <w:bottom w:val="single" w:color="auto" w:sz="4" w:space="0"/>
              <w:right w:val="single" w:color="auto" w:sz="4" w:space="0"/>
            </w:tcBorders>
            <w:noWrap w:val="0"/>
            <w:vAlign w:val="center"/>
          </w:tcPr>
          <w:p w14:paraId="4819D064">
            <w:pPr>
              <w:jc w:val="center"/>
              <w:rPr>
                <w:rFonts w:hint="default" w:eastAsia="宋体"/>
                <w:color w:val="000000"/>
                <w:lang w:val="en-US" w:eastAsia="zh-CN"/>
              </w:rPr>
            </w:pPr>
            <w:r>
              <w:rPr>
                <w:rFonts w:hint="eastAsia"/>
                <w:color w:val="000000"/>
                <w:lang w:val="en-US" w:eastAsia="zh-CN"/>
              </w:rPr>
              <w:t>1237</w:t>
            </w:r>
          </w:p>
        </w:tc>
        <w:tc>
          <w:tcPr>
            <w:tcW w:w="801" w:type="dxa"/>
            <w:tcBorders>
              <w:top w:val="nil"/>
              <w:left w:val="nil"/>
              <w:bottom w:val="single" w:color="auto" w:sz="4" w:space="0"/>
              <w:right w:val="single" w:color="auto" w:sz="4" w:space="0"/>
            </w:tcBorders>
            <w:noWrap w:val="0"/>
            <w:vAlign w:val="center"/>
          </w:tcPr>
          <w:p w14:paraId="7EE8434A">
            <w:pPr>
              <w:jc w:val="center"/>
              <w:rPr>
                <w:rFonts w:hint="eastAsia"/>
                <w:color w:val="000000"/>
              </w:rPr>
            </w:pPr>
            <w:r>
              <w:rPr>
                <w:rFonts w:hint="eastAsia"/>
                <w:color w:val="000000"/>
              </w:rPr>
              <w:t>个</w:t>
            </w:r>
          </w:p>
        </w:tc>
      </w:tr>
    </w:tbl>
    <w:p w14:paraId="1D9FD30D">
      <w:pPr>
        <w:pStyle w:val="11"/>
        <w:rPr>
          <w:rFonts w:hint="eastAsia"/>
          <w:lang w:eastAsia="zh-CN"/>
        </w:rPr>
      </w:pPr>
    </w:p>
    <w:p w14:paraId="74CF8020">
      <w:pPr>
        <w:spacing w:line="360" w:lineRule="auto"/>
        <w:ind w:firstLine="480" w:firstLineChars="200"/>
        <w:rPr>
          <w:highlight w:val="none"/>
        </w:rPr>
      </w:pPr>
      <w:r>
        <w:rPr>
          <w:rFonts w:hint="eastAsia"/>
        </w:rPr>
        <w:t>采购预算：</w:t>
      </w:r>
      <w:r>
        <w:rPr>
          <w:rFonts w:hint="eastAsia"/>
          <w:highlight w:val="yellow"/>
          <w:u w:val="single"/>
        </w:rPr>
        <w:t>人民币柒万柒仟捌佰壹拾元整（</w:t>
      </w:r>
      <w:r>
        <w:rPr>
          <w:rFonts w:hint="default" w:ascii="Arial" w:hAnsi="Arial" w:cs="Arial"/>
          <w:highlight w:val="yellow"/>
          <w:u w:val="single"/>
        </w:rPr>
        <w:t>¥</w:t>
      </w:r>
      <w:r>
        <w:rPr>
          <w:rFonts w:hint="eastAsia"/>
          <w:highlight w:val="yellow"/>
          <w:u w:val="single"/>
        </w:rPr>
        <w:t>77810.00）</w:t>
      </w:r>
      <w:r>
        <w:rPr>
          <w:rFonts w:hint="eastAsia"/>
        </w:rPr>
        <w:t>，服务内容详见第二篇技术服务要求，项目对每种类型供配电设备设施单价进行报价，响应总报价超过采购预算金额的，其报价无效。总报价应包括完成项目所需的一切费用，包括但不限于检查、保养、应急维修、调试、出具报告、运输费、安装调试费、质保期售后服务费、税费、保险费等。</w:t>
      </w:r>
    </w:p>
    <w:p w14:paraId="64747AAD">
      <w:pPr>
        <w:pStyle w:val="4"/>
        <w:spacing w:line="360" w:lineRule="auto"/>
        <w:ind w:firstLine="527"/>
        <w:rPr>
          <w:rFonts w:hint="eastAsia"/>
          <w:sz w:val="30"/>
          <w:highlight w:val="none"/>
        </w:rPr>
      </w:pPr>
      <w:bookmarkStart w:id="6" w:name="_Toc9438"/>
      <w:bookmarkStart w:id="7" w:name="_Toc14158"/>
      <w:r>
        <w:rPr>
          <w:rFonts w:hint="eastAsia"/>
          <w:sz w:val="30"/>
          <w:highlight w:val="none"/>
        </w:rPr>
        <w:t>二、询价采购时间、地点</w:t>
      </w:r>
      <w:bookmarkEnd w:id="4"/>
      <w:bookmarkEnd w:id="5"/>
      <w:bookmarkEnd w:id="6"/>
      <w:bookmarkEnd w:id="7"/>
    </w:p>
    <w:p w14:paraId="09F9C8B9">
      <w:pPr>
        <w:tabs>
          <w:tab w:val="left" w:pos="378"/>
        </w:tabs>
        <w:snapToGrid w:val="0"/>
        <w:spacing w:line="360" w:lineRule="auto"/>
        <w:ind w:left="142"/>
        <w:rPr>
          <w:highlight w:val="none"/>
        </w:rPr>
      </w:pPr>
      <w:r>
        <w:rPr>
          <w:rFonts w:hint="eastAsia"/>
          <w:highlight w:val="none"/>
        </w:rPr>
        <w:t>1、询价采购文件获取</w:t>
      </w:r>
      <w:bookmarkStart w:id="8" w:name="_Hlk485112949"/>
    </w:p>
    <w:p w14:paraId="0D33B567">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5</w:t>
      </w:r>
      <w:r>
        <w:rPr>
          <w:rFonts w:hint="eastAsia"/>
          <w:highlight w:val="none"/>
        </w:rPr>
        <w:t xml:space="preserve"> 月 </w:t>
      </w:r>
      <w:r>
        <w:rPr>
          <w:rFonts w:hint="eastAsia"/>
          <w:highlight w:val="none"/>
          <w:lang w:val="en-US" w:eastAsia="zh-CN"/>
        </w:rPr>
        <w:t>25</w:t>
      </w:r>
      <w:r>
        <w:rPr>
          <w:rFonts w:hint="eastAsia"/>
          <w:highlight w:val="none"/>
        </w:rPr>
        <w:t xml:space="preserve"> 日至</w:t>
      </w:r>
      <w:r>
        <w:rPr>
          <w:rFonts w:hint="eastAsia"/>
          <w:highlight w:val="none"/>
          <w:lang w:eastAsia="zh-CN"/>
        </w:rPr>
        <w:t>202</w:t>
      </w:r>
      <w:r>
        <w:rPr>
          <w:rFonts w:hint="eastAsia"/>
          <w:highlight w:val="none"/>
          <w:lang w:val="en-US" w:eastAsia="zh-CN"/>
        </w:rPr>
        <w:t>6</w:t>
      </w:r>
      <w:r>
        <w:rPr>
          <w:rFonts w:hint="eastAsia"/>
          <w:highlight w:val="none"/>
        </w:rPr>
        <w:t>年</w:t>
      </w:r>
      <w:r>
        <w:rPr>
          <w:rFonts w:hint="eastAsia"/>
          <w:highlight w:val="none"/>
          <w:lang w:val="en-US" w:eastAsia="zh-CN"/>
        </w:rPr>
        <w:t>5</w:t>
      </w:r>
      <w:r>
        <w:rPr>
          <w:rFonts w:hint="eastAsia"/>
          <w:highlight w:val="none"/>
        </w:rPr>
        <w:t xml:space="preserve"> 月 </w:t>
      </w:r>
      <w:r>
        <w:rPr>
          <w:rFonts w:hint="eastAsia"/>
          <w:highlight w:val="none"/>
          <w:lang w:val="en-US" w:eastAsia="zh-CN"/>
        </w:rPr>
        <w:t xml:space="preserve">29 </w:t>
      </w:r>
      <w:r>
        <w:rPr>
          <w:rFonts w:hint="eastAsia"/>
          <w:highlight w:val="none"/>
        </w:rPr>
        <w:t>日（北京时间每天上午9:30～11:30、下午14:00～16:00，法定节假日除外）。</w:t>
      </w:r>
    </w:p>
    <w:p w14:paraId="4803A4AD">
      <w:pPr>
        <w:snapToGrid w:val="0"/>
        <w:spacing w:line="360" w:lineRule="auto"/>
        <w:ind w:firstLine="480" w:firstLineChars="200"/>
        <w:rPr>
          <w:rFonts w:hint="eastAsia"/>
          <w:highlight w:val="none"/>
        </w:rPr>
      </w:pPr>
      <w:r>
        <w:rPr>
          <w:rFonts w:hint="eastAsia"/>
          <w:highlight w:val="none"/>
        </w:rPr>
        <w:t>（2）地点：湖北机场集团公司综合楼C3</w:t>
      </w:r>
      <w:r>
        <w:rPr>
          <w:rFonts w:hint="eastAsia"/>
          <w:highlight w:val="none"/>
          <w:lang w:val="en-US" w:eastAsia="zh-CN"/>
        </w:rPr>
        <w:t>26</w:t>
      </w:r>
      <w:r>
        <w:rPr>
          <w:rFonts w:hint="eastAsia"/>
          <w:highlight w:val="none"/>
        </w:rPr>
        <w:t>。</w:t>
      </w:r>
    </w:p>
    <w:p w14:paraId="1B7785F6">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w:t>
      </w:r>
      <w:r>
        <w:rPr>
          <w:rFonts w:hint="eastAsia"/>
          <w:highlight w:val="none"/>
          <w:lang w:val="en-US" w:eastAsia="zh-CN"/>
        </w:rPr>
        <w:t>营业执照</w:t>
      </w:r>
      <w:r>
        <w:rPr>
          <w:rFonts w:hint="eastAsia"/>
          <w:highlight w:val="none"/>
        </w:rPr>
        <w:t>加盖公章的复印件领取；法定代表人委托他人领取的，凭法定代表人授权书及受托人二代身份证原件和</w:t>
      </w:r>
      <w:r>
        <w:rPr>
          <w:rFonts w:hint="eastAsia"/>
          <w:highlight w:val="none"/>
          <w:lang w:val="en-US" w:eastAsia="zh-CN"/>
        </w:rPr>
        <w:t>营业执照</w:t>
      </w:r>
      <w:r>
        <w:rPr>
          <w:rFonts w:hint="eastAsia"/>
          <w:highlight w:val="none"/>
        </w:rPr>
        <w:t>加盖公章的复印件领取；原件查看后当场退还，复印件留存，资料齐全的</w:t>
      </w:r>
      <w:r>
        <w:rPr>
          <w:rFonts w:hint="eastAsia"/>
          <w:highlight w:val="none"/>
          <w:lang w:val="en-US" w:eastAsia="zh-CN"/>
        </w:rPr>
        <w:t>提供</w:t>
      </w:r>
      <w:r>
        <w:rPr>
          <w:rFonts w:hint="eastAsia"/>
          <w:highlight w:val="none"/>
        </w:rPr>
        <w:t>询价文件。</w:t>
      </w:r>
    </w:p>
    <w:p w14:paraId="19C5957F">
      <w:pPr>
        <w:snapToGrid w:val="0"/>
        <w:spacing w:line="360" w:lineRule="auto"/>
        <w:ind w:left="142" w:leftChars="59"/>
        <w:rPr>
          <w:rFonts w:hint="eastAsia"/>
          <w:highlight w:val="none"/>
        </w:rPr>
      </w:pPr>
      <w:r>
        <w:rPr>
          <w:rFonts w:hint="eastAsia"/>
          <w:highlight w:val="none"/>
        </w:rPr>
        <w:t>2、投递报价文件地点：</w:t>
      </w:r>
    </w:p>
    <w:p w14:paraId="3CAF2A58">
      <w:pPr>
        <w:snapToGrid w:val="0"/>
        <w:spacing w:line="360" w:lineRule="auto"/>
        <w:ind w:firstLine="360" w:firstLineChars="150"/>
        <w:rPr>
          <w:rFonts w:hint="default" w:eastAsia="宋体"/>
          <w:highlight w:val="none"/>
          <w:lang w:val="en-US" w:eastAsia="zh-CN"/>
        </w:rPr>
      </w:pPr>
      <w:r>
        <w:rPr>
          <w:rFonts w:hint="eastAsia"/>
          <w:highlight w:val="none"/>
        </w:rPr>
        <w:t xml:space="preserve"> 湖北机场集团公司综合楼C3</w:t>
      </w:r>
      <w:r>
        <w:rPr>
          <w:rFonts w:hint="eastAsia"/>
          <w:highlight w:val="none"/>
          <w:lang w:val="en-US" w:eastAsia="zh-CN"/>
        </w:rPr>
        <w:t>26</w:t>
      </w:r>
    </w:p>
    <w:p w14:paraId="75299DEC">
      <w:pPr>
        <w:tabs>
          <w:tab w:val="left" w:pos="426"/>
          <w:tab w:val="left" w:pos="993"/>
        </w:tabs>
        <w:snapToGrid w:val="0"/>
        <w:spacing w:line="360" w:lineRule="auto"/>
        <w:ind w:left="142" w:leftChars="59"/>
        <w:rPr>
          <w:rFonts w:hint="eastAsia"/>
          <w:highlight w:val="none"/>
        </w:rPr>
      </w:pPr>
      <w:r>
        <w:rPr>
          <w:rFonts w:hint="eastAsia"/>
          <w:highlight w:val="none"/>
        </w:rPr>
        <w:t xml:space="preserve">3、投递报价文件截止时间： </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6</w:t>
      </w:r>
      <w:r>
        <w:rPr>
          <w:rFonts w:hint="eastAsia"/>
          <w:highlight w:val="none"/>
        </w:rPr>
        <w:t xml:space="preserve">月  </w:t>
      </w:r>
      <w:r>
        <w:rPr>
          <w:rFonts w:hint="eastAsia"/>
          <w:highlight w:val="none"/>
          <w:lang w:val="en-US" w:eastAsia="zh-CN"/>
        </w:rPr>
        <w:t>1</w:t>
      </w:r>
      <w:r>
        <w:rPr>
          <w:rFonts w:hint="eastAsia"/>
          <w:highlight w:val="none"/>
        </w:rPr>
        <w:t xml:space="preserve">日 </w:t>
      </w:r>
      <w:r>
        <w:rPr>
          <w:rFonts w:hint="eastAsia"/>
          <w:highlight w:val="none"/>
          <w:lang w:val="en-US" w:eastAsia="zh-CN"/>
        </w:rPr>
        <w:t>10</w:t>
      </w:r>
      <w:r>
        <w:rPr>
          <w:rFonts w:hint="eastAsia"/>
          <w:highlight w:val="none"/>
        </w:rPr>
        <w:t xml:space="preserve"> 时</w:t>
      </w:r>
    </w:p>
    <w:p w14:paraId="7CD5D3D5">
      <w:pPr>
        <w:tabs>
          <w:tab w:val="left" w:pos="993"/>
        </w:tabs>
        <w:snapToGrid w:val="0"/>
        <w:spacing w:line="360" w:lineRule="auto"/>
        <w:ind w:left="139" w:leftChars="58" w:firstLine="1"/>
        <w:rPr>
          <w:rFonts w:hint="eastAsia"/>
          <w:highlight w:val="none"/>
        </w:rPr>
      </w:pPr>
      <w:r>
        <w:rPr>
          <w:rFonts w:hint="eastAsia"/>
          <w:highlight w:val="none"/>
        </w:rPr>
        <w:t xml:space="preserve">4、询价采购评审时间： </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6</w:t>
      </w:r>
      <w:r>
        <w:rPr>
          <w:rFonts w:hint="eastAsia"/>
          <w:highlight w:val="none"/>
        </w:rPr>
        <w:t xml:space="preserve">月 </w:t>
      </w:r>
      <w:r>
        <w:rPr>
          <w:rFonts w:hint="eastAsia"/>
          <w:highlight w:val="none"/>
          <w:lang w:val="en-US" w:eastAsia="zh-CN"/>
        </w:rPr>
        <w:t>1</w:t>
      </w:r>
      <w:bookmarkStart w:id="25" w:name="_GoBack"/>
      <w:bookmarkEnd w:id="25"/>
      <w:r>
        <w:rPr>
          <w:rFonts w:hint="eastAsia"/>
          <w:highlight w:val="none"/>
        </w:rPr>
        <w:t xml:space="preserve"> 日（遇情况依次顺延）</w:t>
      </w:r>
    </w:p>
    <w:p w14:paraId="3144FC1A">
      <w:pPr>
        <w:tabs>
          <w:tab w:val="left" w:pos="378"/>
          <w:tab w:val="left" w:pos="993"/>
        </w:tabs>
        <w:snapToGrid w:val="0"/>
        <w:spacing w:line="360" w:lineRule="auto"/>
        <w:ind w:left="142" w:leftChars="59"/>
        <w:rPr>
          <w:rFonts w:hint="default" w:eastAsia="宋体"/>
          <w:highlight w:val="none"/>
          <w:lang w:val="en-US" w:eastAsia="zh-CN"/>
        </w:rPr>
      </w:pPr>
      <w:r>
        <w:rPr>
          <w:rFonts w:hint="eastAsia"/>
          <w:highlight w:val="none"/>
        </w:rPr>
        <w:t>5、联系方式：</w:t>
      </w:r>
      <w:r>
        <w:rPr>
          <w:rFonts w:hint="eastAsia"/>
          <w:highlight w:val="none"/>
          <w:lang w:val="en-US" w:eastAsia="zh-CN"/>
        </w:rPr>
        <w:t>027-85818211</w:t>
      </w:r>
    </w:p>
    <w:p w14:paraId="630C9F6E">
      <w:pPr>
        <w:snapToGrid w:val="0"/>
        <w:spacing w:line="360" w:lineRule="auto"/>
        <w:ind w:firstLine="480" w:firstLineChars="200"/>
        <w:rPr>
          <w:rFonts w:hint="default" w:eastAsia="宋体"/>
          <w:highlight w:val="none"/>
          <w:lang w:val="en-US" w:eastAsia="zh-CN"/>
        </w:rPr>
      </w:pPr>
      <w:r>
        <w:rPr>
          <w:rFonts w:hint="eastAsia"/>
          <w:highlight w:val="none"/>
        </w:rPr>
        <w:t>联系人：</w:t>
      </w:r>
      <w:r>
        <w:rPr>
          <w:rFonts w:hint="eastAsia" w:eastAsia="宋体"/>
          <w:highlight w:val="none"/>
          <w:lang w:val="en-US" w:eastAsia="zh-CN"/>
        </w:rPr>
        <w:t>韩硕、杨越</w:t>
      </w:r>
    </w:p>
    <w:p w14:paraId="0D219F19">
      <w:pPr>
        <w:pStyle w:val="4"/>
        <w:spacing w:line="360" w:lineRule="auto"/>
        <w:ind w:firstLine="527"/>
        <w:rPr>
          <w:rFonts w:hint="eastAsia"/>
          <w:sz w:val="30"/>
          <w:highlight w:val="none"/>
        </w:rPr>
      </w:pPr>
      <w:bookmarkStart w:id="9" w:name="_Toc29447"/>
      <w:bookmarkStart w:id="10" w:name="_Toc9845"/>
      <w:bookmarkStart w:id="11" w:name="_Toc25725120"/>
      <w:bookmarkStart w:id="12" w:name="_Toc11641053"/>
      <w:r>
        <w:rPr>
          <w:rFonts w:hint="eastAsia"/>
          <w:sz w:val="30"/>
          <w:highlight w:val="none"/>
        </w:rPr>
        <w:t>三、供应商资质要求：</w:t>
      </w:r>
      <w:bookmarkEnd w:id="9"/>
      <w:bookmarkEnd w:id="10"/>
    </w:p>
    <w:p w14:paraId="06AF8293">
      <w:pPr>
        <w:snapToGrid w:val="0"/>
        <w:spacing w:line="360" w:lineRule="auto"/>
        <w:ind w:firstLine="480" w:firstLineChars="200"/>
        <w:rPr>
          <w:rFonts w:hint="eastAsia"/>
          <w:szCs w:val="28"/>
          <w:highlight w:val="none"/>
        </w:rPr>
      </w:pPr>
      <w:r>
        <w:rPr>
          <w:rFonts w:hint="eastAsia"/>
          <w:szCs w:val="28"/>
          <w:highlight w:val="none"/>
        </w:rPr>
        <w:t>（1）</w:t>
      </w:r>
      <w:r>
        <w:rPr>
          <w:rFonts w:hint="eastAsia"/>
          <w:szCs w:val="28"/>
          <w:highlight w:val="none"/>
          <w:lang w:eastAsia="zh-CN"/>
        </w:rPr>
        <w:t>供应商</w:t>
      </w:r>
      <w:r>
        <w:rPr>
          <w:rFonts w:hint="eastAsia"/>
          <w:szCs w:val="28"/>
          <w:highlight w:val="none"/>
        </w:rPr>
        <w:t>应具有在中华人民共和国境内注册登记并取得有效营业执照。</w:t>
      </w:r>
    </w:p>
    <w:p w14:paraId="1A594535">
      <w:pPr>
        <w:snapToGrid w:val="0"/>
        <w:spacing w:line="360" w:lineRule="auto"/>
        <w:ind w:firstLine="480" w:firstLineChars="200"/>
        <w:rPr>
          <w:rFonts w:hint="eastAsia"/>
          <w:szCs w:val="28"/>
          <w:highlight w:val="none"/>
          <w:lang w:val="en-US" w:eastAsia="zh-CN"/>
        </w:rPr>
      </w:pPr>
      <w:r>
        <w:rPr>
          <w:rFonts w:hint="eastAsia"/>
          <w:szCs w:val="28"/>
          <w:highlight w:val="none"/>
          <w:lang w:eastAsia="zh-CN"/>
        </w:rPr>
        <w:t>（</w:t>
      </w:r>
      <w:r>
        <w:rPr>
          <w:rFonts w:hint="eastAsia"/>
          <w:szCs w:val="28"/>
          <w:highlight w:val="none"/>
          <w:lang w:val="en-US" w:eastAsia="zh-CN"/>
        </w:rPr>
        <w:t>2</w:t>
      </w:r>
      <w:r>
        <w:rPr>
          <w:rFonts w:hint="eastAsia"/>
          <w:szCs w:val="28"/>
          <w:highlight w:val="none"/>
          <w:lang w:eastAsia="zh-CN"/>
        </w:rPr>
        <w:t>）</w:t>
      </w:r>
      <w:r>
        <w:rPr>
          <w:rFonts w:hint="eastAsia"/>
          <w:szCs w:val="28"/>
          <w:highlight w:val="none"/>
          <w:lang w:val="en-US" w:eastAsia="zh-CN"/>
        </w:rPr>
        <w:t>供应商</w:t>
      </w:r>
      <w:r>
        <w:rPr>
          <w:rFonts w:hint="eastAsia"/>
          <w:szCs w:val="28"/>
          <w:highlight w:val="yellow"/>
          <w:lang w:val="en-US" w:eastAsia="zh-CN"/>
        </w:rPr>
        <w:t>须具有承装（修、试）电力设施许可证五级（含）以上资质，具有安全生产许可证资质证书</w:t>
      </w:r>
      <w:r>
        <w:rPr>
          <w:rFonts w:hint="eastAsia"/>
          <w:szCs w:val="28"/>
          <w:highlight w:val="none"/>
          <w:lang w:val="en-US" w:eastAsia="zh-CN"/>
        </w:rPr>
        <w:t>。</w:t>
      </w:r>
    </w:p>
    <w:p w14:paraId="325A7BAA">
      <w:pPr>
        <w:snapToGrid w:val="0"/>
        <w:spacing w:line="360" w:lineRule="auto"/>
        <w:ind w:firstLine="480" w:firstLineChars="200"/>
        <w:rPr>
          <w:rFonts w:hint="default"/>
          <w:lang w:val="en-US" w:eastAsia="zh-CN"/>
        </w:rPr>
      </w:pPr>
      <w:r>
        <w:rPr>
          <w:rFonts w:hint="eastAsia"/>
          <w:szCs w:val="28"/>
          <w:highlight w:val="none"/>
        </w:rPr>
        <w:t>（</w:t>
      </w:r>
      <w:r>
        <w:rPr>
          <w:rFonts w:hint="eastAsia"/>
          <w:szCs w:val="28"/>
          <w:highlight w:val="none"/>
          <w:lang w:val="en-US" w:eastAsia="zh-CN"/>
        </w:rPr>
        <w:t>3</w:t>
      </w:r>
      <w:r>
        <w:rPr>
          <w:rFonts w:hint="eastAsia"/>
          <w:szCs w:val="28"/>
          <w:highlight w:val="none"/>
        </w:rPr>
        <w:t>）</w:t>
      </w:r>
      <w:r>
        <w:rPr>
          <w:rFonts w:hint="eastAsia"/>
          <w:szCs w:val="28"/>
          <w:highlight w:val="none"/>
          <w:lang w:eastAsia="zh-CN"/>
        </w:rPr>
        <w:t>供应商近三年（202</w:t>
      </w:r>
      <w:r>
        <w:rPr>
          <w:rFonts w:hint="eastAsia"/>
          <w:szCs w:val="28"/>
          <w:highlight w:val="none"/>
          <w:lang w:val="en-US" w:eastAsia="zh-CN"/>
        </w:rPr>
        <w:t>3</w:t>
      </w:r>
      <w:r>
        <w:rPr>
          <w:rFonts w:hint="eastAsia"/>
          <w:szCs w:val="28"/>
          <w:highlight w:val="none"/>
          <w:lang w:eastAsia="zh-CN"/>
        </w:rPr>
        <w:t>年</w:t>
      </w:r>
      <w:r>
        <w:rPr>
          <w:rFonts w:hint="eastAsia"/>
          <w:szCs w:val="28"/>
          <w:highlight w:val="none"/>
          <w:lang w:val="en-US" w:eastAsia="zh-CN"/>
        </w:rPr>
        <w:t>5</w:t>
      </w:r>
      <w:r>
        <w:rPr>
          <w:rFonts w:hint="eastAsia"/>
          <w:szCs w:val="28"/>
          <w:highlight w:val="none"/>
          <w:lang w:eastAsia="zh-CN"/>
        </w:rPr>
        <w:t>月</w:t>
      </w:r>
      <w:r>
        <w:rPr>
          <w:rFonts w:hint="eastAsia"/>
          <w:szCs w:val="28"/>
          <w:highlight w:val="none"/>
          <w:lang w:val="en-US" w:eastAsia="zh-CN"/>
        </w:rPr>
        <w:t>**</w:t>
      </w:r>
      <w:r>
        <w:rPr>
          <w:rFonts w:hint="eastAsia"/>
          <w:szCs w:val="28"/>
          <w:highlight w:val="none"/>
          <w:lang w:eastAsia="zh-CN"/>
        </w:rPr>
        <w:t>日至今，以合同签订时间为准）应至少承担过1项单项合同金额</w:t>
      </w:r>
      <w:r>
        <w:rPr>
          <w:rFonts w:hint="eastAsia"/>
          <w:szCs w:val="28"/>
          <w:highlight w:val="yellow"/>
          <w:lang w:val="en-US" w:eastAsia="zh-CN"/>
        </w:rPr>
        <w:t>3</w:t>
      </w:r>
      <w:r>
        <w:rPr>
          <w:rFonts w:hint="eastAsia"/>
          <w:szCs w:val="28"/>
          <w:highlight w:val="yellow"/>
          <w:lang w:eastAsia="zh-CN"/>
        </w:rPr>
        <w:t>万元</w:t>
      </w:r>
      <w:r>
        <w:rPr>
          <w:rFonts w:hint="eastAsia"/>
          <w:szCs w:val="28"/>
          <w:highlight w:val="none"/>
          <w:lang w:eastAsia="zh-CN"/>
        </w:rPr>
        <w:t>及以上供配电设备设施排查及保养项目（提供合同首页、合同服务内容、合同金额、签章页等关键页复印件）</w:t>
      </w:r>
      <w:r>
        <w:rPr>
          <w:rFonts w:hint="eastAsia"/>
          <w:szCs w:val="28"/>
          <w:highlight w:val="none"/>
        </w:rPr>
        <w:t>。</w:t>
      </w:r>
    </w:p>
    <w:p w14:paraId="0D7478D4">
      <w:pPr>
        <w:snapToGrid w:val="0"/>
        <w:spacing w:line="360" w:lineRule="auto"/>
        <w:ind w:firstLine="480" w:firstLineChars="200"/>
        <w:rPr>
          <w:rFonts w:hint="eastAsia" w:eastAsia="宋体"/>
          <w:szCs w:val="28"/>
          <w:highlight w:val="none"/>
          <w:lang w:val="en-US" w:eastAsia="zh-CN"/>
        </w:rPr>
      </w:pPr>
      <w:r>
        <w:rPr>
          <w:rFonts w:hint="eastAsia"/>
          <w:szCs w:val="28"/>
          <w:highlight w:val="none"/>
        </w:rPr>
        <w:t>（</w:t>
      </w:r>
      <w:r>
        <w:rPr>
          <w:rFonts w:hint="eastAsia"/>
          <w:szCs w:val="28"/>
          <w:highlight w:val="none"/>
          <w:lang w:val="en-US" w:eastAsia="zh-CN"/>
        </w:rPr>
        <w:t>4</w:t>
      </w:r>
      <w:r>
        <w:rPr>
          <w:rFonts w:hint="eastAsia"/>
          <w:szCs w:val="28"/>
          <w:highlight w:val="none"/>
        </w:rPr>
        <w:t>）</w:t>
      </w:r>
      <w:r>
        <w:rPr>
          <w:rFonts w:hint="eastAsia"/>
          <w:szCs w:val="28"/>
          <w:highlight w:val="none"/>
          <w:lang w:eastAsia="zh-CN"/>
        </w:rPr>
        <w:t>供应商</w:t>
      </w:r>
      <w:r>
        <w:rPr>
          <w:rFonts w:hint="eastAsia"/>
          <w:szCs w:val="28"/>
          <w:highlight w:val="none"/>
        </w:rPr>
        <w:t>未被列入“信用中国”网站(www.creditchina.gov.cn)或中国执行信息公开网（http://zxgk.court.gov.cn)失信被执行人名单。(提供网站查询截图）</w:t>
      </w:r>
      <w:r>
        <w:rPr>
          <w:rFonts w:hint="eastAsia"/>
          <w:szCs w:val="28"/>
          <w:highlight w:val="none"/>
          <w:lang w:eastAsia="zh-CN"/>
        </w:rPr>
        <w:t>。</w:t>
      </w:r>
    </w:p>
    <w:p w14:paraId="094150AC">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5</w:t>
      </w:r>
      <w:r>
        <w:rPr>
          <w:rFonts w:hint="eastAsia"/>
          <w:szCs w:val="28"/>
          <w:highlight w:val="none"/>
        </w:rPr>
        <w:t>）</w:t>
      </w:r>
      <w:r>
        <w:rPr>
          <w:rFonts w:hint="eastAsia"/>
          <w:szCs w:val="28"/>
          <w:highlight w:val="none"/>
          <w:lang w:eastAsia="zh-CN"/>
        </w:rPr>
        <w:t>供应商</w:t>
      </w:r>
      <w:r>
        <w:rPr>
          <w:rFonts w:hint="eastAsia"/>
          <w:szCs w:val="28"/>
          <w:highlight w:val="none"/>
        </w:rPr>
        <w:t>须对关于</w:t>
      </w:r>
      <w:r>
        <w:rPr>
          <w:rFonts w:hint="eastAsia"/>
          <w:szCs w:val="28"/>
          <w:highlight w:val="none"/>
          <w:lang w:eastAsia="zh-CN"/>
        </w:rPr>
        <w:t>《湖北机场集团有限公司“供应商不良行为”管理办法》</w:t>
      </w:r>
      <w:r>
        <w:rPr>
          <w:rFonts w:hint="eastAsia"/>
          <w:szCs w:val="28"/>
          <w:highlight w:val="none"/>
        </w:rPr>
        <w:t>在“询价采购报价文件格式”“承诺书”中做出承诺，格式详见采购文件格式。</w:t>
      </w:r>
    </w:p>
    <w:p w14:paraId="7BD33B59">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6</w:t>
      </w:r>
      <w:r>
        <w:rPr>
          <w:rFonts w:hint="eastAsia"/>
          <w:szCs w:val="28"/>
          <w:highlight w:val="none"/>
        </w:rPr>
        <w:t>）本项目不接受联合体响应。</w:t>
      </w:r>
    </w:p>
    <w:p w14:paraId="2CABA92C">
      <w:pPr>
        <w:pStyle w:val="51"/>
        <w:spacing w:line="360" w:lineRule="auto"/>
        <w:ind w:left="0" w:leftChars="0" w:firstLine="480" w:firstLineChars="200"/>
        <w:jc w:val="left"/>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lang w:val="en-US" w:eastAsia="zh-CN" w:bidi="ar-SA"/>
        </w:rPr>
        <w:t>以上资格要求为本次响应供应商应具备的基本条件，参加响应的供应商必须满足资格要求中的所有条款，并按照相关规定递交资格证明文件。</w:t>
      </w:r>
    </w:p>
    <w:p w14:paraId="4167C639">
      <w:pPr>
        <w:snapToGrid w:val="0"/>
        <w:spacing w:line="360" w:lineRule="auto"/>
        <w:ind w:firstLine="600"/>
        <w:rPr>
          <w:rFonts w:hint="eastAsia"/>
          <w:b/>
          <w:bCs/>
          <w:sz w:val="30"/>
          <w:highlight w:val="none"/>
        </w:rPr>
      </w:pPr>
      <w:r>
        <w:rPr>
          <w:b/>
          <w:szCs w:val="21"/>
          <w:highlight w:val="none"/>
        </w:rPr>
        <w:br w:type="page"/>
      </w:r>
      <w:r>
        <w:rPr>
          <w:rFonts w:hint="eastAsia"/>
          <w:b/>
          <w:bCs/>
          <w:sz w:val="30"/>
          <w:highlight w:val="none"/>
        </w:rPr>
        <w:t>四、</w:t>
      </w:r>
      <w:bookmarkEnd w:id="11"/>
      <w:bookmarkEnd w:id="12"/>
      <w:r>
        <w:rPr>
          <w:rFonts w:hint="eastAsia"/>
          <w:b/>
          <w:bCs/>
          <w:sz w:val="30"/>
          <w:highlight w:val="none"/>
        </w:rPr>
        <w:t>询价采购须知</w:t>
      </w:r>
    </w:p>
    <w:p w14:paraId="676C9081">
      <w:pPr>
        <w:snapToGrid w:val="0"/>
        <w:spacing w:line="360" w:lineRule="auto"/>
        <w:ind w:firstLine="573"/>
        <w:rPr>
          <w:rFonts w:hint="eastAsia"/>
          <w:highlight w:val="none"/>
        </w:rPr>
      </w:pPr>
      <w:r>
        <w:rPr>
          <w:rFonts w:hint="eastAsia"/>
          <w:highlight w:val="none"/>
        </w:rPr>
        <w:t>1、报价文件须用信封</w:t>
      </w:r>
      <w:r>
        <w:rPr>
          <w:rFonts w:hint="eastAsia"/>
          <w:highlight w:val="none"/>
          <w:lang w:val="en-US" w:eastAsia="zh-CN"/>
        </w:rPr>
        <w:t>或文件袋</w:t>
      </w:r>
      <w:r>
        <w:rPr>
          <w:rFonts w:hint="eastAsia"/>
          <w:highlight w:val="none"/>
        </w:rPr>
        <w:t>密封，信封</w:t>
      </w:r>
      <w:r>
        <w:rPr>
          <w:rFonts w:hint="eastAsia"/>
          <w:highlight w:val="none"/>
          <w:lang w:val="en-US" w:eastAsia="zh-CN"/>
        </w:rPr>
        <w:t>或文件袋</w:t>
      </w:r>
      <w:r>
        <w:rPr>
          <w:rFonts w:hint="eastAsia"/>
          <w:highlight w:val="none"/>
        </w:rPr>
        <w:t>上注明询价采购项目名称、供应商名称、地址以及“不准提前启封”字样。信封所有有口、有缝的部位都要贴封条并加盖供应商公章。</w:t>
      </w:r>
    </w:p>
    <w:p w14:paraId="754C52E6">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57C3D9B6">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30605DF0">
      <w:pPr>
        <w:snapToGrid w:val="0"/>
        <w:spacing w:line="360" w:lineRule="auto"/>
        <w:ind w:firstLine="573"/>
        <w:rPr>
          <w:rFonts w:hint="eastAsia"/>
          <w:highlight w:val="none"/>
        </w:rPr>
      </w:pPr>
      <w:r>
        <w:rPr>
          <w:rFonts w:hint="eastAsia"/>
          <w:highlight w:val="none"/>
        </w:rPr>
        <w:t>4、成交原则：本项目评审采用最低竞标标价</w:t>
      </w:r>
      <w:r>
        <w:rPr>
          <w:rFonts w:hint="eastAsia"/>
          <w:highlight w:val="none"/>
          <w:lang w:val="en-US" w:eastAsia="zh-CN"/>
        </w:rPr>
        <w:t>(不含税)</w:t>
      </w:r>
      <w:r>
        <w:rPr>
          <w:rFonts w:hint="eastAsia"/>
          <w:highlight w:val="none"/>
        </w:rPr>
        <w:t>进行评审。</w:t>
      </w:r>
    </w:p>
    <w:p w14:paraId="14E0FAFA">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8"/>
    <w:p w14:paraId="010C153F">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0D5740E2">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5347C712">
      <w:pPr>
        <w:snapToGrid w:val="0"/>
        <w:spacing w:line="360" w:lineRule="auto"/>
        <w:ind w:firstLine="573"/>
        <w:rPr>
          <w:rFonts w:hint="eastAsia"/>
          <w:highlight w:val="none"/>
          <w:lang w:val="en-US" w:eastAsia="zh-CN"/>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bookmarkStart w:id="13" w:name="_Toc12789055"/>
      <w:bookmarkStart w:id="14" w:name="_Toc122840226"/>
      <w:r>
        <w:rPr>
          <w:rFonts w:hint="eastAsia"/>
          <w:highlight w:val="none"/>
          <w:lang w:val="en-US" w:eastAsia="zh-CN"/>
        </w:rPr>
        <w:t>骑缝章。</w:t>
      </w:r>
    </w:p>
    <w:p w14:paraId="50D024C0">
      <w:pPr>
        <w:snapToGrid w:val="0"/>
        <w:spacing w:line="360" w:lineRule="auto"/>
        <w:ind w:firstLine="573"/>
        <w:rPr>
          <w:highlight w:val="none"/>
        </w:rPr>
      </w:pPr>
      <w:r>
        <w:rPr>
          <w:rFonts w:hint="eastAsia"/>
          <w:highlight w:val="none"/>
        </w:rPr>
        <w:t>6、文件无效</w:t>
      </w:r>
    </w:p>
    <w:p w14:paraId="38405138">
      <w:pPr>
        <w:snapToGrid w:val="0"/>
        <w:spacing w:line="360" w:lineRule="auto"/>
        <w:ind w:firstLine="573"/>
        <w:rPr>
          <w:highlight w:val="none"/>
        </w:rPr>
      </w:pPr>
      <w:r>
        <w:rPr>
          <w:rFonts w:hint="eastAsia"/>
          <w:highlight w:val="none"/>
        </w:rPr>
        <w:t>竞标人发生以下条款情况之一者，其竞标文件将被拒绝：</w:t>
      </w:r>
    </w:p>
    <w:p w14:paraId="5984336D">
      <w:pPr>
        <w:snapToGrid w:val="0"/>
        <w:spacing w:line="360" w:lineRule="auto"/>
        <w:ind w:firstLine="573"/>
        <w:rPr>
          <w:highlight w:val="none"/>
        </w:rPr>
      </w:pPr>
      <w:r>
        <w:rPr>
          <w:rFonts w:hint="eastAsia"/>
          <w:highlight w:val="none"/>
        </w:rPr>
        <w:t>（1）竞标文件不按规定的格式、内容填写；</w:t>
      </w:r>
    </w:p>
    <w:p w14:paraId="4FA28B3D">
      <w:pPr>
        <w:snapToGrid w:val="0"/>
        <w:spacing w:line="360" w:lineRule="auto"/>
        <w:ind w:firstLine="573"/>
        <w:rPr>
          <w:rFonts w:hint="eastAsia"/>
          <w:highlight w:val="none"/>
        </w:rPr>
      </w:pPr>
      <w:r>
        <w:rPr>
          <w:rFonts w:hint="eastAsia"/>
          <w:highlight w:val="none"/>
        </w:rPr>
        <w:t>（2）超出营业范围的报价；</w:t>
      </w:r>
    </w:p>
    <w:p w14:paraId="5A9B756F">
      <w:pPr>
        <w:snapToGrid w:val="0"/>
        <w:spacing w:line="360" w:lineRule="auto"/>
        <w:ind w:firstLine="573"/>
        <w:rPr>
          <w:rFonts w:hint="eastAsia"/>
          <w:highlight w:val="none"/>
        </w:rPr>
      </w:pPr>
      <w:r>
        <w:rPr>
          <w:rFonts w:hint="eastAsia"/>
          <w:highlight w:val="none"/>
        </w:rPr>
        <w:t>（3）报价高于询价采购文件的最高限价；</w:t>
      </w:r>
    </w:p>
    <w:p w14:paraId="502C9F96">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4781CC9F">
      <w:pPr>
        <w:snapToGrid w:val="0"/>
        <w:spacing w:line="360" w:lineRule="auto"/>
        <w:ind w:firstLine="573"/>
        <w:rPr>
          <w:rFonts w:hint="eastAsia"/>
          <w:highlight w:val="none"/>
        </w:rPr>
      </w:pPr>
      <w:r>
        <w:rPr>
          <w:rFonts w:hint="eastAsia"/>
          <w:highlight w:val="none"/>
        </w:rPr>
        <w:t>（5）竞标人的资质不符合采购文件资质要求的内容。</w:t>
      </w:r>
    </w:p>
    <w:p w14:paraId="64B0B81B">
      <w:pPr>
        <w:numPr>
          <w:ilvl w:val="0"/>
          <w:numId w:val="2"/>
        </w:numPr>
        <w:snapToGrid w:val="0"/>
        <w:spacing w:line="360" w:lineRule="auto"/>
        <w:rPr>
          <w:rFonts w:hint="eastAsia"/>
          <w:highlight w:val="none"/>
        </w:rPr>
      </w:pPr>
      <w:r>
        <w:rPr>
          <w:rFonts w:hint="eastAsia"/>
          <w:highlight w:val="none"/>
        </w:rPr>
        <w:t>竞标文件未按要求密封、未按时送到准确地点。</w:t>
      </w:r>
    </w:p>
    <w:p w14:paraId="7840E481">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2E70235F">
      <w:pPr>
        <w:snapToGrid w:val="0"/>
        <w:spacing w:line="360" w:lineRule="auto"/>
        <w:ind w:firstLine="480" w:firstLineChars="200"/>
        <w:rPr>
          <w:rFonts w:hint="eastAsia"/>
          <w:highlight w:val="none"/>
        </w:rPr>
      </w:pPr>
      <w:r>
        <w:rPr>
          <w:rFonts w:hint="eastAsia"/>
          <w:highlight w:val="none"/>
        </w:rPr>
        <w:t>（1）出现影响采购公正的违法、违规行为的；</w:t>
      </w:r>
    </w:p>
    <w:p w14:paraId="0BDFC2C2">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1F820038">
      <w:pPr>
        <w:snapToGrid w:val="0"/>
        <w:spacing w:line="360" w:lineRule="auto"/>
        <w:ind w:firstLine="480" w:firstLineChars="200"/>
        <w:rPr>
          <w:rFonts w:hint="eastAsia"/>
          <w:highlight w:val="none"/>
        </w:rPr>
      </w:pPr>
      <w:r>
        <w:rPr>
          <w:rFonts w:hint="eastAsia"/>
          <w:highlight w:val="none"/>
        </w:rPr>
        <w:t>（3）因重大变故，采购任务取消的；</w:t>
      </w:r>
    </w:p>
    <w:p w14:paraId="05A8E97C">
      <w:pPr>
        <w:pStyle w:val="4"/>
        <w:spacing w:line="360" w:lineRule="auto"/>
        <w:ind w:firstLine="539" w:firstLineChars="179"/>
        <w:rPr>
          <w:rFonts w:hint="eastAsia"/>
          <w:sz w:val="30"/>
          <w:highlight w:val="none"/>
        </w:rPr>
      </w:pPr>
      <w:bookmarkStart w:id="15" w:name="_Toc13934"/>
      <w:bookmarkStart w:id="16" w:name="_Toc23758"/>
      <w:r>
        <w:rPr>
          <w:rFonts w:hint="eastAsia"/>
          <w:sz w:val="30"/>
          <w:highlight w:val="none"/>
        </w:rPr>
        <w:t>五、询价保证金</w:t>
      </w:r>
      <w:bookmarkEnd w:id="13"/>
      <w:bookmarkEnd w:id="14"/>
      <w:bookmarkEnd w:id="15"/>
      <w:bookmarkEnd w:id="16"/>
    </w:p>
    <w:p w14:paraId="07FBF726">
      <w:pPr>
        <w:snapToGrid w:val="0"/>
        <w:spacing w:line="360" w:lineRule="auto"/>
        <w:ind w:firstLine="573"/>
        <w:rPr>
          <w:rFonts w:hint="eastAsia"/>
          <w:highlight w:val="none"/>
        </w:rPr>
      </w:pPr>
      <w:r>
        <w:rPr>
          <w:rFonts w:hint="eastAsia"/>
          <w:highlight w:val="none"/>
        </w:rPr>
        <w:t>本项目无询价保证金要求。</w:t>
      </w:r>
    </w:p>
    <w:p w14:paraId="0E7BA412">
      <w:pPr>
        <w:pStyle w:val="4"/>
        <w:spacing w:line="360" w:lineRule="auto"/>
        <w:ind w:firstLine="539" w:firstLineChars="179"/>
        <w:rPr>
          <w:sz w:val="30"/>
          <w:highlight w:val="none"/>
        </w:rPr>
      </w:pPr>
      <w:bookmarkStart w:id="17" w:name="_Toc102227321"/>
      <w:bookmarkStart w:id="18" w:name="_Toc27666"/>
      <w:bookmarkStart w:id="19" w:name="_Toc19129"/>
      <w:bookmarkStart w:id="20" w:name="_Toc233445126"/>
      <w:r>
        <w:rPr>
          <w:rFonts w:hint="eastAsia"/>
          <w:sz w:val="30"/>
          <w:highlight w:val="none"/>
        </w:rPr>
        <w:t>六、成交通知</w:t>
      </w:r>
      <w:bookmarkEnd w:id="17"/>
      <w:bookmarkEnd w:id="18"/>
      <w:bookmarkEnd w:id="19"/>
      <w:bookmarkEnd w:id="20"/>
    </w:p>
    <w:p w14:paraId="374BC085">
      <w:pPr>
        <w:snapToGrid w:val="0"/>
        <w:spacing w:line="360" w:lineRule="auto"/>
        <w:ind w:firstLine="480" w:firstLineChars="200"/>
        <w:rPr>
          <w:szCs w:val="28"/>
          <w:highlight w:val="none"/>
        </w:rPr>
      </w:pPr>
      <w:bookmarkStart w:id="21" w:name="_Toc102227322"/>
      <w:bookmarkStart w:id="22" w:name="_Toc233445127"/>
      <w:r>
        <w:rPr>
          <w:rFonts w:hint="eastAsia"/>
          <w:szCs w:val="28"/>
          <w:highlight w:val="none"/>
          <w:lang w:val="en-US" w:eastAsia="zh-CN"/>
        </w:rPr>
        <w:t>成交</w:t>
      </w:r>
      <w:r>
        <w:rPr>
          <w:rFonts w:hint="eastAsia"/>
          <w:szCs w:val="28"/>
          <w:highlight w:val="none"/>
        </w:rPr>
        <w:t>公示期结束3个工作日内，我部将通知中标单位，进入合同签订流程。</w:t>
      </w:r>
    </w:p>
    <w:p w14:paraId="61F9B080">
      <w:pPr>
        <w:pStyle w:val="4"/>
        <w:spacing w:line="360" w:lineRule="auto"/>
        <w:ind w:firstLine="539" w:firstLineChars="179"/>
        <w:rPr>
          <w:sz w:val="30"/>
          <w:highlight w:val="none"/>
        </w:rPr>
      </w:pPr>
      <w:bookmarkStart w:id="23" w:name="_Toc11817"/>
      <w:bookmarkStart w:id="24" w:name="_Toc31203"/>
      <w:r>
        <w:rPr>
          <w:rFonts w:hint="eastAsia"/>
          <w:sz w:val="30"/>
          <w:highlight w:val="none"/>
        </w:rPr>
        <w:t>七、签订</w:t>
      </w:r>
      <w:bookmarkEnd w:id="21"/>
      <w:r>
        <w:rPr>
          <w:rFonts w:hint="eastAsia"/>
          <w:sz w:val="30"/>
          <w:highlight w:val="none"/>
        </w:rPr>
        <w:t>合同</w:t>
      </w:r>
      <w:bookmarkEnd w:id="22"/>
      <w:bookmarkEnd w:id="23"/>
      <w:bookmarkEnd w:id="24"/>
    </w:p>
    <w:p w14:paraId="65141E9B">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7090D7E6">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1F540B46">
      <w:pPr>
        <w:snapToGrid w:val="0"/>
        <w:spacing w:line="360" w:lineRule="auto"/>
        <w:ind w:right="24" w:rightChars="10" w:firstLine="573"/>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89EF">
    <w:pPr>
      <w:pStyle w:val="21"/>
      <w:framePr w:wrap="around" w:vAnchor="text" w:hAnchor="page" w:x="5959" w:y="58"/>
      <w:rPr>
        <w:rStyle w:val="39"/>
        <w:rFonts w:hint="eastAsia"/>
        <w:sz w:val="28"/>
      </w:rPr>
    </w:pPr>
    <w:r>
      <w:fldChar w:fldCharType="begin"/>
    </w:r>
    <w:r>
      <w:rPr>
        <w:rStyle w:val="39"/>
      </w:rPr>
      <w:instrText xml:space="preserve"> PAGE </w:instrText>
    </w:r>
    <w:r>
      <w:fldChar w:fldCharType="separate"/>
    </w:r>
    <w:r>
      <w:rPr>
        <w:rStyle w:val="39"/>
      </w:rPr>
      <w:t>19</w:t>
    </w:r>
    <w:r>
      <w:fldChar w:fldCharType="end"/>
    </w:r>
  </w:p>
  <w:p w14:paraId="6F48D3DC">
    <w:pPr>
      <w:pStyle w:val="21"/>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702C">
    <w:pPr>
      <w:pStyle w:val="22"/>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abstractNum w:abstractNumId="1">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09"/>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ZGE2N2VhMDJjYzljYjg4NjU2MjQyNDY2YjkyMmQifQ=="/>
  </w:docVars>
  <w:rsids>
    <w:rsidRoot w:val="00AB7B3E"/>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1FCD"/>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173E36"/>
    <w:rsid w:val="01411C2E"/>
    <w:rsid w:val="01B478E4"/>
    <w:rsid w:val="01DE4970"/>
    <w:rsid w:val="02C42317"/>
    <w:rsid w:val="03643014"/>
    <w:rsid w:val="03711A6C"/>
    <w:rsid w:val="03DB5CCC"/>
    <w:rsid w:val="03F82A23"/>
    <w:rsid w:val="05341602"/>
    <w:rsid w:val="05C8320F"/>
    <w:rsid w:val="068E549C"/>
    <w:rsid w:val="07AB4C42"/>
    <w:rsid w:val="08E82841"/>
    <w:rsid w:val="09693AE7"/>
    <w:rsid w:val="09944AA5"/>
    <w:rsid w:val="09972803"/>
    <w:rsid w:val="0B8604CA"/>
    <w:rsid w:val="0BFC71B9"/>
    <w:rsid w:val="0C38649C"/>
    <w:rsid w:val="0D246B24"/>
    <w:rsid w:val="0D2578E6"/>
    <w:rsid w:val="0D526D3D"/>
    <w:rsid w:val="0DDA3A55"/>
    <w:rsid w:val="0EE32C5D"/>
    <w:rsid w:val="0F1A64E0"/>
    <w:rsid w:val="0FA24172"/>
    <w:rsid w:val="10CC63FB"/>
    <w:rsid w:val="10D31E8A"/>
    <w:rsid w:val="113C1D21"/>
    <w:rsid w:val="11C84020"/>
    <w:rsid w:val="11ED5CE9"/>
    <w:rsid w:val="11F969CD"/>
    <w:rsid w:val="125A744D"/>
    <w:rsid w:val="126E1BF0"/>
    <w:rsid w:val="12B652AB"/>
    <w:rsid w:val="13416360"/>
    <w:rsid w:val="14AC54C9"/>
    <w:rsid w:val="14B939EA"/>
    <w:rsid w:val="15B02E28"/>
    <w:rsid w:val="16AD6E91"/>
    <w:rsid w:val="174F2C21"/>
    <w:rsid w:val="1899108E"/>
    <w:rsid w:val="1937295B"/>
    <w:rsid w:val="1B4141B1"/>
    <w:rsid w:val="1B553EF2"/>
    <w:rsid w:val="1D367E1C"/>
    <w:rsid w:val="1E421409"/>
    <w:rsid w:val="1F905003"/>
    <w:rsid w:val="24653902"/>
    <w:rsid w:val="24A31306"/>
    <w:rsid w:val="252A52DE"/>
    <w:rsid w:val="265853B6"/>
    <w:rsid w:val="267773ED"/>
    <w:rsid w:val="27817763"/>
    <w:rsid w:val="27DB7C94"/>
    <w:rsid w:val="27E100E2"/>
    <w:rsid w:val="282625FD"/>
    <w:rsid w:val="29BB2D3A"/>
    <w:rsid w:val="29C46877"/>
    <w:rsid w:val="29C667C5"/>
    <w:rsid w:val="2A5A716F"/>
    <w:rsid w:val="2AF50F9E"/>
    <w:rsid w:val="2B79079C"/>
    <w:rsid w:val="2BB54273"/>
    <w:rsid w:val="2C8869A4"/>
    <w:rsid w:val="2D626597"/>
    <w:rsid w:val="2E2C3B97"/>
    <w:rsid w:val="2EB27D40"/>
    <w:rsid w:val="2FCF0F1F"/>
    <w:rsid w:val="301C3479"/>
    <w:rsid w:val="308D4E2C"/>
    <w:rsid w:val="31045E46"/>
    <w:rsid w:val="32000483"/>
    <w:rsid w:val="323A76CB"/>
    <w:rsid w:val="33741B61"/>
    <w:rsid w:val="33BA01D3"/>
    <w:rsid w:val="33CB36DC"/>
    <w:rsid w:val="356063A9"/>
    <w:rsid w:val="358442A0"/>
    <w:rsid w:val="36B14D07"/>
    <w:rsid w:val="36F078C2"/>
    <w:rsid w:val="38AE21DF"/>
    <w:rsid w:val="38F503AC"/>
    <w:rsid w:val="392C6C96"/>
    <w:rsid w:val="39875849"/>
    <w:rsid w:val="3A8B63C4"/>
    <w:rsid w:val="3B236DD8"/>
    <w:rsid w:val="3D0174D7"/>
    <w:rsid w:val="3F3D62BF"/>
    <w:rsid w:val="3FCB760E"/>
    <w:rsid w:val="3FCD7A4E"/>
    <w:rsid w:val="3FF05F77"/>
    <w:rsid w:val="404C58B5"/>
    <w:rsid w:val="40D5397D"/>
    <w:rsid w:val="42113AC3"/>
    <w:rsid w:val="42293648"/>
    <w:rsid w:val="43910801"/>
    <w:rsid w:val="45A10DF4"/>
    <w:rsid w:val="45B70290"/>
    <w:rsid w:val="46186EDD"/>
    <w:rsid w:val="46D91D99"/>
    <w:rsid w:val="47430EB9"/>
    <w:rsid w:val="483F4F26"/>
    <w:rsid w:val="48403DC3"/>
    <w:rsid w:val="4A221D5D"/>
    <w:rsid w:val="4A3546F0"/>
    <w:rsid w:val="4AB41467"/>
    <w:rsid w:val="4BDA2F70"/>
    <w:rsid w:val="4C755E76"/>
    <w:rsid w:val="4D367204"/>
    <w:rsid w:val="4D96665A"/>
    <w:rsid w:val="4E0B0C8B"/>
    <w:rsid w:val="4F1813ED"/>
    <w:rsid w:val="4F6C5B3E"/>
    <w:rsid w:val="4FFD584C"/>
    <w:rsid w:val="501A3933"/>
    <w:rsid w:val="503713EE"/>
    <w:rsid w:val="50DC25B1"/>
    <w:rsid w:val="50E96FCD"/>
    <w:rsid w:val="512B20E8"/>
    <w:rsid w:val="52DB0D4D"/>
    <w:rsid w:val="533407C0"/>
    <w:rsid w:val="53481B6C"/>
    <w:rsid w:val="54FC5883"/>
    <w:rsid w:val="5508745F"/>
    <w:rsid w:val="56C34358"/>
    <w:rsid w:val="56FA3AC9"/>
    <w:rsid w:val="58F9403E"/>
    <w:rsid w:val="5A714797"/>
    <w:rsid w:val="5B9A7831"/>
    <w:rsid w:val="5C2B407B"/>
    <w:rsid w:val="5C480E38"/>
    <w:rsid w:val="5CDD536F"/>
    <w:rsid w:val="5DDE2A4C"/>
    <w:rsid w:val="6198089B"/>
    <w:rsid w:val="621C2A30"/>
    <w:rsid w:val="626215BF"/>
    <w:rsid w:val="62630E8F"/>
    <w:rsid w:val="62982E45"/>
    <w:rsid w:val="63A22510"/>
    <w:rsid w:val="63B72E04"/>
    <w:rsid w:val="642663F5"/>
    <w:rsid w:val="65B00C69"/>
    <w:rsid w:val="65EB6920"/>
    <w:rsid w:val="66DE7D87"/>
    <w:rsid w:val="67FF53C6"/>
    <w:rsid w:val="68661E4E"/>
    <w:rsid w:val="68A94804"/>
    <w:rsid w:val="68E51C57"/>
    <w:rsid w:val="68E56942"/>
    <w:rsid w:val="68F32BC0"/>
    <w:rsid w:val="691C6445"/>
    <w:rsid w:val="695825B4"/>
    <w:rsid w:val="69B151A0"/>
    <w:rsid w:val="69F800AA"/>
    <w:rsid w:val="6BBF1840"/>
    <w:rsid w:val="6DC652B2"/>
    <w:rsid w:val="6EF72CE4"/>
    <w:rsid w:val="6FC421E3"/>
    <w:rsid w:val="6FDD471D"/>
    <w:rsid w:val="70445411"/>
    <w:rsid w:val="719E6F42"/>
    <w:rsid w:val="722D1256"/>
    <w:rsid w:val="733101CC"/>
    <w:rsid w:val="742A570F"/>
    <w:rsid w:val="74DC6B86"/>
    <w:rsid w:val="769F1D81"/>
    <w:rsid w:val="770E287F"/>
    <w:rsid w:val="774032D0"/>
    <w:rsid w:val="789F71E7"/>
    <w:rsid w:val="7A241698"/>
    <w:rsid w:val="7AA329D6"/>
    <w:rsid w:val="7B0528C7"/>
    <w:rsid w:val="7B1E1F2F"/>
    <w:rsid w:val="7B6E5D6D"/>
    <w:rsid w:val="7C3362B8"/>
    <w:rsid w:val="7CCA4C96"/>
    <w:rsid w:val="7CFA0F06"/>
    <w:rsid w:val="7F0967E5"/>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qFormat="1"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qFormat="1" w:unhideWhenUsed="0" w:uiPriority="0" w:name="index 7"/>
    <w:lsdException w:unhideWhenUsed="0" w:uiPriority="0" w:name="index 8"/>
    <w:lsdException w:unhideWhenUsed="0" w:uiPriority="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8">
    <w:name w:val="Default Paragraph Font"/>
    <w:semiHidden/>
    <w:uiPriority w:val="0"/>
  </w:style>
  <w:style w:type="table" w:default="1" w:styleId="36">
    <w:name w:val="Normal Table"/>
    <w:semiHidden/>
    <w:uiPriority w:val="0"/>
    <w:tblPr>
      <w:tblCellMar>
        <w:top w:w="0" w:type="dxa"/>
        <w:left w:w="108" w:type="dxa"/>
        <w:bottom w:w="0" w:type="dxa"/>
        <w:right w:w="108" w:type="dxa"/>
      </w:tblCellMar>
    </w:tblPr>
  </w:style>
  <w:style w:type="paragraph" w:styleId="6">
    <w:name w:val="toc 7"/>
    <w:basedOn w:val="1"/>
    <w:next w:val="1"/>
    <w:semiHidden/>
    <w:uiPriority w:val="0"/>
    <w:pPr>
      <w:ind w:left="1680"/>
      <w:jc w:val="left"/>
    </w:pPr>
    <w:rPr>
      <w:rFonts w:ascii="等线" w:eastAsia="等线"/>
      <w:sz w:val="20"/>
    </w:rPr>
  </w:style>
  <w:style w:type="paragraph" w:styleId="7">
    <w:name w:val="index 8"/>
    <w:basedOn w:val="1"/>
    <w:next w:val="1"/>
    <w:semiHidden/>
    <w:uiPriority w:val="0"/>
    <w:pPr>
      <w:ind w:left="1400" w:leftChars="1400"/>
    </w:pPr>
  </w:style>
  <w:style w:type="paragraph" w:styleId="8">
    <w:name w:val="index 5"/>
    <w:basedOn w:val="1"/>
    <w:next w:val="1"/>
    <w:semiHidden/>
    <w:uiPriority w:val="0"/>
    <w:pPr>
      <w:ind w:left="800" w:leftChars="800"/>
    </w:pPr>
  </w:style>
  <w:style w:type="paragraph" w:styleId="9">
    <w:name w:val="annotation text"/>
    <w:basedOn w:val="1"/>
    <w:link w:val="43"/>
    <w:uiPriority w:val="0"/>
  </w:style>
  <w:style w:type="paragraph" w:styleId="10">
    <w:name w:val="index 6"/>
    <w:basedOn w:val="1"/>
    <w:next w:val="1"/>
    <w:semiHidden/>
    <w:uiPriority w:val="0"/>
    <w:pPr>
      <w:ind w:left="1000" w:leftChars="1000"/>
    </w:pPr>
  </w:style>
  <w:style w:type="paragraph" w:styleId="11">
    <w:name w:val="Body Text"/>
    <w:basedOn w:val="1"/>
    <w:uiPriority w:val="0"/>
    <w:pPr>
      <w:jc w:val="left"/>
    </w:pPr>
    <w:rPr>
      <w:rFonts w:ascii="宋体"/>
    </w:rPr>
  </w:style>
  <w:style w:type="paragraph" w:styleId="12">
    <w:name w:val="Body Text Indent"/>
    <w:basedOn w:val="1"/>
    <w:uiPriority w:val="0"/>
    <w:pPr>
      <w:spacing w:line="700" w:lineRule="exact"/>
      <w:ind w:left="960"/>
    </w:pPr>
    <w:rPr>
      <w:sz w:val="44"/>
    </w:rPr>
  </w:style>
  <w:style w:type="paragraph" w:styleId="13">
    <w:name w:val="index 4"/>
    <w:basedOn w:val="1"/>
    <w:next w:val="1"/>
    <w:semiHidden/>
    <w:uiPriority w:val="0"/>
    <w:pPr>
      <w:ind w:left="600" w:leftChars="600"/>
    </w:pPr>
  </w:style>
  <w:style w:type="paragraph" w:styleId="14">
    <w:name w:val="toc 5"/>
    <w:basedOn w:val="1"/>
    <w:next w:val="1"/>
    <w:semiHidden/>
    <w:uiPriority w:val="0"/>
    <w:pPr>
      <w:ind w:left="1120"/>
      <w:jc w:val="left"/>
    </w:pPr>
    <w:rPr>
      <w:rFonts w:ascii="等线" w:eastAsia="等线"/>
      <w:sz w:val="20"/>
    </w:rPr>
  </w:style>
  <w:style w:type="paragraph" w:styleId="15">
    <w:name w:val="toc 3"/>
    <w:basedOn w:val="1"/>
    <w:next w:val="1"/>
    <w:uiPriority w:val="39"/>
    <w:pPr>
      <w:ind w:left="560"/>
      <w:jc w:val="left"/>
    </w:pPr>
    <w:rPr>
      <w:rFonts w:ascii="等线" w:eastAsia="等线"/>
      <w:sz w:val="20"/>
    </w:rPr>
  </w:style>
  <w:style w:type="paragraph" w:styleId="16">
    <w:name w:val="toc 8"/>
    <w:basedOn w:val="1"/>
    <w:next w:val="1"/>
    <w:semiHidden/>
    <w:uiPriority w:val="0"/>
    <w:pPr>
      <w:ind w:left="1960"/>
      <w:jc w:val="left"/>
    </w:pPr>
    <w:rPr>
      <w:rFonts w:ascii="等线" w:eastAsia="等线"/>
      <w:sz w:val="20"/>
    </w:rPr>
  </w:style>
  <w:style w:type="paragraph" w:styleId="17">
    <w:name w:val="index 3"/>
    <w:basedOn w:val="1"/>
    <w:next w:val="1"/>
    <w:semiHidden/>
    <w:uiPriority w:val="0"/>
    <w:pPr>
      <w:ind w:left="400" w:leftChars="400"/>
    </w:pPr>
  </w:style>
  <w:style w:type="paragraph" w:styleId="18">
    <w:name w:val="Date"/>
    <w:basedOn w:val="1"/>
    <w:next w:val="1"/>
    <w:uiPriority w:val="0"/>
  </w:style>
  <w:style w:type="paragraph" w:styleId="19">
    <w:name w:val="Body Text Indent 2"/>
    <w:basedOn w:val="1"/>
    <w:uiPriority w:val="0"/>
    <w:pPr>
      <w:snapToGrid w:val="0"/>
      <w:spacing w:line="560" w:lineRule="atLeast"/>
      <w:ind w:firstLine="540"/>
    </w:pPr>
  </w:style>
  <w:style w:type="paragraph" w:styleId="20">
    <w:name w:val="Balloon Text"/>
    <w:basedOn w:val="1"/>
    <w:semiHidden/>
    <w:uiPriority w:val="0"/>
    <w:rPr>
      <w:sz w:val="18"/>
      <w:szCs w:val="18"/>
    </w:rPr>
  </w:style>
  <w:style w:type="paragraph" w:styleId="21">
    <w:name w:val="footer"/>
    <w:basedOn w:val="1"/>
    <w:uiPriority w:val="0"/>
    <w:pPr>
      <w:tabs>
        <w:tab w:val="center" w:pos="4153"/>
        <w:tab w:val="right" w:pos="8306"/>
      </w:tabs>
      <w:snapToGrid w:val="0"/>
      <w:jc w:val="left"/>
    </w:pPr>
    <w:rPr>
      <w:sz w:val="18"/>
    </w:rPr>
  </w:style>
  <w:style w:type="paragraph" w:styleId="22">
    <w:name w:val="header"/>
    <w:basedOn w:val="1"/>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uiPriority w:val="39"/>
    <w:pPr>
      <w:spacing w:before="120"/>
      <w:jc w:val="left"/>
    </w:pPr>
    <w:rPr>
      <w:rFonts w:ascii="等线" w:eastAsia="等线"/>
      <w:b/>
      <w:bCs/>
      <w:i/>
      <w:iCs/>
      <w:sz w:val="24"/>
      <w:szCs w:val="24"/>
    </w:rPr>
  </w:style>
  <w:style w:type="paragraph" w:styleId="24">
    <w:name w:val="toc 4"/>
    <w:basedOn w:val="1"/>
    <w:next w:val="1"/>
    <w:semiHidden/>
    <w:uiPriority w:val="0"/>
    <w:pPr>
      <w:ind w:left="840"/>
      <w:jc w:val="left"/>
    </w:pPr>
    <w:rPr>
      <w:rFonts w:ascii="等线" w:eastAsia="等线"/>
      <w:sz w:val="20"/>
    </w:rPr>
  </w:style>
  <w:style w:type="paragraph" w:styleId="25">
    <w:name w:val="index heading"/>
    <w:basedOn w:val="1"/>
    <w:next w:val="26"/>
    <w:semiHidden/>
    <w:uiPriority w:val="0"/>
  </w:style>
  <w:style w:type="paragraph" w:styleId="26">
    <w:name w:val="index 1"/>
    <w:basedOn w:val="1"/>
    <w:next w:val="1"/>
    <w:semiHidden/>
    <w:uiPriority w:val="0"/>
  </w:style>
  <w:style w:type="paragraph" w:styleId="27">
    <w:name w:val="toc 6"/>
    <w:basedOn w:val="1"/>
    <w:next w:val="1"/>
    <w:semiHidden/>
    <w:uiPriority w:val="0"/>
    <w:pPr>
      <w:ind w:left="1400"/>
      <w:jc w:val="left"/>
    </w:pPr>
    <w:rPr>
      <w:rFonts w:ascii="等线" w:eastAsia="等线"/>
      <w:sz w:val="20"/>
    </w:rPr>
  </w:style>
  <w:style w:type="paragraph" w:styleId="28">
    <w:name w:val="Body Text Indent 3"/>
    <w:basedOn w:val="1"/>
    <w:qFormat/>
    <w:uiPriority w:val="0"/>
    <w:pPr>
      <w:spacing w:after="120"/>
      <w:ind w:left="420" w:leftChars="200"/>
    </w:pPr>
    <w:rPr>
      <w:sz w:val="16"/>
      <w:szCs w:val="16"/>
    </w:rPr>
  </w:style>
  <w:style w:type="paragraph" w:styleId="29">
    <w:name w:val="index 7"/>
    <w:basedOn w:val="1"/>
    <w:next w:val="1"/>
    <w:semiHidden/>
    <w:qFormat/>
    <w:uiPriority w:val="0"/>
    <w:pPr>
      <w:ind w:left="1200" w:leftChars="1200"/>
    </w:pPr>
  </w:style>
  <w:style w:type="paragraph" w:styleId="30">
    <w:name w:val="index 9"/>
    <w:basedOn w:val="1"/>
    <w:next w:val="1"/>
    <w:semiHidden/>
    <w:uiPriority w:val="0"/>
    <w:pPr>
      <w:ind w:left="1600" w:leftChars="1600"/>
    </w:pPr>
  </w:style>
  <w:style w:type="paragraph" w:styleId="31">
    <w:name w:val="toc 2"/>
    <w:basedOn w:val="1"/>
    <w:next w:val="1"/>
    <w:uiPriority w:val="39"/>
    <w:pPr>
      <w:spacing w:before="120"/>
      <w:ind w:left="280"/>
      <w:jc w:val="left"/>
    </w:pPr>
    <w:rPr>
      <w:rFonts w:ascii="等线" w:eastAsia="等线"/>
      <w:b/>
      <w:bCs/>
      <w:sz w:val="22"/>
      <w:szCs w:val="22"/>
    </w:rPr>
  </w:style>
  <w:style w:type="paragraph" w:styleId="32">
    <w:name w:val="toc 9"/>
    <w:basedOn w:val="1"/>
    <w:next w:val="1"/>
    <w:semiHidden/>
    <w:qFormat/>
    <w:uiPriority w:val="0"/>
    <w:pPr>
      <w:ind w:left="2240"/>
      <w:jc w:val="left"/>
    </w:pPr>
    <w:rPr>
      <w:rFonts w:ascii="等线" w:eastAsia="等线"/>
      <w:sz w:val="20"/>
    </w:rPr>
  </w:style>
  <w:style w:type="paragraph" w:styleId="33">
    <w:name w:val="HTML Preformatted"/>
    <w:basedOn w:val="1"/>
    <w:link w:val="44"/>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4">
    <w:name w:val="index 2"/>
    <w:basedOn w:val="1"/>
    <w:next w:val="1"/>
    <w:semiHidden/>
    <w:qFormat/>
    <w:uiPriority w:val="0"/>
    <w:pPr>
      <w:ind w:left="200" w:leftChars="200"/>
    </w:pPr>
  </w:style>
  <w:style w:type="paragraph" w:styleId="35">
    <w:name w:val="annotation subject"/>
    <w:basedOn w:val="9"/>
    <w:next w:val="9"/>
    <w:link w:val="45"/>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qFormat/>
    <w:uiPriority w:val="0"/>
    <w:rPr>
      <w:color w:val="800080"/>
      <w:u w:val="single"/>
    </w:rPr>
  </w:style>
  <w:style w:type="character" w:styleId="41">
    <w:name w:val="Hyperlink"/>
    <w:uiPriority w:val="99"/>
    <w:rPr>
      <w:color w:val="0000FF"/>
      <w:u w:val="single"/>
    </w:rPr>
  </w:style>
  <w:style w:type="character" w:styleId="42">
    <w:name w:val="annotation reference"/>
    <w:qFormat/>
    <w:uiPriority w:val="0"/>
    <w:rPr>
      <w:sz w:val="21"/>
      <w:szCs w:val="21"/>
    </w:rPr>
  </w:style>
  <w:style w:type="character" w:customStyle="1" w:styleId="43">
    <w:name w:val="批注文字 字符"/>
    <w:link w:val="9"/>
    <w:qFormat/>
    <w:uiPriority w:val="0"/>
    <w:rPr>
      <w:rFonts w:ascii="宋体" w:hAnsi="宋体" w:cs="宋体"/>
      <w:sz w:val="24"/>
      <w:szCs w:val="24"/>
    </w:rPr>
  </w:style>
  <w:style w:type="character" w:customStyle="1" w:styleId="44">
    <w:name w:val="HTML 预设格式 字符"/>
    <w:link w:val="33"/>
    <w:qFormat/>
    <w:uiPriority w:val="0"/>
    <w:rPr>
      <w:rFonts w:ascii="黑体" w:hAnsi="Courier New" w:eastAsia="黑体" w:cs="Courier New"/>
      <w:color w:val="000000"/>
    </w:rPr>
  </w:style>
  <w:style w:type="character" w:customStyle="1" w:styleId="45">
    <w:name w:val="批注主题 字符"/>
    <w:link w:val="35"/>
    <w:qFormat/>
    <w:uiPriority w:val="0"/>
    <w:rPr>
      <w:rFonts w:ascii="宋体" w:hAnsi="宋体" w:cs="宋体"/>
      <w:b/>
      <w:bCs/>
      <w:sz w:val="24"/>
      <w:szCs w:val="24"/>
    </w:rPr>
  </w:style>
  <w:style w:type="character" w:customStyle="1" w:styleId="46">
    <w:name w:val="表格 Char Char"/>
    <w:link w:val="47"/>
    <w:uiPriority w:val="0"/>
    <w:rPr>
      <w:rFonts w:ascii="宋体" w:hAnsi="宋体"/>
    </w:rPr>
  </w:style>
  <w:style w:type="paragraph" w:customStyle="1" w:styleId="47">
    <w:name w:val="表格"/>
    <w:basedOn w:val="1"/>
    <w:link w:val="46"/>
    <w:uiPriority w:val="0"/>
    <w:pPr>
      <w:widowControl/>
      <w:snapToGrid w:val="0"/>
      <w:jc w:val="left"/>
    </w:pPr>
    <w:rPr>
      <w:rFonts w:cs="Times New Roman"/>
      <w:sz w:val="20"/>
      <w:szCs w:val="20"/>
    </w:rPr>
  </w:style>
  <w:style w:type="character" w:customStyle="1" w:styleId="48">
    <w:name w:val="HTML 预设格式 字符1"/>
    <w:uiPriority w:val="0"/>
    <w:rPr>
      <w:rFonts w:ascii="Courier New" w:hAnsi="Courier New" w:cs="Courier New"/>
      <w:kern w:val="2"/>
    </w:rPr>
  </w:style>
  <w:style w:type="character" w:customStyle="1" w:styleId="49">
    <w:name w:val="NormalCharacter"/>
    <w:qFormat/>
    <w:uiPriority w:val="0"/>
    <w:rPr>
      <w:rFonts w:ascii="Times New Roman" w:hAnsi="Times New Roman" w:eastAsia="宋体" w:cs="Times New Roman"/>
      <w:kern w:val="2"/>
      <w:sz w:val="21"/>
      <w:szCs w:val="22"/>
      <w:lang w:val="en-US" w:eastAsia="zh-CN" w:bidi="ar-SA"/>
    </w:rPr>
  </w:style>
  <w:style w:type="paragraph" w:customStyle="1" w:styleId="50">
    <w:name w:val="正文 New"/>
    <w:qFormat/>
    <w:uiPriority w:val="99"/>
    <w:pPr>
      <w:widowControl w:val="0"/>
      <w:spacing w:line="440" w:lineRule="exact"/>
      <w:ind w:left="357" w:hanging="357"/>
      <w:jc w:val="both"/>
    </w:pPr>
    <w:rPr>
      <w:rFonts w:ascii="Calibri" w:hAnsi="Calibri" w:eastAsia="仿宋" w:cs="Times New Roman"/>
      <w:kern w:val="2"/>
      <w:sz w:val="32"/>
      <w:szCs w:val="22"/>
      <w:lang w:val="en-US" w:eastAsia="zh-CN" w:bidi="ar-SA"/>
    </w:rPr>
  </w:style>
  <w:style w:type="paragraph" w:customStyle="1" w:styleId="51">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列表内容"/>
    <w:basedOn w:val="1"/>
    <w:qFormat/>
    <w:uiPriority w:val="0"/>
    <w:pPr>
      <w:widowControl/>
      <w:spacing w:beforeLines="15" w:afterLines="15" w:line="260" w:lineRule="exact"/>
      <w:ind w:left="251"/>
      <w:jc w:val="left"/>
    </w:pPr>
    <w:rPr>
      <w:rFonts w:ascii="宋体" w:hAnsi="宋体"/>
      <w:kern w:val="0"/>
      <w:sz w:val="18"/>
      <w:szCs w:val="21"/>
    </w:rPr>
  </w:style>
  <w:style w:type="paragraph" w:customStyle="1" w:styleId="54">
    <w:name w:val="_Style 53"/>
    <w:basedOn w:val="2"/>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55">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6">
    <w:name w:val="Char1 Char Char Char"/>
    <w:basedOn w:val="1"/>
    <w:qFormat/>
    <w:uiPriority w:val="0"/>
    <w:rPr>
      <w:rFonts w:ascii="Tahoma" w:hAnsi="Tahoma"/>
      <w:sz w:val="30"/>
      <w:szCs w:val="30"/>
    </w:rPr>
  </w:style>
  <w:style w:type="paragraph" w:customStyle="1" w:styleId="57">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8">
    <w:name w:val="缺省文本"/>
    <w:basedOn w:val="1"/>
    <w:qFormat/>
    <w:uiPriority w:val="0"/>
    <w:pPr>
      <w:autoSpaceDE w:val="0"/>
      <w:autoSpaceDN w:val="0"/>
      <w:adjustRightInd w:val="0"/>
      <w:jc w:val="left"/>
    </w:pPr>
    <w:rPr>
      <w:kern w:val="0"/>
      <w:sz w:val="24"/>
    </w:rPr>
  </w:style>
  <w:style w:type="paragraph" w:customStyle="1" w:styleId="5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font11"/>
    <w:qFormat/>
    <w:uiPriority w:val="0"/>
    <w:rPr>
      <w:rFonts w:hint="eastAsia" w:ascii="宋体" w:hAnsi="宋体" w:eastAsia="宋体" w:cs="宋体"/>
      <w:color w:val="000000"/>
      <w:sz w:val="22"/>
      <w:szCs w:val="22"/>
      <w:u w:val="none"/>
    </w:rPr>
  </w:style>
  <w:style w:type="character" w:customStyle="1" w:styleId="62">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1947</Words>
  <Characters>2068</Characters>
  <Lines>102</Lines>
  <Paragraphs>28</Paragraphs>
  <TotalTime>1</TotalTime>
  <ScaleCrop>false</ScaleCrop>
  <LinksUpToDate>false</LinksUpToDate>
  <CharactersWithSpaces>2091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2021-08-26T08:45:00Z</dcterms:created>
  <dc:creator>user</dc:creator>
  <cp:lastModifiedBy>卷起千堆雪</cp:lastModifiedBy>
  <cp:lastPrinted>2021-08-10T02:29:00Z</cp:lastPrinted>
  <dcterms:modified xsi:type="dcterms:W3CDTF">2026-05-25T07:30:41Z</dcterms:modified>
  <dc:title>重庆市公检法系统公务用车议标项目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A3817784AFAF4621BD423AAD7B420C7A_13</vt:lpwstr>
  </property>
  <property fmtid="{D5CDD505-2E9C-101B-9397-08002B2CF9AE}" pid="4" name="KSOTemplateDocerSaveRecord">
    <vt:lpwstr>eyJoZGlkIjoiZjk0MzBhOWQ1ZDJiOWMwZjUxOGI3ZmMzOTk1ZGI1ZGEiLCJ1c2VySWQiOiIxMTQ2NTc1NDM2In0=</vt:lpwstr>
  </property>
</Properties>
</file>