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C661">
      <w:pPr>
        <w:pStyle w:val="4"/>
        <w:spacing w:line="360" w:lineRule="auto"/>
        <w:jc w:val="center"/>
        <w:rPr>
          <w:rFonts w:hint="eastAsia" w:eastAsia="黑体"/>
          <w:sz w:val="36"/>
          <w:highlight w:val="none"/>
          <w:lang w:eastAsia="zh-CN"/>
        </w:rPr>
      </w:pPr>
      <w:bookmarkStart w:id="0" w:name="_Toc29639"/>
      <w:bookmarkStart w:id="1" w:name="_Toc25725118"/>
      <w:r>
        <w:rPr>
          <w:rFonts w:hint="eastAsia"/>
          <w:sz w:val="36"/>
          <w:highlight w:val="none"/>
        </w:rPr>
        <w:t>询价采购</w:t>
      </w:r>
      <w:bookmarkEnd w:id="0"/>
      <w:bookmarkEnd w:id="1"/>
      <w:r>
        <w:rPr>
          <w:rFonts w:hint="eastAsia"/>
          <w:sz w:val="36"/>
          <w:highlight w:val="none"/>
          <w:lang w:val="en-US" w:eastAsia="zh-CN"/>
        </w:rPr>
        <w:t>公告</w:t>
      </w:r>
    </w:p>
    <w:p w14:paraId="36436E3D">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val="en-US" w:eastAsia="zh-CN"/>
        </w:rPr>
        <w:t>T3视频补盲机房UPS电池采购项目（二次）</w:t>
      </w:r>
      <w:r>
        <w:rPr>
          <w:rFonts w:hint="eastAsia"/>
          <w:highlight w:val="none"/>
        </w:rPr>
        <w:t>进行询价，湖北机场集团信息科技有限公司负责经办，所有询价采购事宜由湖北机场集团信息科技有限公司负责联系。</w:t>
      </w:r>
    </w:p>
    <w:p w14:paraId="4621F38A">
      <w:pPr>
        <w:pStyle w:val="5"/>
        <w:numPr>
          <w:ilvl w:val="0"/>
          <w:numId w:val="3"/>
        </w:numPr>
        <w:spacing w:line="360" w:lineRule="auto"/>
        <w:rPr>
          <w:sz w:val="30"/>
          <w:highlight w:val="none"/>
        </w:rPr>
      </w:pPr>
      <w:bookmarkStart w:id="2" w:name="_Toc18478"/>
      <w:bookmarkStart w:id="3" w:name="_Toc25725119"/>
      <w:bookmarkStart w:id="4" w:name="_Toc11641051"/>
      <w:r>
        <w:rPr>
          <w:rFonts w:hint="eastAsia"/>
          <w:sz w:val="30"/>
          <w:highlight w:val="none"/>
        </w:rPr>
        <w:t>询价内容：</w:t>
      </w:r>
      <w:bookmarkEnd w:id="2"/>
    </w:p>
    <w:tbl>
      <w:tblPr>
        <w:tblStyle w:val="37"/>
        <w:tblW w:w="9093" w:type="dxa"/>
        <w:jc w:val="center"/>
        <w:tblLayout w:type="autofit"/>
        <w:tblCellMar>
          <w:top w:w="0" w:type="dxa"/>
          <w:left w:w="108" w:type="dxa"/>
          <w:bottom w:w="0" w:type="dxa"/>
          <w:right w:w="108" w:type="dxa"/>
        </w:tblCellMar>
      </w:tblPr>
      <w:tblGrid>
        <w:gridCol w:w="651"/>
        <w:gridCol w:w="2411"/>
        <w:gridCol w:w="3402"/>
        <w:gridCol w:w="709"/>
        <w:gridCol w:w="708"/>
        <w:gridCol w:w="1212"/>
      </w:tblGrid>
      <w:tr w14:paraId="48487DCA">
        <w:tblPrEx>
          <w:tblCellMar>
            <w:top w:w="0" w:type="dxa"/>
            <w:left w:w="108" w:type="dxa"/>
            <w:bottom w:w="0" w:type="dxa"/>
            <w:right w:w="108" w:type="dxa"/>
          </w:tblCellMar>
        </w:tblPrEx>
        <w:trPr>
          <w:trHeight w:val="60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67AA5217">
            <w:pPr>
              <w:jc w:val="center"/>
              <w:rPr>
                <w:color w:val="000000"/>
                <w:sz w:val="21"/>
                <w:szCs w:val="21"/>
                <w:highlight w:val="none"/>
              </w:rPr>
            </w:pPr>
            <w:r>
              <w:rPr>
                <w:rFonts w:hint="eastAsia"/>
                <w:color w:val="000000"/>
                <w:sz w:val="21"/>
                <w:szCs w:val="21"/>
                <w:highlight w:val="none"/>
              </w:rPr>
              <w:t>序号</w:t>
            </w:r>
          </w:p>
        </w:tc>
        <w:tc>
          <w:tcPr>
            <w:tcW w:w="2411" w:type="dxa"/>
            <w:tcBorders>
              <w:top w:val="single" w:color="auto" w:sz="4" w:space="0"/>
              <w:left w:val="nil"/>
              <w:bottom w:val="single" w:color="auto" w:sz="4" w:space="0"/>
              <w:right w:val="single" w:color="auto" w:sz="4" w:space="0"/>
            </w:tcBorders>
            <w:noWrap w:val="0"/>
            <w:vAlign w:val="center"/>
          </w:tcPr>
          <w:p w14:paraId="19AAAAE0">
            <w:pPr>
              <w:jc w:val="center"/>
              <w:rPr>
                <w:rFonts w:hint="eastAsia"/>
                <w:color w:val="000000"/>
                <w:sz w:val="21"/>
                <w:szCs w:val="21"/>
                <w:highlight w:val="none"/>
              </w:rPr>
            </w:pPr>
            <w:r>
              <w:rPr>
                <w:rFonts w:hint="eastAsia"/>
                <w:color w:val="000000"/>
                <w:sz w:val="21"/>
                <w:szCs w:val="21"/>
                <w:highlight w:val="none"/>
              </w:rPr>
              <w:t>项目名称</w:t>
            </w:r>
          </w:p>
        </w:tc>
        <w:tc>
          <w:tcPr>
            <w:tcW w:w="3402" w:type="dxa"/>
            <w:tcBorders>
              <w:top w:val="single" w:color="auto" w:sz="4" w:space="0"/>
              <w:left w:val="nil"/>
              <w:bottom w:val="single" w:color="auto" w:sz="4" w:space="0"/>
              <w:right w:val="single" w:color="auto" w:sz="4" w:space="0"/>
            </w:tcBorders>
            <w:noWrap w:val="0"/>
            <w:vAlign w:val="center"/>
          </w:tcPr>
          <w:p w14:paraId="5626A010">
            <w:pPr>
              <w:jc w:val="center"/>
              <w:rPr>
                <w:rFonts w:hint="eastAsia"/>
                <w:color w:val="000000"/>
                <w:sz w:val="21"/>
                <w:szCs w:val="21"/>
                <w:highlight w:val="none"/>
              </w:rPr>
            </w:pPr>
            <w:r>
              <w:rPr>
                <w:rFonts w:hint="eastAsia"/>
                <w:color w:val="000000"/>
                <w:sz w:val="21"/>
                <w:szCs w:val="21"/>
                <w:highlight w:val="none"/>
              </w:rPr>
              <w:t>说明</w:t>
            </w:r>
          </w:p>
        </w:tc>
        <w:tc>
          <w:tcPr>
            <w:tcW w:w="709" w:type="dxa"/>
            <w:tcBorders>
              <w:top w:val="single" w:color="auto" w:sz="4" w:space="0"/>
              <w:left w:val="nil"/>
              <w:bottom w:val="single" w:color="auto" w:sz="4" w:space="0"/>
              <w:right w:val="single" w:color="auto" w:sz="4" w:space="0"/>
            </w:tcBorders>
            <w:noWrap w:val="0"/>
            <w:vAlign w:val="center"/>
          </w:tcPr>
          <w:p w14:paraId="7AA1C6E2">
            <w:pPr>
              <w:jc w:val="center"/>
              <w:rPr>
                <w:rFonts w:hint="eastAsia"/>
                <w:color w:val="000000"/>
                <w:sz w:val="21"/>
                <w:szCs w:val="21"/>
                <w:highlight w:val="none"/>
              </w:rPr>
            </w:pPr>
            <w:r>
              <w:rPr>
                <w:rFonts w:hint="eastAsia"/>
                <w:color w:val="000000"/>
                <w:sz w:val="21"/>
                <w:szCs w:val="21"/>
                <w:highlight w:val="none"/>
              </w:rPr>
              <w:t>数量</w:t>
            </w:r>
          </w:p>
        </w:tc>
        <w:tc>
          <w:tcPr>
            <w:tcW w:w="708" w:type="dxa"/>
            <w:tcBorders>
              <w:top w:val="single" w:color="auto" w:sz="4" w:space="0"/>
              <w:left w:val="nil"/>
              <w:bottom w:val="single" w:color="auto" w:sz="4" w:space="0"/>
              <w:right w:val="single" w:color="auto" w:sz="4" w:space="0"/>
            </w:tcBorders>
            <w:noWrap w:val="0"/>
            <w:vAlign w:val="center"/>
          </w:tcPr>
          <w:p w14:paraId="25FBFE64">
            <w:pPr>
              <w:jc w:val="center"/>
              <w:rPr>
                <w:rFonts w:hint="eastAsia"/>
                <w:color w:val="000000"/>
                <w:sz w:val="21"/>
                <w:szCs w:val="21"/>
                <w:highlight w:val="none"/>
              </w:rPr>
            </w:pPr>
            <w:r>
              <w:rPr>
                <w:rFonts w:hint="eastAsia"/>
                <w:color w:val="000000"/>
                <w:sz w:val="21"/>
                <w:szCs w:val="21"/>
                <w:highlight w:val="none"/>
              </w:rPr>
              <w:t>单位</w:t>
            </w:r>
          </w:p>
        </w:tc>
        <w:tc>
          <w:tcPr>
            <w:tcW w:w="1212" w:type="dxa"/>
            <w:tcBorders>
              <w:top w:val="single" w:color="auto" w:sz="4" w:space="0"/>
              <w:left w:val="nil"/>
              <w:bottom w:val="single" w:color="auto" w:sz="4" w:space="0"/>
              <w:right w:val="single" w:color="auto" w:sz="4" w:space="0"/>
            </w:tcBorders>
            <w:noWrap w:val="0"/>
            <w:vAlign w:val="center"/>
          </w:tcPr>
          <w:p w14:paraId="0EAAFCE0">
            <w:pPr>
              <w:jc w:val="center"/>
              <w:rPr>
                <w:rFonts w:hint="eastAsia"/>
                <w:color w:val="000000"/>
                <w:sz w:val="21"/>
                <w:szCs w:val="21"/>
                <w:highlight w:val="none"/>
              </w:rPr>
            </w:pPr>
            <w:r>
              <w:rPr>
                <w:rFonts w:hint="eastAsia"/>
                <w:color w:val="000000"/>
                <w:sz w:val="21"/>
                <w:szCs w:val="21"/>
                <w:highlight w:val="none"/>
              </w:rPr>
              <w:t>备注</w:t>
            </w:r>
          </w:p>
        </w:tc>
      </w:tr>
      <w:tr w14:paraId="013E33EB">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050EF7C6">
            <w:pPr>
              <w:jc w:val="center"/>
              <w:rPr>
                <w:rFonts w:hint="eastAsia"/>
                <w:color w:val="000000"/>
                <w:sz w:val="21"/>
                <w:szCs w:val="21"/>
                <w:highlight w:val="none"/>
              </w:rPr>
            </w:pPr>
            <w:r>
              <w:rPr>
                <w:rFonts w:hint="eastAsia"/>
                <w:color w:val="000000"/>
                <w:sz w:val="21"/>
                <w:szCs w:val="21"/>
                <w:highlight w:val="none"/>
              </w:rPr>
              <w:t>1</w:t>
            </w:r>
          </w:p>
        </w:tc>
        <w:tc>
          <w:tcPr>
            <w:tcW w:w="2411" w:type="dxa"/>
            <w:tcBorders>
              <w:top w:val="nil"/>
              <w:left w:val="nil"/>
              <w:bottom w:val="single" w:color="auto" w:sz="4" w:space="0"/>
              <w:right w:val="single" w:color="auto" w:sz="4" w:space="0"/>
            </w:tcBorders>
            <w:noWrap w:val="0"/>
            <w:vAlign w:val="center"/>
          </w:tcPr>
          <w:p w14:paraId="79E72C4D">
            <w:pPr>
              <w:jc w:val="center"/>
              <w:rPr>
                <w:rFonts w:hint="eastAsia"/>
                <w:color w:val="000000"/>
                <w:sz w:val="21"/>
                <w:szCs w:val="21"/>
                <w:highlight w:val="none"/>
              </w:rPr>
            </w:pPr>
            <w:r>
              <w:rPr>
                <w:rFonts w:hint="eastAsia"/>
                <w:color w:val="000000"/>
                <w:sz w:val="21"/>
                <w:szCs w:val="21"/>
                <w:highlight w:val="none"/>
              </w:rPr>
              <w:t>旧电池组拆除及搬运</w:t>
            </w:r>
          </w:p>
        </w:tc>
        <w:tc>
          <w:tcPr>
            <w:tcW w:w="3402" w:type="dxa"/>
            <w:tcBorders>
              <w:top w:val="nil"/>
              <w:left w:val="nil"/>
              <w:bottom w:val="single" w:color="auto" w:sz="4" w:space="0"/>
              <w:right w:val="single" w:color="auto" w:sz="4" w:space="0"/>
            </w:tcBorders>
            <w:noWrap w:val="0"/>
            <w:vAlign w:val="center"/>
          </w:tcPr>
          <w:p w14:paraId="610312EA">
            <w:pPr>
              <w:jc w:val="center"/>
              <w:rPr>
                <w:rFonts w:hint="eastAsia"/>
                <w:color w:val="000000"/>
                <w:sz w:val="21"/>
                <w:szCs w:val="21"/>
                <w:highlight w:val="none"/>
              </w:rPr>
            </w:pPr>
            <w:r>
              <w:rPr>
                <w:rFonts w:hint="eastAsia"/>
                <w:color w:val="000000"/>
                <w:sz w:val="21"/>
                <w:szCs w:val="21"/>
                <w:highlight w:val="none"/>
              </w:rPr>
              <w:t>12V90AH，60节</w:t>
            </w:r>
          </w:p>
        </w:tc>
        <w:tc>
          <w:tcPr>
            <w:tcW w:w="709" w:type="dxa"/>
            <w:tcBorders>
              <w:top w:val="nil"/>
              <w:left w:val="nil"/>
              <w:bottom w:val="single" w:color="auto" w:sz="4" w:space="0"/>
              <w:right w:val="single" w:color="auto" w:sz="4" w:space="0"/>
            </w:tcBorders>
            <w:noWrap w:val="0"/>
            <w:vAlign w:val="center"/>
          </w:tcPr>
          <w:p w14:paraId="09D7150F">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619C0F88">
            <w:pPr>
              <w:jc w:val="center"/>
              <w:rPr>
                <w:rFonts w:hint="eastAsia"/>
                <w:color w:val="000000"/>
                <w:sz w:val="21"/>
                <w:szCs w:val="21"/>
                <w:highlight w:val="none"/>
              </w:rPr>
            </w:pPr>
            <w:r>
              <w:rPr>
                <w:rFonts w:hint="eastAsia"/>
                <w:color w:val="000000"/>
                <w:sz w:val="21"/>
                <w:szCs w:val="21"/>
                <w:highlight w:val="none"/>
              </w:rPr>
              <w:t>节</w:t>
            </w:r>
          </w:p>
        </w:tc>
        <w:tc>
          <w:tcPr>
            <w:tcW w:w="1212" w:type="dxa"/>
            <w:vMerge w:val="restart"/>
            <w:tcBorders>
              <w:top w:val="nil"/>
              <w:left w:val="nil"/>
              <w:right w:val="single" w:color="auto" w:sz="4" w:space="0"/>
            </w:tcBorders>
            <w:noWrap w:val="0"/>
            <w:vAlign w:val="center"/>
          </w:tcPr>
          <w:p w14:paraId="0F5DE1D2">
            <w:pPr>
              <w:rPr>
                <w:rFonts w:hint="eastAsia"/>
                <w:color w:val="000000"/>
                <w:sz w:val="21"/>
                <w:szCs w:val="21"/>
                <w:highlight w:val="none"/>
              </w:rPr>
            </w:pPr>
            <w:r>
              <w:rPr>
                <w:rFonts w:hint="eastAsia"/>
                <w:color w:val="000000"/>
                <w:sz w:val="21"/>
                <w:szCs w:val="21"/>
                <w:highlight w:val="none"/>
              </w:rPr>
              <w:t>负责把拆除的旧电池搬运到</w:t>
            </w:r>
            <w:r>
              <w:rPr>
                <w:rFonts w:hint="eastAsia"/>
                <w:color w:val="000000"/>
                <w:sz w:val="21"/>
                <w:szCs w:val="21"/>
                <w:highlight w:val="none"/>
                <w:lang w:val="en-US" w:eastAsia="zh-CN"/>
              </w:rPr>
              <w:t>天河机场内</w:t>
            </w:r>
            <w:r>
              <w:rPr>
                <w:rFonts w:hint="eastAsia"/>
                <w:color w:val="000000"/>
                <w:sz w:val="21"/>
                <w:szCs w:val="21"/>
                <w:highlight w:val="none"/>
              </w:rPr>
              <w:t>指定</w:t>
            </w:r>
            <w:r>
              <w:rPr>
                <w:rFonts w:hint="eastAsia"/>
                <w:color w:val="000000"/>
                <w:sz w:val="21"/>
                <w:szCs w:val="21"/>
                <w:highlight w:val="none"/>
                <w:lang w:val="en-US" w:eastAsia="zh-CN"/>
              </w:rPr>
              <w:t>存放</w:t>
            </w:r>
            <w:r>
              <w:rPr>
                <w:rFonts w:hint="eastAsia"/>
                <w:color w:val="000000"/>
                <w:sz w:val="21"/>
                <w:szCs w:val="21"/>
                <w:highlight w:val="none"/>
              </w:rPr>
              <w:t>位置</w:t>
            </w:r>
          </w:p>
        </w:tc>
      </w:tr>
      <w:tr w14:paraId="5149F404">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238CCB22">
            <w:pPr>
              <w:jc w:val="center"/>
              <w:rPr>
                <w:rFonts w:hint="eastAsia"/>
                <w:color w:val="000000"/>
                <w:sz w:val="21"/>
                <w:szCs w:val="21"/>
                <w:highlight w:val="none"/>
              </w:rPr>
            </w:pPr>
            <w:r>
              <w:rPr>
                <w:rFonts w:hint="eastAsia"/>
                <w:color w:val="000000"/>
                <w:sz w:val="21"/>
                <w:szCs w:val="21"/>
                <w:highlight w:val="none"/>
              </w:rPr>
              <w:t>2</w:t>
            </w:r>
          </w:p>
        </w:tc>
        <w:tc>
          <w:tcPr>
            <w:tcW w:w="2411" w:type="dxa"/>
            <w:tcBorders>
              <w:top w:val="nil"/>
              <w:left w:val="nil"/>
              <w:bottom w:val="single" w:color="auto" w:sz="4" w:space="0"/>
              <w:right w:val="single" w:color="auto" w:sz="4" w:space="0"/>
            </w:tcBorders>
            <w:noWrap w:val="0"/>
            <w:vAlign w:val="center"/>
          </w:tcPr>
          <w:p w14:paraId="6A9AEFBA">
            <w:pPr>
              <w:jc w:val="center"/>
              <w:rPr>
                <w:rFonts w:hint="eastAsia"/>
                <w:color w:val="000000"/>
                <w:sz w:val="21"/>
                <w:szCs w:val="21"/>
                <w:highlight w:val="none"/>
              </w:rPr>
            </w:pPr>
            <w:r>
              <w:rPr>
                <w:rFonts w:hint="eastAsia"/>
                <w:color w:val="000000"/>
                <w:sz w:val="21"/>
                <w:szCs w:val="21"/>
                <w:highlight w:val="none"/>
              </w:rPr>
              <w:t>新密封铅酸阀控蓄电池</w:t>
            </w:r>
          </w:p>
        </w:tc>
        <w:tc>
          <w:tcPr>
            <w:tcW w:w="3402" w:type="dxa"/>
            <w:tcBorders>
              <w:top w:val="nil"/>
              <w:left w:val="nil"/>
              <w:bottom w:val="single" w:color="auto" w:sz="4" w:space="0"/>
              <w:right w:val="single" w:color="auto" w:sz="4" w:space="0"/>
            </w:tcBorders>
            <w:noWrap w:val="0"/>
            <w:vAlign w:val="center"/>
          </w:tcPr>
          <w:p w14:paraId="5694EF9C">
            <w:pPr>
              <w:jc w:val="center"/>
              <w:rPr>
                <w:rFonts w:hint="eastAsia"/>
                <w:color w:val="000000"/>
                <w:sz w:val="21"/>
                <w:szCs w:val="21"/>
                <w:highlight w:val="none"/>
              </w:rPr>
            </w:pPr>
            <w:r>
              <w:rPr>
                <w:rFonts w:hint="eastAsia"/>
                <w:color w:val="000000"/>
                <w:sz w:val="21"/>
                <w:szCs w:val="21"/>
                <w:highlight w:val="none"/>
              </w:rPr>
              <w:t>12V100AH；2组/每组30节</w:t>
            </w:r>
          </w:p>
        </w:tc>
        <w:tc>
          <w:tcPr>
            <w:tcW w:w="709" w:type="dxa"/>
            <w:tcBorders>
              <w:top w:val="nil"/>
              <w:left w:val="nil"/>
              <w:bottom w:val="single" w:color="auto" w:sz="4" w:space="0"/>
              <w:right w:val="single" w:color="auto" w:sz="4" w:space="0"/>
            </w:tcBorders>
            <w:noWrap w:val="0"/>
            <w:vAlign w:val="center"/>
          </w:tcPr>
          <w:p w14:paraId="73EC3E8C">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454AF399">
            <w:pPr>
              <w:jc w:val="center"/>
              <w:rPr>
                <w:rFonts w:hint="eastAsia"/>
                <w:color w:val="000000"/>
                <w:sz w:val="21"/>
                <w:szCs w:val="21"/>
                <w:highlight w:val="none"/>
              </w:rPr>
            </w:pPr>
            <w:r>
              <w:rPr>
                <w:rFonts w:hint="eastAsia"/>
                <w:color w:val="000000"/>
                <w:sz w:val="21"/>
                <w:szCs w:val="21"/>
                <w:highlight w:val="none"/>
              </w:rPr>
              <w:t>节</w:t>
            </w:r>
          </w:p>
        </w:tc>
        <w:tc>
          <w:tcPr>
            <w:tcW w:w="1212" w:type="dxa"/>
            <w:vMerge w:val="continue"/>
            <w:tcBorders>
              <w:left w:val="nil"/>
              <w:right w:val="single" w:color="auto" w:sz="4" w:space="0"/>
            </w:tcBorders>
            <w:noWrap w:val="0"/>
            <w:vAlign w:val="top"/>
          </w:tcPr>
          <w:p w14:paraId="0B0DEB05">
            <w:pPr>
              <w:jc w:val="center"/>
              <w:rPr>
                <w:rFonts w:hint="eastAsia"/>
                <w:color w:val="000000"/>
                <w:sz w:val="21"/>
                <w:szCs w:val="21"/>
                <w:highlight w:val="none"/>
              </w:rPr>
            </w:pPr>
          </w:p>
        </w:tc>
      </w:tr>
      <w:tr w14:paraId="656E440C">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0A55A539">
            <w:pPr>
              <w:jc w:val="center"/>
              <w:rPr>
                <w:rFonts w:hint="eastAsia"/>
                <w:color w:val="000000"/>
                <w:sz w:val="21"/>
                <w:szCs w:val="21"/>
                <w:highlight w:val="none"/>
              </w:rPr>
            </w:pPr>
            <w:r>
              <w:rPr>
                <w:rFonts w:hint="eastAsia"/>
                <w:color w:val="000000"/>
                <w:sz w:val="21"/>
                <w:szCs w:val="21"/>
                <w:highlight w:val="none"/>
              </w:rPr>
              <w:t>3</w:t>
            </w:r>
          </w:p>
        </w:tc>
        <w:tc>
          <w:tcPr>
            <w:tcW w:w="2411" w:type="dxa"/>
            <w:tcBorders>
              <w:top w:val="nil"/>
              <w:left w:val="nil"/>
              <w:bottom w:val="single" w:color="auto" w:sz="4" w:space="0"/>
              <w:right w:val="single" w:color="auto" w:sz="4" w:space="0"/>
            </w:tcBorders>
            <w:noWrap w:val="0"/>
            <w:vAlign w:val="center"/>
          </w:tcPr>
          <w:p w14:paraId="0391228E">
            <w:pPr>
              <w:jc w:val="center"/>
              <w:rPr>
                <w:rFonts w:hint="eastAsia"/>
                <w:color w:val="000000"/>
                <w:sz w:val="21"/>
                <w:szCs w:val="21"/>
                <w:highlight w:val="none"/>
              </w:rPr>
            </w:pPr>
            <w:r>
              <w:rPr>
                <w:rFonts w:hint="eastAsia"/>
                <w:color w:val="000000"/>
                <w:sz w:val="21"/>
                <w:szCs w:val="21"/>
                <w:highlight w:val="none"/>
              </w:rPr>
              <w:t>辅材</w:t>
            </w:r>
          </w:p>
        </w:tc>
        <w:tc>
          <w:tcPr>
            <w:tcW w:w="3402" w:type="dxa"/>
            <w:tcBorders>
              <w:top w:val="nil"/>
              <w:left w:val="nil"/>
              <w:bottom w:val="single" w:color="auto" w:sz="4" w:space="0"/>
              <w:right w:val="single" w:color="auto" w:sz="4" w:space="0"/>
            </w:tcBorders>
            <w:noWrap w:val="0"/>
            <w:vAlign w:val="center"/>
          </w:tcPr>
          <w:p w14:paraId="75AC3CA5">
            <w:pPr>
              <w:jc w:val="center"/>
              <w:rPr>
                <w:rFonts w:hint="eastAsia"/>
                <w:color w:val="000000"/>
                <w:sz w:val="21"/>
                <w:szCs w:val="21"/>
                <w:highlight w:val="none"/>
              </w:rPr>
            </w:pPr>
            <w:r>
              <w:rPr>
                <w:rFonts w:hint="eastAsia"/>
                <w:color w:val="000000"/>
                <w:sz w:val="21"/>
                <w:szCs w:val="21"/>
                <w:highlight w:val="none"/>
              </w:rPr>
              <w:t>连接铜排、承接铜缆、热缩套管、扎带等</w:t>
            </w:r>
          </w:p>
        </w:tc>
        <w:tc>
          <w:tcPr>
            <w:tcW w:w="709" w:type="dxa"/>
            <w:tcBorders>
              <w:top w:val="nil"/>
              <w:left w:val="nil"/>
              <w:bottom w:val="single" w:color="auto" w:sz="4" w:space="0"/>
              <w:right w:val="single" w:color="auto" w:sz="4" w:space="0"/>
            </w:tcBorders>
            <w:noWrap w:val="0"/>
            <w:vAlign w:val="center"/>
          </w:tcPr>
          <w:p w14:paraId="693006C2">
            <w:pPr>
              <w:jc w:val="center"/>
              <w:rPr>
                <w:rFonts w:hint="eastAsia"/>
                <w:color w:val="000000"/>
                <w:sz w:val="21"/>
                <w:szCs w:val="21"/>
                <w:highlight w:val="none"/>
              </w:rPr>
            </w:pPr>
            <w:r>
              <w:rPr>
                <w:rFonts w:hint="eastAsia"/>
                <w:color w:val="000000"/>
                <w:sz w:val="21"/>
                <w:szCs w:val="21"/>
                <w:highlight w:val="none"/>
              </w:rPr>
              <w:t>1</w:t>
            </w:r>
          </w:p>
        </w:tc>
        <w:tc>
          <w:tcPr>
            <w:tcW w:w="708" w:type="dxa"/>
            <w:tcBorders>
              <w:top w:val="nil"/>
              <w:left w:val="nil"/>
              <w:bottom w:val="single" w:color="auto" w:sz="4" w:space="0"/>
              <w:right w:val="single" w:color="auto" w:sz="4" w:space="0"/>
            </w:tcBorders>
            <w:noWrap w:val="0"/>
            <w:vAlign w:val="center"/>
          </w:tcPr>
          <w:p w14:paraId="290ED5DA">
            <w:pPr>
              <w:jc w:val="center"/>
              <w:rPr>
                <w:rFonts w:hint="eastAsia"/>
                <w:color w:val="000000"/>
                <w:sz w:val="21"/>
                <w:szCs w:val="21"/>
                <w:highlight w:val="none"/>
              </w:rPr>
            </w:pPr>
            <w:r>
              <w:rPr>
                <w:rFonts w:hint="eastAsia"/>
                <w:color w:val="000000"/>
                <w:sz w:val="21"/>
                <w:szCs w:val="21"/>
                <w:highlight w:val="none"/>
              </w:rPr>
              <w:t>批</w:t>
            </w:r>
          </w:p>
        </w:tc>
        <w:tc>
          <w:tcPr>
            <w:tcW w:w="1212" w:type="dxa"/>
            <w:vMerge w:val="continue"/>
            <w:tcBorders>
              <w:left w:val="nil"/>
              <w:right w:val="single" w:color="auto" w:sz="4" w:space="0"/>
            </w:tcBorders>
            <w:noWrap w:val="0"/>
            <w:vAlign w:val="top"/>
          </w:tcPr>
          <w:p w14:paraId="3BFC8F2D">
            <w:pPr>
              <w:jc w:val="center"/>
              <w:rPr>
                <w:rFonts w:hint="eastAsia"/>
                <w:color w:val="000000"/>
                <w:sz w:val="21"/>
                <w:szCs w:val="21"/>
                <w:highlight w:val="none"/>
              </w:rPr>
            </w:pPr>
          </w:p>
        </w:tc>
      </w:tr>
      <w:tr w14:paraId="4474F103">
        <w:tblPrEx>
          <w:tblCellMar>
            <w:top w:w="0" w:type="dxa"/>
            <w:left w:w="108" w:type="dxa"/>
            <w:bottom w:w="0" w:type="dxa"/>
            <w:right w:w="108" w:type="dxa"/>
          </w:tblCellMar>
        </w:tblPrEx>
        <w:trPr>
          <w:trHeight w:val="600" w:hRule="atLeast"/>
          <w:jc w:val="center"/>
        </w:trPr>
        <w:tc>
          <w:tcPr>
            <w:tcW w:w="651" w:type="dxa"/>
            <w:tcBorders>
              <w:top w:val="nil"/>
              <w:left w:val="single" w:color="auto" w:sz="4" w:space="0"/>
              <w:bottom w:val="single" w:color="auto" w:sz="4" w:space="0"/>
              <w:right w:val="single" w:color="auto" w:sz="4" w:space="0"/>
            </w:tcBorders>
            <w:noWrap w:val="0"/>
            <w:vAlign w:val="center"/>
          </w:tcPr>
          <w:p w14:paraId="77B942A5">
            <w:pPr>
              <w:jc w:val="center"/>
              <w:rPr>
                <w:rFonts w:hint="eastAsia"/>
                <w:color w:val="000000"/>
                <w:sz w:val="21"/>
                <w:szCs w:val="21"/>
                <w:highlight w:val="none"/>
              </w:rPr>
            </w:pPr>
            <w:r>
              <w:rPr>
                <w:rFonts w:hint="eastAsia"/>
                <w:color w:val="000000"/>
                <w:sz w:val="21"/>
                <w:szCs w:val="21"/>
                <w:highlight w:val="none"/>
              </w:rPr>
              <w:t>4</w:t>
            </w:r>
          </w:p>
        </w:tc>
        <w:tc>
          <w:tcPr>
            <w:tcW w:w="2411" w:type="dxa"/>
            <w:tcBorders>
              <w:top w:val="nil"/>
              <w:left w:val="nil"/>
              <w:bottom w:val="single" w:color="auto" w:sz="4" w:space="0"/>
              <w:right w:val="single" w:color="auto" w:sz="4" w:space="0"/>
            </w:tcBorders>
            <w:noWrap w:val="0"/>
            <w:vAlign w:val="center"/>
          </w:tcPr>
          <w:p w14:paraId="7F80CFB1">
            <w:pPr>
              <w:jc w:val="center"/>
              <w:rPr>
                <w:rFonts w:hint="eastAsia"/>
                <w:color w:val="000000"/>
                <w:sz w:val="21"/>
                <w:szCs w:val="21"/>
                <w:highlight w:val="none"/>
              </w:rPr>
            </w:pPr>
            <w:r>
              <w:rPr>
                <w:rFonts w:hint="eastAsia"/>
                <w:color w:val="000000"/>
                <w:sz w:val="21"/>
                <w:szCs w:val="21"/>
                <w:highlight w:val="none"/>
              </w:rPr>
              <w:t>新电池组安装及调试费</w:t>
            </w:r>
          </w:p>
        </w:tc>
        <w:tc>
          <w:tcPr>
            <w:tcW w:w="3402" w:type="dxa"/>
            <w:tcBorders>
              <w:top w:val="nil"/>
              <w:left w:val="nil"/>
              <w:bottom w:val="single" w:color="auto" w:sz="4" w:space="0"/>
              <w:right w:val="single" w:color="auto" w:sz="4" w:space="0"/>
            </w:tcBorders>
            <w:noWrap w:val="0"/>
            <w:vAlign w:val="center"/>
          </w:tcPr>
          <w:p w14:paraId="2343DD2B">
            <w:pPr>
              <w:jc w:val="center"/>
              <w:rPr>
                <w:rFonts w:hint="eastAsia"/>
                <w:color w:val="000000"/>
                <w:sz w:val="21"/>
                <w:szCs w:val="21"/>
                <w:highlight w:val="none"/>
              </w:rPr>
            </w:pPr>
            <w:r>
              <w:rPr>
                <w:rFonts w:hint="eastAsia"/>
                <w:color w:val="000000"/>
                <w:sz w:val="21"/>
                <w:szCs w:val="21"/>
                <w:highlight w:val="none"/>
              </w:rPr>
              <w:t>电池组安装连接及调试</w:t>
            </w:r>
          </w:p>
        </w:tc>
        <w:tc>
          <w:tcPr>
            <w:tcW w:w="709" w:type="dxa"/>
            <w:tcBorders>
              <w:top w:val="nil"/>
              <w:left w:val="nil"/>
              <w:bottom w:val="single" w:color="auto" w:sz="4" w:space="0"/>
              <w:right w:val="single" w:color="auto" w:sz="4" w:space="0"/>
            </w:tcBorders>
            <w:noWrap w:val="0"/>
            <w:vAlign w:val="center"/>
          </w:tcPr>
          <w:p w14:paraId="29CE9FE7">
            <w:pPr>
              <w:jc w:val="center"/>
              <w:rPr>
                <w:rFonts w:hint="eastAsia"/>
                <w:color w:val="000000"/>
                <w:sz w:val="21"/>
                <w:szCs w:val="21"/>
                <w:highlight w:val="none"/>
              </w:rPr>
            </w:pPr>
            <w:r>
              <w:rPr>
                <w:rFonts w:hint="eastAsia"/>
                <w:color w:val="000000"/>
                <w:sz w:val="21"/>
                <w:szCs w:val="21"/>
                <w:highlight w:val="none"/>
              </w:rPr>
              <w:t>60</w:t>
            </w:r>
          </w:p>
        </w:tc>
        <w:tc>
          <w:tcPr>
            <w:tcW w:w="708" w:type="dxa"/>
            <w:tcBorders>
              <w:top w:val="nil"/>
              <w:left w:val="nil"/>
              <w:bottom w:val="single" w:color="auto" w:sz="4" w:space="0"/>
              <w:right w:val="single" w:color="auto" w:sz="4" w:space="0"/>
            </w:tcBorders>
            <w:noWrap w:val="0"/>
            <w:vAlign w:val="center"/>
          </w:tcPr>
          <w:p w14:paraId="03B33169">
            <w:pPr>
              <w:jc w:val="center"/>
              <w:rPr>
                <w:rFonts w:hint="eastAsia"/>
                <w:color w:val="000000"/>
                <w:sz w:val="21"/>
                <w:szCs w:val="21"/>
                <w:highlight w:val="none"/>
              </w:rPr>
            </w:pPr>
            <w:r>
              <w:rPr>
                <w:rFonts w:hint="eastAsia"/>
                <w:color w:val="000000"/>
                <w:sz w:val="21"/>
                <w:szCs w:val="21"/>
                <w:highlight w:val="none"/>
              </w:rPr>
              <w:t>节</w:t>
            </w:r>
          </w:p>
        </w:tc>
        <w:tc>
          <w:tcPr>
            <w:tcW w:w="1212" w:type="dxa"/>
            <w:vMerge w:val="continue"/>
            <w:tcBorders>
              <w:left w:val="nil"/>
              <w:bottom w:val="single" w:color="auto" w:sz="4" w:space="0"/>
              <w:right w:val="single" w:color="auto" w:sz="4" w:space="0"/>
            </w:tcBorders>
            <w:noWrap w:val="0"/>
            <w:vAlign w:val="top"/>
          </w:tcPr>
          <w:p w14:paraId="327AB449">
            <w:pPr>
              <w:jc w:val="center"/>
              <w:rPr>
                <w:rFonts w:hint="eastAsia"/>
                <w:color w:val="000000"/>
                <w:sz w:val="21"/>
                <w:szCs w:val="21"/>
                <w:highlight w:val="none"/>
              </w:rPr>
            </w:pPr>
          </w:p>
        </w:tc>
      </w:tr>
    </w:tbl>
    <w:p w14:paraId="48912D4F">
      <w:pPr>
        <w:rPr>
          <w:rFonts w:hint="eastAsia"/>
          <w:highlight w:val="none"/>
        </w:rPr>
      </w:pPr>
    </w:p>
    <w:p w14:paraId="0143059E">
      <w:pPr>
        <w:rPr>
          <w:highlight w:val="none"/>
        </w:rPr>
      </w:pPr>
    </w:p>
    <w:p w14:paraId="38DDB456">
      <w:pPr>
        <w:rPr>
          <w:rFonts w:hint="eastAsia"/>
          <w:highlight w:val="none"/>
        </w:rPr>
      </w:pPr>
    </w:p>
    <w:p w14:paraId="41A3C2BE">
      <w:pPr>
        <w:spacing w:line="360" w:lineRule="auto"/>
        <w:ind w:firstLine="480" w:firstLineChars="200"/>
        <w:rPr>
          <w:highlight w:val="none"/>
        </w:rPr>
      </w:pPr>
      <w:r>
        <w:rPr>
          <w:rFonts w:hint="eastAsia"/>
          <w:highlight w:val="none"/>
        </w:rPr>
        <w:t>采购预算（含税）：</w:t>
      </w:r>
      <w:r>
        <w:rPr>
          <w:rFonts w:hint="eastAsia"/>
          <w:highlight w:val="none"/>
          <w:u w:val="single"/>
        </w:rPr>
        <w:t>人民币</w:t>
      </w:r>
      <w:r>
        <w:rPr>
          <w:rFonts w:hint="eastAsia"/>
          <w:highlight w:val="none"/>
          <w:u w:val="single"/>
          <w:lang w:val="en-US" w:eastAsia="zh-CN"/>
        </w:rPr>
        <w:t>陆万捌仟元整</w:t>
      </w:r>
      <w:r>
        <w:rPr>
          <w:rFonts w:hint="eastAsia"/>
          <w:highlight w:val="none"/>
          <w:u w:val="single"/>
        </w:rPr>
        <w:t>（¥</w:t>
      </w:r>
      <w:r>
        <w:rPr>
          <w:rFonts w:hint="eastAsia"/>
          <w:highlight w:val="none"/>
          <w:u w:val="single"/>
          <w:lang w:val="en-US" w:eastAsia="zh-CN"/>
        </w:rPr>
        <w:t>68，000.00</w:t>
      </w:r>
      <w:r>
        <w:rPr>
          <w:rFonts w:hint="eastAsia"/>
          <w:highlight w:val="none"/>
          <w:u w:val="single"/>
        </w:rPr>
        <w:t>）</w:t>
      </w:r>
      <w:r>
        <w:rPr>
          <w:rFonts w:hint="eastAsia"/>
          <w:highlight w:val="none"/>
        </w:rPr>
        <w:t>，响应总报价超过采购预算金额的，其报价无效。总报价应包括完成项目所需的一切费用，包括但不限于运输费、质保期售后服务费、税费、保险费等。</w:t>
      </w:r>
    </w:p>
    <w:p w14:paraId="2F5EB42C">
      <w:pPr>
        <w:pStyle w:val="5"/>
        <w:spacing w:line="360" w:lineRule="auto"/>
        <w:ind w:firstLine="527"/>
        <w:rPr>
          <w:rFonts w:hint="eastAsia"/>
          <w:sz w:val="30"/>
          <w:highlight w:val="none"/>
        </w:rPr>
      </w:pPr>
      <w:bookmarkStart w:id="5" w:name="_Toc30183"/>
      <w:r>
        <w:rPr>
          <w:rFonts w:hint="eastAsia"/>
          <w:sz w:val="30"/>
          <w:highlight w:val="none"/>
        </w:rPr>
        <w:t>二、询价采购时间、地点</w:t>
      </w:r>
      <w:bookmarkEnd w:id="3"/>
      <w:bookmarkEnd w:id="4"/>
      <w:bookmarkEnd w:id="5"/>
    </w:p>
    <w:p w14:paraId="2E12A07A">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4F4429B8">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时间：2026年</w:t>
      </w:r>
      <w:r>
        <w:rPr>
          <w:rFonts w:hint="eastAsia"/>
          <w:highlight w:val="none"/>
          <w:lang w:val="en-US" w:eastAsia="zh-CN"/>
        </w:rPr>
        <w:t xml:space="preserve"> 5</w:t>
      </w:r>
      <w:r>
        <w:rPr>
          <w:rFonts w:hint="eastAsia"/>
          <w:highlight w:val="none"/>
        </w:rPr>
        <w:t>月</w:t>
      </w:r>
      <w:r>
        <w:rPr>
          <w:rFonts w:hint="eastAsia"/>
          <w:highlight w:val="none"/>
          <w:lang w:val="en-US" w:eastAsia="zh-CN"/>
        </w:rPr>
        <w:t xml:space="preserve">15 </w:t>
      </w:r>
      <w:r>
        <w:rPr>
          <w:rFonts w:hint="eastAsia"/>
          <w:highlight w:val="none"/>
        </w:rPr>
        <w:t>日至2026年</w:t>
      </w:r>
      <w:r>
        <w:rPr>
          <w:rFonts w:hint="eastAsia"/>
          <w:highlight w:val="none"/>
          <w:lang w:val="en-US" w:eastAsia="zh-CN"/>
        </w:rPr>
        <w:t xml:space="preserve">5 </w:t>
      </w:r>
      <w:r>
        <w:rPr>
          <w:rFonts w:hint="eastAsia"/>
          <w:highlight w:val="none"/>
        </w:rPr>
        <w:t>月</w:t>
      </w:r>
      <w:r>
        <w:rPr>
          <w:rFonts w:hint="eastAsia"/>
          <w:highlight w:val="none"/>
          <w:lang w:val="en-US" w:eastAsia="zh-CN"/>
        </w:rPr>
        <w:t xml:space="preserve"> 21</w:t>
      </w:r>
      <w:r>
        <w:rPr>
          <w:rFonts w:hint="eastAsia"/>
          <w:highlight w:val="none"/>
        </w:rPr>
        <w:t>日（北京时间每天上午9:30～11:30、下午14:00～16:00，法定节假日除外）。</w:t>
      </w:r>
    </w:p>
    <w:p w14:paraId="3A1826C2">
      <w:pPr>
        <w:snapToGrid w:val="0"/>
        <w:spacing w:line="360" w:lineRule="auto"/>
        <w:ind w:firstLine="480" w:firstLineChars="200"/>
        <w:rPr>
          <w:rFonts w:hint="eastAsia"/>
          <w:highlight w:val="none"/>
        </w:rPr>
      </w:pPr>
      <w:r>
        <w:rPr>
          <w:rFonts w:hint="eastAsia"/>
          <w:highlight w:val="none"/>
        </w:rPr>
        <w:t>（2）地点：湖北机场集团公司综合楼C326。</w:t>
      </w:r>
    </w:p>
    <w:p w14:paraId="6158A6D8">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1575040C">
      <w:pPr>
        <w:snapToGrid w:val="0"/>
        <w:spacing w:line="360" w:lineRule="auto"/>
        <w:ind w:left="142" w:leftChars="59"/>
        <w:rPr>
          <w:rFonts w:hint="eastAsia"/>
          <w:highlight w:val="none"/>
        </w:rPr>
      </w:pPr>
      <w:r>
        <w:rPr>
          <w:rFonts w:hint="eastAsia"/>
          <w:highlight w:val="none"/>
        </w:rPr>
        <w:t>2、投递报价文件地点：</w:t>
      </w:r>
    </w:p>
    <w:p w14:paraId="2F6F65C2">
      <w:pPr>
        <w:snapToGrid w:val="0"/>
        <w:spacing w:line="360" w:lineRule="auto"/>
        <w:ind w:firstLine="360" w:firstLineChars="150"/>
        <w:rPr>
          <w:highlight w:val="none"/>
        </w:rPr>
      </w:pPr>
      <w:r>
        <w:rPr>
          <w:rFonts w:hint="eastAsia"/>
          <w:highlight w:val="none"/>
        </w:rPr>
        <w:t xml:space="preserve"> 湖北机场集团公司综合楼C326</w:t>
      </w:r>
    </w:p>
    <w:p w14:paraId="4E04FA6F">
      <w:pPr>
        <w:tabs>
          <w:tab w:val="left" w:pos="426"/>
          <w:tab w:val="left" w:pos="993"/>
        </w:tabs>
        <w:snapToGrid w:val="0"/>
        <w:spacing w:line="360" w:lineRule="auto"/>
        <w:ind w:left="142" w:leftChars="59"/>
        <w:rPr>
          <w:rFonts w:hint="eastAsia"/>
          <w:highlight w:val="none"/>
        </w:rPr>
      </w:pPr>
      <w:r>
        <w:rPr>
          <w:rFonts w:hint="eastAsia"/>
          <w:highlight w:val="none"/>
        </w:rPr>
        <w:t>3、投递报价文件截止时间： 2026年</w:t>
      </w:r>
      <w:r>
        <w:rPr>
          <w:rFonts w:hint="eastAsia"/>
          <w:highlight w:val="none"/>
          <w:lang w:val="en-US" w:eastAsia="zh-CN"/>
        </w:rPr>
        <w:t xml:space="preserve"> 5</w:t>
      </w:r>
      <w:r>
        <w:rPr>
          <w:rFonts w:hint="eastAsia"/>
          <w:highlight w:val="none"/>
        </w:rPr>
        <w:t>月</w:t>
      </w:r>
      <w:r>
        <w:rPr>
          <w:rFonts w:hint="eastAsia"/>
          <w:highlight w:val="none"/>
          <w:lang w:val="en-US" w:eastAsia="zh-CN"/>
        </w:rPr>
        <w:t xml:space="preserve">22 </w:t>
      </w:r>
      <w:r>
        <w:rPr>
          <w:rFonts w:hint="eastAsia"/>
          <w:highlight w:val="none"/>
        </w:rPr>
        <w:t>日</w:t>
      </w:r>
      <w:r>
        <w:rPr>
          <w:rFonts w:hint="eastAsia"/>
          <w:highlight w:val="none"/>
          <w:lang w:val="en-US" w:eastAsia="zh-CN"/>
        </w:rPr>
        <w:t>10</w:t>
      </w:r>
      <w:r>
        <w:rPr>
          <w:rFonts w:hint="eastAsia"/>
          <w:highlight w:val="none"/>
        </w:rPr>
        <w:t>时</w:t>
      </w:r>
    </w:p>
    <w:p w14:paraId="6D361FCE">
      <w:pPr>
        <w:tabs>
          <w:tab w:val="left" w:pos="993"/>
        </w:tabs>
        <w:snapToGrid w:val="0"/>
        <w:spacing w:line="360" w:lineRule="auto"/>
        <w:ind w:left="139" w:leftChars="58" w:firstLine="1"/>
        <w:rPr>
          <w:rFonts w:hint="eastAsia"/>
          <w:highlight w:val="none"/>
        </w:rPr>
      </w:pPr>
      <w:r>
        <w:rPr>
          <w:rFonts w:hint="eastAsia"/>
          <w:highlight w:val="none"/>
        </w:rPr>
        <w:t>4、询价采购评审时间： 2026年</w:t>
      </w:r>
      <w:r>
        <w:rPr>
          <w:rFonts w:hint="eastAsia"/>
          <w:highlight w:val="none"/>
          <w:lang w:val="en-US" w:eastAsia="zh-CN"/>
        </w:rPr>
        <w:t xml:space="preserve"> 5</w:t>
      </w:r>
      <w:r>
        <w:rPr>
          <w:rFonts w:hint="eastAsia"/>
          <w:highlight w:val="none"/>
        </w:rPr>
        <w:t>月</w:t>
      </w:r>
      <w:r>
        <w:rPr>
          <w:rFonts w:hint="eastAsia"/>
          <w:highlight w:val="none"/>
          <w:lang w:val="en-US" w:eastAsia="zh-CN"/>
        </w:rPr>
        <w:t>22</w:t>
      </w:r>
      <w:bookmarkStart w:id="21" w:name="_GoBack"/>
      <w:bookmarkEnd w:id="21"/>
      <w:r>
        <w:rPr>
          <w:rFonts w:hint="eastAsia"/>
          <w:highlight w:val="none"/>
          <w:lang w:val="en-US" w:eastAsia="zh-CN"/>
        </w:rPr>
        <w:t xml:space="preserve"> </w:t>
      </w:r>
      <w:r>
        <w:rPr>
          <w:rFonts w:hint="eastAsia"/>
          <w:highlight w:val="none"/>
        </w:rPr>
        <w:t>日（遇情况依次顺延）</w:t>
      </w:r>
    </w:p>
    <w:p w14:paraId="0ECE643C">
      <w:pPr>
        <w:tabs>
          <w:tab w:val="left" w:pos="378"/>
          <w:tab w:val="left" w:pos="993"/>
        </w:tabs>
        <w:snapToGrid w:val="0"/>
        <w:spacing w:line="360" w:lineRule="auto"/>
        <w:ind w:left="142" w:leftChars="59"/>
        <w:rPr>
          <w:highlight w:val="none"/>
        </w:rPr>
      </w:pPr>
      <w:r>
        <w:rPr>
          <w:rFonts w:hint="eastAsia"/>
          <w:highlight w:val="none"/>
        </w:rPr>
        <w:t>5、联系方式：027-85818211、15007109078</w:t>
      </w:r>
    </w:p>
    <w:p w14:paraId="53CF5B51">
      <w:pPr>
        <w:snapToGrid w:val="0"/>
        <w:spacing w:line="360" w:lineRule="auto"/>
        <w:ind w:firstLine="480" w:firstLineChars="200"/>
        <w:rPr>
          <w:rFonts w:hint="eastAsia"/>
          <w:highlight w:val="none"/>
        </w:rPr>
      </w:pPr>
      <w:r>
        <w:rPr>
          <w:rFonts w:hint="eastAsia"/>
          <w:highlight w:val="none"/>
        </w:rPr>
        <w:t>联系人：周子健、陈广铠</w:t>
      </w:r>
    </w:p>
    <w:p w14:paraId="3E47A498">
      <w:pPr>
        <w:pStyle w:val="5"/>
        <w:spacing w:line="360" w:lineRule="auto"/>
        <w:ind w:firstLine="527"/>
        <w:rPr>
          <w:rFonts w:hint="eastAsia"/>
          <w:sz w:val="30"/>
          <w:highlight w:val="none"/>
        </w:rPr>
      </w:pPr>
      <w:bookmarkStart w:id="7" w:name="_Toc11873"/>
      <w:bookmarkStart w:id="8" w:name="_Toc11641053"/>
      <w:bookmarkStart w:id="9" w:name="_Toc25725120"/>
      <w:r>
        <w:rPr>
          <w:rFonts w:hint="eastAsia"/>
          <w:sz w:val="30"/>
          <w:highlight w:val="none"/>
        </w:rPr>
        <w:t>三、供应商资质要求：</w:t>
      </w:r>
      <w:bookmarkEnd w:id="7"/>
    </w:p>
    <w:p w14:paraId="2B5960FC">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59C4B706">
      <w:pPr>
        <w:snapToGrid w:val="0"/>
        <w:spacing w:line="360" w:lineRule="auto"/>
        <w:ind w:firstLine="480" w:firstLineChars="200"/>
        <w:rPr>
          <w:szCs w:val="28"/>
          <w:highlight w:val="none"/>
        </w:rPr>
      </w:pPr>
      <w:r>
        <w:rPr>
          <w:rFonts w:hint="eastAsia"/>
          <w:szCs w:val="28"/>
          <w:highlight w:val="none"/>
        </w:rPr>
        <w:t>（2）</w:t>
      </w:r>
      <w:bookmarkStart w:id="10" w:name="OLE_LINK4"/>
      <w:r>
        <w:rPr>
          <w:rFonts w:hint="eastAsia"/>
          <w:szCs w:val="28"/>
          <w:highlight w:val="none"/>
        </w:rPr>
        <w:t>供应商</w:t>
      </w:r>
      <w:bookmarkEnd w:id="10"/>
      <w:r>
        <w:rPr>
          <w:rFonts w:hint="eastAsia"/>
          <w:szCs w:val="28"/>
          <w:highlight w:val="none"/>
        </w:rPr>
        <w:t>应具备建筑机电安装工程专业承包（或机电工程施工总承包）二级及以上资质</w:t>
      </w:r>
      <w:r>
        <w:rPr>
          <w:szCs w:val="28"/>
          <w:highlight w:val="none"/>
        </w:rPr>
        <w:t>，且同时具有有效的安全生产许可证</w:t>
      </w:r>
      <w:r>
        <w:rPr>
          <w:rFonts w:hint="eastAsia"/>
          <w:szCs w:val="28"/>
          <w:highlight w:val="none"/>
        </w:rPr>
        <w:t>，在响应文件中</w:t>
      </w:r>
      <w:r>
        <w:rPr>
          <w:szCs w:val="28"/>
          <w:highlight w:val="none"/>
        </w:rPr>
        <w:t>提供</w:t>
      </w:r>
      <w:r>
        <w:rPr>
          <w:rFonts w:hint="eastAsia"/>
          <w:szCs w:val="28"/>
          <w:highlight w:val="none"/>
        </w:rPr>
        <w:t>有效期内的上述证书扫描件</w:t>
      </w:r>
      <w:r>
        <w:rPr>
          <w:szCs w:val="28"/>
          <w:highlight w:val="none"/>
        </w:rPr>
        <w:t>。</w:t>
      </w:r>
    </w:p>
    <w:p w14:paraId="310EB0A7">
      <w:pPr>
        <w:snapToGrid w:val="0"/>
        <w:spacing w:line="360" w:lineRule="auto"/>
        <w:ind w:firstLine="480" w:firstLineChars="200"/>
        <w:rPr>
          <w:szCs w:val="28"/>
          <w:highlight w:val="none"/>
        </w:rPr>
      </w:pPr>
      <w:r>
        <w:rPr>
          <w:rFonts w:hint="eastAsia"/>
          <w:szCs w:val="28"/>
          <w:highlight w:val="none"/>
        </w:rPr>
        <w:t>（3）</w:t>
      </w:r>
      <w:r>
        <w:rPr>
          <w:szCs w:val="28"/>
          <w:highlight w:val="none"/>
        </w:rPr>
        <w:t>参与项目的</w:t>
      </w:r>
      <w:r>
        <w:rPr>
          <w:rFonts w:hint="eastAsia"/>
          <w:szCs w:val="28"/>
          <w:highlight w:val="none"/>
        </w:rPr>
        <w:t>供应商</w:t>
      </w:r>
      <w:r>
        <w:rPr>
          <w:szCs w:val="28"/>
          <w:highlight w:val="none"/>
        </w:rPr>
        <w:t>工程师需持有中华人民共和国应急管理部监制的</w:t>
      </w:r>
      <w:r>
        <w:rPr>
          <w:rFonts w:hint="eastAsia"/>
          <w:szCs w:val="28"/>
          <w:highlight w:val="none"/>
        </w:rPr>
        <w:t>特种作业操作证（操作项目：低压电工作业），在响应文件中</w:t>
      </w:r>
      <w:r>
        <w:rPr>
          <w:szCs w:val="28"/>
          <w:highlight w:val="none"/>
        </w:rPr>
        <w:t>提供</w:t>
      </w:r>
      <w:r>
        <w:rPr>
          <w:rFonts w:hint="eastAsia"/>
          <w:szCs w:val="28"/>
          <w:highlight w:val="none"/>
        </w:rPr>
        <w:t>上述</w:t>
      </w:r>
      <w:r>
        <w:rPr>
          <w:szCs w:val="28"/>
          <w:highlight w:val="none"/>
        </w:rPr>
        <w:t>有效证书扫描件，持证人员不得少于</w:t>
      </w:r>
      <w:r>
        <w:rPr>
          <w:rFonts w:hint="eastAsia"/>
          <w:szCs w:val="28"/>
          <w:highlight w:val="none"/>
        </w:rPr>
        <w:t>2</w:t>
      </w:r>
      <w:r>
        <w:rPr>
          <w:szCs w:val="28"/>
          <w:highlight w:val="none"/>
        </w:rPr>
        <w:t>人</w:t>
      </w:r>
      <w:r>
        <w:rPr>
          <w:rFonts w:hint="eastAsia"/>
          <w:szCs w:val="28"/>
          <w:highlight w:val="none"/>
        </w:rPr>
        <w:t>，并提供相应人员在投标人单位社会保险参保证明</w:t>
      </w:r>
      <w:r>
        <w:rPr>
          <w:szCs w:val="28"/>
          <w:highlight w:val="none"/>
        </w:rPr>
        <w:t>。</w:t>
      </w:r>
    </w:p>
    <w:p w14:paraId="2CD0C03F">
      <w:pPr>
        <w:snapToGrid w:val="0"/>
        <w:spacing w:line="360" w:lineRule="auto"/>
        <w:ind w:firstLine="480" w:firstLineChars="200"/>
        <w:rPr>
          <w:szCs w:val="28"/>
          <w:highlight w:val="none"/>
        </w:rPr>
      </w:pPr>
      <w:r>
        <w:rPr>
          <w:rFonts w:hint="eastAsia"/>
          <w:szCs w:val="28"/>
          <w:highlight w:val="none"/>
        </w:rPr>
        <w:t>（4）供应商在近3年（2023年1月1日至今）完成过三个类似项目设备供货项目业绩【</w:t>
      </w:r>
      <w:r>
        <w:rPr>
          <w:szCs w:val="28"/>
          <w:highlight w:val="none"/>
        </w:rPr>
        <w:t>须提供①合同盖章复印件（含封面页、合同内容页、签章页等关键页）</w:t>
      </w:r>
      <w:r>
        <w:rPr>
          <w:rFonts w:hint="default"/>
          <w:szCs w:val="28"/>
          <w:highlight w:val="none"/>
          <w:lang w:val="en-US" w:eastAsia="zh-CN"/>
        </w:rPr>
        <w:t>、②项目发票（发票二维码清晰可查并提供税务局发票查询截图，发票开具时间须在本项目</w:t>
      </w:r>
      <w:r>
        <w:rPr>
          <w:rFonts w:hint="eastAsia"/>
          <w:szCs w:val="28"/>
          <w:highlight w:val="none"/>
          <w:lang w:val="en-US" w:eastAsia="zh-CN"/>
        </w:rPr>
        <w:t>询价</w:t>
      </w:r>
      <w:r>
        <w:rPr>
          <w:rFonts w:hint="default"/>
          <w:szCs w:val="28"/>
          <w:highlight w:val="none"/>
          <w:lang w:val="en-US" w:eastAsia="zh-CN"/>
        </w:rPr>
        <w:t>公告发布之日前）</w:t>
      </w:r>
      <w:r>
        <w:rPr>
          <w:szCs w:val="28"/>
          <w:highlight w:val="none"/>
        </w:rPr>
        <w:t>】</w:t>
      </w:r>
      <w:r>
        <w:rPr>
          <w:rFonts w:hint="eastAsia"/>
          <w:szCs w:val="28"/>
          <w:highlight w:val="none"/>
        </w:rPr>
        <w:t>。</w:t>
      </w:r>
    </w:p>
    <w:p w14:paraId="63F32630">
      <w:pPr>
        <w:adjustRightInd w:val="0"/>
        <w:snapToGrid w:val="0"/>
        <w:spacing w:line="360" w:lineRule="auto"/>
        <w:ind w:firstLine="480" w:firstLineChars="200"/>
        <w:rPr>
          <w:rFonts w:hint="eastAsia" w:eastAsia="宋体"/>
          <w:szCs w:val="28"/>
          <w:highlight w:val="none"/>
          <w:lang w:eastAsia="zh-CN"/>
        </w:rPr>
      </w:pPr>
      <w:r>
        <w:rPr>
          <w:rFonts w:hint="eastAsia"/>
          <w:szCs w:val="28"/>
          <w:highlight w:val="none"/>
        </w:rPr>
        <w:t>（5）供应商</w:t>
      </w:r>
      <w:r>
        <w:rPr>
          <w:szCs w:val="28"/>
          <w:highlight w:val="none"/>
        </w:rPr>
        <w:t>若为代理商则必须提供所投产品制造商对本项目出具的唯一授权委托书</w:t>
      </w:r>
      <w:r>
        <w:rPr>
          <w:rFonts w:hint="eastAsia"/>
          <w:szCs w:val="28"/>
          <w:highlight w:val="none"/>
        </w:rPr>
        <w:t>，授权书上需注明制造商相关负责人联系方式以便于查验</w:t>
      </w:r>
      <w:r>
        <w:rPr>
          <w:szCs w:val="28"/>
          <w:highlight w:val="none"/>
        </w:rPr>
        <w:t>。投标文件</w:t>
      </w:r>
      <w:r>
        <w:rPr>
          <w:rFonts w:hint="eastAsia"/>
          <w:szCs w:val="28"/>
          <w:highlight w:val="none"/>
          <w:lang w:val="en-US" w:eastAsia="zh-CN"/>
        </w:rPr>
        <w:t>正本</w:t>
      </w:r>
      <w:r>
        <w:rPr>
          <w:szCs w:val="28"/>
          <w:highlight w:val="none"/>
        </w:rPr>
        <w:t>中需提供原件，复印件或扫描打印件视为无效</w:t>
      </w:r>
      <w:r>
        <w:rPr>
          <w:rFonts w:hint="eastAsia"/>
          <w:szCs w:val="28"/>
          <w:highlight w:val="none"/>
          <w:lang w:eastAsia="zh-CN"/>
        </w:rPr>
        <w:t>。</w:t>
      </w:r>
    </w:p>
    <w:p w14:paraId="3A12C7A9">
      <w:pPr>
        <w:snapToGrid w:val="0"/>
        <w:spacing w:line="360" w:lineRule="auto"/>
        <w:ind w:firstLine="480" w:firstLineChars="200"/>
        <w:rPr>
          <w:szCs w:val="28"/>
          <w:highlight w:val="none"/>
        </w:rPr>
      </w:pPr>
    </w:p>
    <w:p w14:paraId="373F5A03">
      <w:pPr>
        <w:pStyle w:val="2"/>
        <w:rPr>
          <w:rFonts w:hint="eastAsia"/>
          <w:highlight w:val="none"/>
        </w:rPr>
      </w:pPr>
    </w:p>
    <w:p w14:paraId="2CA5BF5B">
      <w:pPr>
        <w:pStyle w:val="2"/>
        <w:rPr>
          <w:rFonts w:hint="eastAsia"/>
          <w:highlight w:val="none"/>
        </w:rPr>
      </w:pPr>
    </w:p>
    <w:p w14:paraId="6E21D0F9">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6</w:t>
      </w:r>
      <w:r>
        <w:rPr>
          <w:rFonts w:hint="eastAsia"/>
          <w:szCs w:val="28"/>
          <w:highlight w:val="none"/>
        </w:rPr>
        <w:t>）供应商未被列入“信用中国”网站(www.creditchina.gov.cn)或中国执行信息公开网（http://zxgk.court.gov.cn)失信被执行人名单。(提供网站查询截图）</w:t>
      </w:r>
    </w:p>
    <w:p w14:paraId="7CF9138F">
      <w:pPr>
        <w:snapToGrid w:val="0"/>
        <w:spacing w:line="360" w:lineRule="auto"/>
        <w:ind w:firstLine="480" w:firstLineChars="200"/>
        <w:rPr>
          <w:rFonts w:hint="eastAsia"/>
          <w:szCs w:val="28"/>
          <w:highlight w:val="none"/>
        </w:rPr>
      </w:pPr>
      <w:r>
        <w:rPr>
          <w:rFonts w:hint="eastAsia"/>
          <w:szCs w:val="28"/>
          <w:highlight w:val="none"/>
        </w:rPr>
        <w:t>（7）供应商须对关于《湖北机场集团有限公司“供应商不良行为”管理办法》在“询价采购报价文件格式”“承诺书”中做出承诺，格式详见采购文件格式。</w:t>
      </w:r>
    </w:p>
    <w:p w14:paraId="49D90A5D">
      <w:pPr>
        <w:snapToGrid w:val="0"/>
        <w:spacing w:line="360" w:lineRule="auto"/>
        <w:ind w:firstLine="480" w:firstLineChars="200"/>
        <w:rPr>
          <w:rFonts w:hint="eastAsia"/>
          <w:szCs w:val="28"/>
          <w:highlight w:val="none"/>
        </w:rPr>
      </w:pPr>
      <w:r>
        <w:rPr>
          <w:rFonts w:hint="eastAsia"/>
          <w:szCs w:val="28"/>
          <w:highlight w:val="none"/>
        </w:rPr>
        <w:t>（8）本项目不接受联合体响应。</w:t>
      </w:r>
    </w:p>
    <w:p w14:paraId="05161AF7">
      <w:pPr>
        <w:pStyle w:val="60"/>
        <w:spacing w:line="360" w:lineRule="auto"/>
        <w:jc w:val="center"/>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lang w:val="en-US" w:eastAsia="zh-CN" w:bidi="ar-SA"/>
        </w:rPr>
        <w:t>以上资格要求为本次响应供应商应具备的基本条件，参加响应的供应商必须满足资格要求中的所有条款，并按照相关规定递交资格证明文件。</w:t>
      </w:r>
    </w:p>
    <w:p w14:paraId="423B5DB6">
      <w:pPr>
        <w:pStyle w:val="5"/>
        <w:spacing w:line="360" w:lineRule="auto"/>
        <w:ind w:firstLine="527"/>
        <w:rPr>
          <w:rFonts w:hint="eastAsia"/>
          <w:sz w:val="30"/>
          <w:highlight w:val="none"/>
        </w:rPr>
      </w:pPr>
      <w:bookmarkStart w:id="11" w:name="_Toc14512"/>
      <w:r>
        <w:rPr>
          <w:rFonts w:hint="eastAsia"/>
          <w:sz w:val="30"/>
          <w:highlight w:val="none"/>
        </w:rPr>
        <w:t>四、</w:t>
      </w:r>
      <w:bookmarkEnd w:id="8"/>
      <w:bookmarkEnd w:id="9"/>
      <w:r>
        <w:rPr>
          <w:rFonts w:hint="eastAsia"/>
          <w:sz w:val="30"/>
          <w:highlight w:val="none"/>
        </w:rPr>
        <w:t>询价采购须知</w:t>
      </w:r>
      <w:bookmarkEnd w:id="11"/>
    </w:p>
    <w:p w14:paraId="00C5AC7F">
      <w:pPr>
        <w:snapToGrid w:val="0"/>
        <w:spacing w:line="360" w:lineRule="auto"/>
        <w:ind w:firstLine="573"/>
        <w:rPr>
          <w:rFonts w:hint="eastAsia"/>
          <w:highlight w:val="none"/>
        </w:rPr>
      </w:pPr>
      <w:r>
        <w:rPr>
          <w:rFonts w:hint="eastAsia"/>
          <w:highlight w:val="none"/>
        </w:rPr>
        <w:t>1、报价文件须用信封或文件袋密封，信封或文件袋上注明询价采购项目名称、供应商名称、地址以及“不准提前启封”字样。信封所有有口、有缝的部位都要贴封条并加盖供应商公章。</w:t>
      </w:r>
    </w:p>
    <w:p w14:paraId="0AA9A88E">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3DD6E397">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00F92793">
      <w:pPr>
        <w:snapToGrid w:val="0"/>
        <w:spacing w:line="360" w:lineRule="auto"/>
        <w:ind w:firstLine="573"/>
        <w:rPr>
          <w:rFonts w:hint="eastAsia"/>
          <w:highlight w:val="none"/>
        </w:rPr>
      </w:pPr>
      <w:r>
        <w:rPr>
          <w:rFonts w:hint="eastAsia"/>
          <w:highlight w:val="none"/>
        </w:rPr>
        <w:t>4、成交原则：本项目评审采用最低竞标标价（不含税）进行评审。</w:t>
      </w:r>
    </w:p>
    <w:p w14:paraId="1389E831">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25337F37">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B867136">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656F52DA">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5、报价文件应按照本文件的“第四篇格式要求”装订。文件一式三份，一正二副。报价文件的正本每一页必需加盖公章以及骑缝章。</w:t>
      </w:r>
    </w:p>
    <w:p w14:paraId="513307E6">
      <w:pPr>
        <w:snapToGrid w:val="0"/>
        <w:spacing w:line="360" w:lineRule="auto"/>
        <w:ind w:firstLine="573"/>
        <w:rPr>
          <w:highlight w:val="none"/>
        </w:rPr>
      </w:pPr>
      <w:bookmarkStart w:id="12" w:name="_Toc122840226"/>
      <w:bookmarkStart w:id="13" w:name="_Toc12789055"/>
      <w:r>
        <w:rPr>
          <w:rFonts w:hint="eastAsia"/>
          <w:highlight w:val="none"/>
        </w:rPr>
        <w:t>6、文件无效</w:t>
      </w:r>
    </w:p>
    <w:p w14:paraId="2BFA101D">
      <w:pPr>
        <w:snapToGrid w:val="0"/>
        <w:spacing w:line="360" w:lineRule="auto"/>
        <w:ind w:firstLine="573"/>
        <w:rPr>
          <w:highlight w:val="none"/>
        </w:rPr>
      </w:pPr>
      <w:r>
        <w:rPr>
          <w:rFonts w:hint="eastAsia"/>
          <w:highlight w:val="none"/>
        </w:rPr>
        <w:t>竞标人发生以下条款情况之一者，其竞标文件将被拒绝：</w:t>
      </w:r>
    </w:p>
    <w:p w14:paraId="6DA198C0">
      <w:pPr>
        <w:snapToGrid w:val="0"/>
        <w:spacing w:line="360" w:lineRule="auto"/>
        <w:ind w:firstLine="573"/>
        <w:rPr>
          <w:highlight w:val="none"/>
        </w:rPr>
      </w:pPr>
      <w:r>
        <w:rPr>
          <w:rFonts w:hint="eastAsia"/>
          <w:highlight w:val="none"/>
        </w:rPr>
        <w:t>（1）竞标文件不按规定的格式、内容填写；</w:t>
      </w:r>
    </w:p>
    <w:p w14:paraId="55201872">
      <w:pPr>
        <w:snapToGrid w:val="0"/>
        <w:spacing w:line="360" w:lineRule="auto"/>
        <w:ind w:firstLine="573"/>
        <w:rPr>
          <w:rFonts w:hint="eastAsia"/>
          <w:highlight w:val="none"/>
        </w:rPr>
      </w:pPr>
      <w:r>
        <w:rPr>
          <w:rFonts w:hint="eastAsia"/>
          <w:highlight w:val="none"/>
        </w:rPr>
        <w:t>（2）超出营业范围的报价；</w:t>
      </w:r>
    </w:p>
    <w:p w14:paraId="1414DF98">
      <w:pPr>
        <w:snapToGrid w:val="0"/>
        <w:spacing w:line="360" w:lineRule="auto"/>
        <w:ind w:firstLine="573"/>
        <w:rPr>
          <w:rFonts w:hint="eastAsia"/>
          <w:highlight w:val="none"/>
        </w:rPr>
      </w:pPr>
      <w:r>
        <w:rPr>
          <w:rFonts w:hint="eastAsia"/>
          <w:highlight w:val="none"/>
        </w:rPr>
        <w:t>（3）报价高于询价采购文件的最高限价；</w:t>
      </w:r>
    </w:p>
    <w:p w14:paraId="6A1B9472">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5478052B">
      <w:pPr>
        <w:snapToGrid w:val="0"/>
        <w:spacing w:line="360" w:lineRule="auto"/>
        <w:ind w:firstLine="573"/>
        <w:rPr>
          <w:rFonts w:hint="eastAsia"/>
          <w:highlight w:val="none"/>
        </w:rPr>
      </w:pPr>
      <w:r>
        <w:rPr>
          <w:rFonts w:hint="eastAsia"/>
          <w:highlight w:val="none"/>
        </w:rPr>
        <w:t>（5）竞标人的资质不符合采购文件资质要求的内容。</w:t>
      </w:r>
    </w:p>
    <w:p w14:paraId="2AD5592C">
      <w:pPr>
        <w:numPr>
          <w:ilvl w:val="0"/>
          <w:numId w:val="4"/>
        </w:numPr>
        <w:snapToGrid w:val="0"/>
        <w:spacing w:line="360" w:lineRule="auto"/>
        <w:rPr>
          <w:rFonts w:hint="eastAsia"/>
          <w:highlight w:val="none"/>
        </w:rPr>
      </w:pPr>
      <w:r>
        <w:rPr>
          <w:rFonts w:hint="eastAsia"/>
          <w:highlight w:val="none"/>
        </w:rPr>
        <w:t>竞标文件未按要求密封、未按时送到准确地点。</w:t>
      </w:r>
    </w:p>
    <w:p w14:paraId="5727922A">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136C1FE0">
      <w:pPr>
        <w:snapToGrid w:val="0"/>
        <w:spacing w:line="360" w:lineRule="auto"/>
        <w:ind w:firstLine="480" w:firstLineChars="200"/>
        <w:rPr>
          <w:rFonts w:hint="eastAsia"/>
          <w:highlight w:val="none"/>
        </w:rPr>
      </w:pPr>
      <w:r>
        <w:rPr>
          <w:rFonts w:hint="eastAsia"/>
          <w:highlight w:val="none"/>
        </w:rPr>
        <w:t>（1）出现影响采购公正的违法、违规行为的；</w:t>
      </w:r>
    </w:p>
    <w:p w14:paraId="3EC8C639">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4FE69681">
      <w:pPr>
        <w:snapToGrid w:val="0"/>
        <w:spacing w:line="360" w:lineRule="auto"/>
        <w:ind w:firstLine="480" w:firstLineChars="200"/>
        <w:rPr>
          <w:rFonts w:hint="eastAsia"/>
          <w:highlight w:val="none"/>
        </w:rPr>
      </w:pPr>
      <w:r>
        <w:rPr>
          <w:rFonts w:hint="eastAsia"/>
          <w:highlight w:val="none"/>
        </w:rPr>
        <w:t>（3）因重大变故，采购任务取消的；</w:t>
      </w:r>
    </w:p>
    <w:p w14:paraId="09C3D496">
      <w:pPr>
        <w:pStyle w:val="5"/>
        <w:spacing w:before="0" w:after="0" w:line="360" w:lineRule="auto"/>
        <w:ind w:firstLine="539" w:firstLineChars="179"/>
        <w:rPr>
          <w:rFonts w:hint="eastAsia"/>
          <w:sz w:val="30"/>
          <w:highlight w:val="none"/>
        </w:rPr>
      </w:pPr>
      <w:bookmarkStart w:id="14" w:name="_Toc21629"/>
      <w:r>
        <w:rPr>
          <w:rFonts w:hint="eastAsia"/>
          <w:sz w:val="30"/>
          <w:highlight w:val="none"/>
        </w:rPr>
        <w:t>五、询价保证金</w:t>
      </w:r>
      <w:bookmarkEnd w:id="12"/>
      <w:bookmarkEnd w:id="13"/>
      <w:bookmarkEnd w:id="14"/>
    </w:p>
    <w:p w14:paraId="49A3DF51">
      <w:pPr>
        <w:snapToGrid w:val="0"/>
        <w:spacing w:line="360" w:lineRule="auto"/>
        <w:ind w:firstLine="573"/>
        <w:rPr>
          <w:rFonts w:hint="eastAsia"/>
          <w:highlight w:val="none"/>
        </w:rPr>
      </w:pPr>
      <w:r>
        <w:rPr>
          <w:rFonts w:hint="eastAsia"/>
          <w:highlight w:val="none"/>
        </w:rPr>
        <w:t>本项目无询价保证金要求。</w:t>
      </w:r>
    </w:p>
    <w:p w14:paraId="5130AD54">
      <w:pPr>
        <w:pStyle w:val="5"/>
        <w:spacing w:before="0" w:after="0" w:line="360" w:lineRule="auto"/>
        <w:ind w:firstLine="539" w:firstLineChars="179"/>
        <w:rPr>
          <w:sz w:val="30"/>
          <w:highlight w:val="none"/>
        </w:rPr>
      </w:pPr>
      <w:bookmarkStart w:id="15" w:name="_Toc233445126"/>
      <w:bookmarkStart w:id="16" w:name="_Toc3865"/>
      <w:bookmarkStart w:id="17" w:name="_Toc102227321"/>
      <w:r>
        <w:rPr>
          <w:rFonts w:hint="eastAsia"/>
          <w:sz w:val="30"/>
          <w:highlight w:val="none"/>
        </w:rPr>
        <w:t>六、成交通知</w:t>
      </w:r>
      <w:bookmarkEnd w:id="15"/>
      <w:bookmarkEnd w:id="16"/>
      <w:bookmarkEnd w:id="17"/>
    </w:p>
    <w:p w14:paraId="13A17AE2">
      <w:pPr>
        <w:snapToGrid w:val="0"/>
        <w:spacing w:line="360" w:lineRule="auto"/>
        <w:ind w:firstLine="480" w:firstLineChars="200"/>
        <w:rPr>
          <w:szCs w:val="28"/>
          <w:highlight w:val="none"/>
        </w:rPr>
      </w:pPr>
      <w:bookmarkStart w:id="18" w:name="_Toc102227322"/>
      <w:bookmarkStart w:id="19" w:name="_Toc233445127"/>
      <w:r>
        <w:rPr>
          <w:rFonts w:hint="eastAsia"/>
          <w:szCs w:val="28"/>
          <w:highlight w:val="none"/>
        </w:rPr>
        <w:t>成交公示期结束3个工作日内，我部将通知中标单位，进入合同签订流程。</w:t>
      </w:r>
    </w:p>
    <w:p w14:paraId="3F7B48AA">
      <w:pPr>
        <w:pStyle w:val="5"/>
        <w:spacing w:before="0" w:after="0" w:line="360" w:lineRule="auto"/>
        <w:ind w:firstLine="539" w:firstLineChars="179"/>
        <w:rPr>
          <w:sz w:val="30"/>
          <w:highlight w:val="none"/>
        </w:rPr>
      </w:pPr>
      <w:bookmarkStart w:id="20" w:name="_Toc15022"/>
      <w:r>
        <w:rPr>
          <w:rFonts w:hint="eastAsia"/>
          <w:sz w:val="30"/>
          <w:highlight w:val="none"/>
        </w:rPr>
        <w:t>七、签订</w:t>
      </w:r>
      <w:bookmarkEnd w:id="18"/>
      <w:r>
        <w:rPr>
          <w:rFonts w:hint="eastAsia"/>
          <w:sz w:val="30"/>
          <w:highlight w:val="none"/>
        </w:rPr>
        <w:t>合同</w:t>
      </w:r>
      <w:bookmarkEnd w:id="19"/>
      <w:bookmarkEnd w:id="20"/>
    </w:p>
    <w:p w14:paraId="6A8C0BE6">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24D50E00">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11AB8261">
      <w:pPr>
        <w:snapToGrid w:val="0"/>
        <w:spacing w:line="360" w:lineRule="auto"/>
        <w:ind w:right="24" w:rightChars="10" w:firstLine="573"/>
        <w:rPr>
          <w:rFonts w:hint="eastAsia"/>
          <w:b/>
          <w:bCs/>
          <w:sz w:val="18"/>
          <w:szCs w:val="1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23BDC7-4F17-4F36-BF96-8E4A2E0BFD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C90D427-3A88-407D-BD3D-7BC5FEA9B2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D712">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2034AA88">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D362">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56"/>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8"/>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C3C59CC"/>
    <w:multiLevelType w:val="singleLevel"/>
    <w:tmpl w:val="2C3C59CC"/>
    <w:lvl w:ilvl="0" w:tentative="0">
      <w:start w:val="1"/>
      <w:numFmt w:val="chineseCounting"/>
      <w:suff w:val="nothing"/>
      <w:lvlText w:val="%1、"/>
      <w:lvlJc w:val="left"/>
      <w:rPr>
        <w:rFonts w:hint="eastAsia"/>
      </w:rPr>
    </w:lvl>
  </w:abstractNum>
  <w:abstractNum w:abstractNumId="3">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074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47A96"/>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41C4"/>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2615"/>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5D30"/>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0FA5"/>
    <w:rsid w:val="00B72431"/>
    <w:rsid w:val="00B73F85"/>
    <w:rsid w:val="00B74CD2"/>
    <w:rsid w:val="00B75CF7"/>
    <w:rsid w:val="00B774C6"/>
    <w:rsid w:val="00B804AE"/>
    <w:rsid w:val="00B85C01"/>
    <w:rsid w:val="00B8638B"/>
    <w:rsid w:val="00B8656A"/>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6201"/>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051A"/>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B10F0"/>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A6"/>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A77FC"/>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EF6E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18A232A"/>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ED63E13"/>
    <w:rsid w:val="0F0F012B"/>
    <w:rsid w:val="113C1D21"/>
    <w:rsid w:val="11510668"/>
    <w:rsid w:val="11C84020"/>
    <w:rsid w:val="125A744D"/>
    <w:rsid w:val="12BC0408"/>
    <w:rsid w:val="1331700B"/>
    <w:rsid w:val="13477AFB"/>
    <w:rsid w:val="139E6D39"/>
    <w:rsid w:val="13AA7EAB"/>
    <w:rsid w:val="14902461"/>
    <w:rsid w:val="14AC54C9"/>
    <w:rsid w:val="14B939EA"/>
    <w:rsid w:val="15B02E28"/>
    <w:rsid w:val="16131E07"/>
    <w:rsid w:val="16AD6E91"/>
    <w:rsid w:val="16C22807"/>
    <w:rsid w:val="1899108E"/>
    <w:rsid w:val="18CB78A2"/>
    <w:rsid w:val="19804EED"/>
    <w:rsid w:val="1A0C7B42"/>
    <w:rsid w:val="1A7C4F16"/>
    <w:rsid w:val="1B553EF2"/>
    <w:rsid w:val="1B857F6B"/>
    <w:rsid w:val="1BBF4480"/>
    <w:rsid w:val="1C685AC7"/>
    <w:rsid w:val="1C910990"/>
    <w:rsid w:val="1DC6429C"/>
    <w:rsid w:val="1E421409"/>
    <w:rsid w:val="1E6A12A3"/>
    <w:rsid w:val="1EBA4E0F"/>
    <w:rsid w:val="1ED46266"/>
    <w:rsid w:val="1F0575FF"/>
    <w:rsid w:val="1F3928BF"/>
    <w:rsid w:val="208859F7"/>
    <w:rsid w:val="219F69CD"/>
    <w:rsid w:val="21B44B54"/>
    <w:rsid w:val="21F562DA"/>
    <w:rsid w:val="21F80F4C"/>
    <w:rsid w:val="2288712B"/>
    <w:rsid w:val="23685BD8"/>
    <w:rsid w:val="23D779F5"/>
    <w:rsid w:val="24E55459"/>
    <w:rsid w:val="252A52DE"/>
    <w:rsid w:val="25C75127"/>
    <w:rsid w:val="26570B8B"/>
    <w:rsid w:val="26C40EA8"/>
    <w:rsid w:val="26F87079"/>
    <w:rsid w:val="273A359F"/>
    <w:rsid w:val="27651240"/>
    <w:rsid w:val="278C46B7"/>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403E93"/>
    <w:rsid w:val="2E6D54B5"/>
    <w:rsid w:val="2EB74EE6"/>
    <w:rsid w:val="2EE72408"/>
    <w:rsid w:val="2F176E80"/>
    <w:rsid w:val="2F9D6E1A"/>
    <w:rsid w:val="2FCF0F1F"/>
    <w:rsid w:val="2FE91756"/>
    <w:rsid w:val="301C3479"/>
    <w:rsid w:val="302C05D3"/>
    <w:rsid w:val="31045E46"/>
    <w:rsid w:val="315C7E3B"/>
    <w:rsid w:val="317220B1"/>
    <w:rsid w:val="32000483"/>
    <w:rsid w:val="32135397"/>
    <w:rsid w:val="323A76CB"/>
    <w:rsid w:val="33056C12"/>
    <w:rsid w:val="33312A72"/>
    <w:rsid w:val="33BA01D3"/>
    <w:rsid w:val="33BA520D"/>
    <w:rsid w:val="33CB36DC"/>
    <w:rsid w:val="353419DD"/>
    <w:rsid w:val="353A0FEA"/>
    <w:rsid w:val="358442A0"/>
    <w:rsid w:val="365211A8"/>
    <w:rsid w:val="36543FF7"/>
    <w:rsid w:val="368D6292"/>
    <w:rsid w:val="36F078C2"/>
    <w:rsid w:val="37E55000"/>
    <w:rsid w:val="381F3539"/>
    <w:rsid w:val="383E47E0"/>
    <w:rsid w:val="38610935"/>
    <w:rsid w:val="388749CB"/>
    <w:rsid w:val="38AE21DF"/>
    <w:rsid w:val="38F503AC"/>
    <w:rsid w:val="392C6C96"/>
    <w:rsid w:val="398F045C"/>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7D2231"/>
    <w:rsid w:val="42903712"/>
    <w:rsid w:val="42B005BA"/>
    <w:rsid w:val="42B501FD"/>
    <w:rsid w:val="42FE2EDF"/>
    <w:rsid w:val="43910801"/>
    <w:rsid w:val="43B56C36"/>
    <w:rsid w:val="43D14E97"/>
    <w:rsid w:val="43EE1D29"/>
    <w:rsid w:val="44677F52"/>
    <w:rsid w:val="453E3116"/>
    <w:rsid w:val="45645345"/>
    <w:rsid w:val="45B70290"/>
    <w:rsid w:val="45C87EC1"/>
    <w:rsid w:val="45D53A97"/>
    <w:rsid w:val="461B39BC"/>
    <w:rsid w:val="462E2D22"/>
    <w:rsid w:val="46653280"/>
    <w:rsid w:val="466D6C84"/>
    <w:rsid w:val="468478A8"/>
    <w:rsid w:val="46D91D99"/>
    <w:rsid w:val="47DD344F"/>
    <w:rsid w:val="48555B1E"/>
    <w:rsid w:val="485C2E6F"/>
    <w:rsid w:val="486007E7"/>
    <w:rsid w:val="48DE671D"/>
    <w:rsid w:val="493E1098"/>
    <w:rsid w:val="4AB41467"/>
    <w:rsid w:val="4C156088"/>
    <w:rsid w:val="4CCA2977"/>
    <w:rsid w:val="4D367204"/>
    <w:rsid w:val="4D96665A"/>
    <w:rsid w:val="4E0B0C8B"/>
    <w:rsid w:val="4E0B1509"/>
    <w:rsid w:val="4E651E82"/>
    <w:rsid w:val="4FA5289F"/>
    <w:rsid w:val="50261065"/>
    <w:rsid w:val="50D102A0"/>
    <w:rsid w:val="512B20E8"/>
    <w:rsid w:val="52295149"/>
    <w:rsid w:val="52DB0D4D"/>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42D193C"/>
    <w:rsid w:val="75965B44"/>
    <w:rsid w:val="75DA5A6C"/>
    <w:rsid w:val="761D41C0"/>
    <w:rsid w:val="76C14706"/>
    <w:rsid w:val="76E42390"/>
    <w:rsid w:val="770A5F69"/>
    <w:rsid w:val="770E287F"/>
    <w:rsid w:val="77A03980"/>
    <w:rsid w:val="77EE7748"/>
    <w:rsid w:val="7890278C"/>
    <w:rsid w:val="78947FB0"/>
    <w:rsid w:val="78E67813"/>
    <w:rsid w:val="7A241698"/>
    <w:rsid w:val="7B0528C7"/>
    <w:rsid w:val="7C3362B8"/>
    <w:rsid w:val="7CCA4C96"/>
    <w:rsid w:val="7CE3002B"/>
    <w:rsid w:val="7CFA0F06"/>
    <w:rsid w:val="7D901A4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uiPriority w:val="0"/>
  </w:style>
  <w:style w:type="table" w:default="1" w:styleId="37">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uiPriority w:val="0"/>
    <w:pPr>
      <w:ind w:left="1680"/>
      <w:jc w:val="left"/>
    </w:pPr>
    <w:rPr>
      <w:rFonts w:ascii="等线" w:eastAsia="等线"/>
      <w:sz w:val="20"/>
    </w:rPr>
  </w:style>
  <w:style w:type="paragraph" w:styleId="8">
    <w:name w:val="index 8"/>
    <w:basedOn w:val="1"/>
    <w:next w:val="1"/>
    <w:semiHidden/>
    <w:uiPriority w:val="0"/>
    <w:pPr>
      <w:ind w:left="1400" w:leftChars="1400"/>
    </w:pPr>
  </w:style>
  <w:style w:type="paragraph" w:styleId="9">
    <w:name w:val="index 5"/>
    <w:basedOn w:val="1"/>
    <w:next w:val="1"/>
    <w:semiHidden/>
    <w:uiPriority w:val="0"/>
    <w:pPr>
      <w:ind w:left="800" w:leftChars="800"/>
    </w:pPr>
  </w:style>
  <w:style w:type="paragraph" w:styleId="10">
    <w:name w:val="annotation text"/>
    <w:basedOn w:val="1"/>
    <w:link w:val="49"/>
    <w:uiPriority w:val="0"/>
  </w:style>
  <w:style w:type="paragraph" w:styleId="11">
    <w:name w:val="index 6"/>
    <w:basedOn w:val="1"/>
    <w:next w:val="1"/>
    <w:semiHidden/>
    <w:uiPriority w:val="0"/>
    <w:pPr>
      <w:ind w:left="1000" w:leftChars="1000"/>
    </w:pPr>
  </w:style>
  <w:style w:type="paragraph" w:styleId="12">
    <w:name w:val="Body Text"/>
    <w:basedOn w:val="1"/>
    <w:next w:val="1"/>
    <w:uiPriority w:val="0"/>
    <w:pPr>
      <w:jc w:val="left"/>
    </w:pPr>
    <w:rPr>
      <w:rFonts w:ascii="宋体"/>
    </w:rPr>
  </w:style>
  <w:style w:type="paragraph" w:styleId="13">
    <w:name w:val="Body Text Indent"/>
    <w:basedOn w:val="1"/>
    <w:uiPriority w:val="0"/>
    <w:pPr>
      <w:spacing w:line="700" w:lineRule="exact"/>
      <w:ind w:left="960"/>
    </w:pPr>
    <w:rPr>
      <w:sz w:val="44"/>
    </w:rPr>
  </w:style>
  <w:style w:type="paragraph" w:styleId="14">
    <w:name w:val="index 4"/>
    <w:basedOn w:val="1"/>
    <w:next w:val="1"/>
    <w:semiHidden/>
    <w:uiPriority w:val="0"/>
    <w:pPr>
      <w:ind w:left="600" w:leftChars="600"/>
    </w:pPr>
  </w:style>
  <w:style w:type="paragraph" w:styleId="15">
    <w:name w:val="toc 5"/>
    <w:basedOn w:val="1"/>
    <w:next w:val="1"/>
    <w:semiHidden/>
    <w:uiPriority w:val="0"/>
    <w:pPr>
      <w:ind w:left="1120"/>
      <w:jc w:val="left"/>
    </w:pPr>
    <w:rPr>
      <w:rFonts w:ascii="等线" w:eastAsia="等线"/>
      <w:sz w:val="20"/>
    </w:rPr>
  </w:style>
  <w:style w:type="paragraph" w:styleId="16">
    <w:name w:val="toc 3"/>
    <w:basedOn w:val="1"/>
    <w:next w:val="1"/>
    <w:uiPriority w:val="39"/>
    <w:pPr>
      <w:ind w:left="560"/>
      <w:jc w:val="left"/>
    </w:pPr>
    <w:rPr>
      <w:rFonts w:ascii="等线" w:eastAsia="等线"/>
      <w:sz w:val="20"/>
    </w:rPr>
  </w:style>
  <w:style w:type="paragraph" w:styleId="17">
    <w:name w:val="toc 8"/>
    <w:basedOn w:val="1"/>
    <w:next w:val="1"/>
    <w:semiHidden/>
    <w:uiPriority w:val="0"/>
    <w:pPr>
      <w:ind w:left="1960"/>
      <w:jc w:val="left"/>
    </w:pPr>
    <w:rPr>
      <w:rFonts w:ascii="等线" w:eastAsia="等线"/>
      <w:sz w:val="20"/>
    </w:rPr>
  </w:style>
  <w:style w:type="paragraph" w:styleId="18">
    <w:name w:val="index 3"/>
    <w:basedOn w:val="1"/>
    <w:next w:val="1"/>
    <w:semiHidden/>
    <w:uiPriority w:val="0"/>
    <w:pPr>
      <w:ind w:left="400" w:leftChars="400"/>
    </w:pPr>
  </w:style>
  <w:style w:type="paragraph" w:styleId="19">
    <w:name w:val="Date"/>
    <w:basedOn w:val="1"/>
    <w:next w:val="1"/>
    <w:uiPriority w:val="0"/>
  </w:style>
  <w:style w:type="paragraph" w:styleId="20">
    <w:name w:val="Body Text Indent 2"/>
    <w:basedOn w:val="1"/>
    <w:uiPriority w:val="0"/>
    <w:pPr>
      <w:snapToGrid w:val="0"/>
      <w:spacing w:line="560" w:lineRule="atLeast"/>
      <w:ind w:firstLine="540"/>
    </w:pPr>
  </w:style>
  <w:style w:type="paragraph" w:styleId="21">
    <w:name w:val="Balloon Text"/>
    <w:basedOn w:val="1"/>
    <w:semiHidden/>
    <w:uiPriority w:val="0"/>
    <w:rPr>
      <w:sz w:val="18"/>
      <w:szCs w:val="18"/>
    </w:rPr>
  </w:style>
  <w:style w:type="paragraph" w:styleId="22">
    <w:name w:val="footer"/>
    <w:basedOn w:val="1"/>
    <w:uiPriority w:val="0"/>
    <w:pPr>
      <w:tabs>
        <w:tab w:val="center" w:pos="4153"/>
        <w:tab w:val="right" w:pos="8306"/>
      </w:tabs>
      <w:snapToGrid w:val="0"/>
      <w:jc w:val="left"/>
    </w:pPr>
    <w:rPr>
      <w:sz w:val="18"/>
    </w:rPr>
  </w:style>
  <w:style w:type="paragraph" w:styleId="23">
    <w:name w:val="header"/>
    <w:basedOn w:val="1"/>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uiPriority w:val="39"/>
    <w:pPr>
      <w:spacing w:before="120"/>
      <w:jc w:val="left"/>
    </w:pPr>
    <w:rPr>
      <w:rFonts w:ascii="等线" w:eastAsia="等线"/>
      <w:b/>
      <w:bCs/>
      <w:i/>
      <w:iCs/>
      <w:sz w:val="24"/>
      <w:szCs w:val="24"/>
    </w:rPr>
  </w:style>
  <w:style w:type="paragraph" w:styleId="25">
    <w:name w:val="toc 4"/>
    <w:basedOn w:val="1"/>
    <w:next w:val="1"/>
    <w:semiHidden/>
    <w:uiPriority w:val="0"/>
    <w:pPr>
      <w:ind w:left="840"/>
      <w:jc w:val="left"/>
    </w:pPr>
    <w:rPr>
      <w:rFonts w:ascii="等线" w:eastAsia="等线"/>
      <w:sz w:val="20"/>
    </w:rPr>
  </w:style>
  <w:style w:type="paragraph" w:styleId="26">
    <w:name w:val="index heading"/>
    <w:basedOn w:val="1"/>
    <w:next w:val="27"/>
    <w:semiHidden/>
    <w:uiPriority w:val="0"/>
  </w:style>
  <w:style w:type="paragraph" w:styleId="27">
    <w:name w:val="index 1"/>
    <w:basedOn w:val="1"/>
    <w:next w:val="1"/>
    <w:semiHidden/>
    <w:uiPriority w:val="0"/>
  </w:style>
  <w:style w:type="paragraph" w:styleId="28">
    <w:name w:val="toc 6"/>
    <w:basedOn w:val="1"/>
    <w:next w:val="1"/>
    <w:semiHidden/>
    <w:uiPriority w:val="0"/>
    <w:pPr>
      <w:ind w:left="1400"/>
      <w:jc w:val="left"/>
    </w:pPr>
    <w:rPr>
      <w:rFonts w:ascii="等线" w:eastAsia="等线"/>
      <w:sz w:val="20"/>
    </w:rPr>
  </w:style>
  <w:style w:type="paragraph" w:styleId="29">
    <w:name w:val="Body Text Indent 3"/>
    <w:basedOn w:val="1"/>
    <w:uiPriority w:val="0"/>
    <w:pPr>
      <w:spacing w:after="120"/>
      <w:ind w:left="420" w:leftChars="200"/>
    </w:pPr>
    <w:rPr>
      <w:sz w:val="16"/>
      <w:szCs w:val="16"/>
    </w:rPr>
  </w:style>
  <w:style w:type="paragraph" w:styleId="30">
    <w:name w:val="index 7"/>
    <w:basedOn w:val="1"/>
    <w:next w:val="1"/>
    <w:semiHidden/>
    <w:uiPriority w:val="0"/>
    <w:pPr>
      <w:ind w:left="1200" w:leftChars="1200"/>
    </w:pPr>
  </w:style>
  <w:style w:type="paragraph" w:styleId="31">
    <w:name w:val="index 9"/>
    <w:basedOn w:val="1"/>
    <w:next w:val="1"/>
    <w:semiHidden/>
    <w:uiPriority w:val="0"/>
    <w:pPr>
      <w:ind w:left="1600" w:leftChars="1600"/>
    </w:pPr>
  </w:style>
  <w:style w:type="paragraph" w:styleId="32">
    <w:name w:val="toc 2"/>
    <w:basedOn w:val="1"/>
    <w:next w:val="1"/>
    <w:uiPriority w:val="39"/>
    <w:pPr>
      <w:spacing w:before="120"/>
      <w:ind w:left="280"/>
      <w:jc w:val="left"/>
    </w:pPr>
    <w:rPr>
      <w:rFonts w:ascii="等线" w:eastAsia="等线"/>
      <w:b/>
      <w:bCs/>
      <w:sz w:val="22"/>
      <w:szCs w:val="22"/>
    </w:rPr>
  </w:style>
  <w:style w:type="paragraph" w:styleId="33">
    <w:name w:val="toc 9"/>
    <w:basedOn w:val="1"/>
    <w:next w:val="1"/>
    <w:semiHidden/>
    <w:uiPriority w:val="0"/>
    <w:pPr>
      <w:ind w:left="2240"/>
      <w:jc w:val="left"/>
    </w:pPr>
    <w:rPr>
      <w:rFonts w:ascii="等线" w:eastAsia="等线"/>
      <w:sz w:val="20"/>
    </w:rPr>
  </w:style>
  <w:style w:type="paragraph" w:styleId="34">
    <w:name w:val="HTML Preformatted"/>
    <w:basedOn w:val="1"/>
    <w:link w:val="50"/>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uiPriority w:val="0"/>
    <w:pPr>
      <w:ind w:left="200" w:leftChars="200"/>
    </w:pPr>
  </w:style>
  <w:style w:type="paragraph" w:styleId="36">
    <w:name w:val="annotation subject"/>
    <w:basedOn w:val="10"/>
    <w:next w:val="10"/>
    <w:link w:val="51"/>
    <w:uiPriority w:val="0"/>
    <w:rPr>
      <w:b/>
      <w:bCs/>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uiPriority w:val="0"/>
  </w:style>
  <w:style w:type="character" w:styleId="41">
    <w:name w:val="FollowedHyperlink"/>
    <w:uiPriority w:val="0"/>
    <w:rPr>
      <w:color w:val="800080"/>
      <w:u w:val="single"/>
    </w:rPr>
  </w:style>
  <w:style w:type="character" w:styleId="42">
    <w:name w:val="Hyperlink"/>
    <w:uiPriority w:val="99"/>
    <w:rPr>
      <w:color w:val="0000FF"/>
      <w:u w:val="single"/>
    </w:rPr>
  </w:style>
  <w:style w:type="character" w:styleId="43">
    <w:name w:val="annotation reference"/>
    <w:uiPriority w:val="0"/>
    <w:rPr>
      <w:sz w:val="21"/>
      <w:szCs w:val="21"/>
    </w:rPr>
  </w:style>
  <w:style w:type="character" w:customStyle="1" w:styleId="44">
    <w:name w:val="表格 Char Char"/>
    <w:link w:val="45"/>
    <w:uiPriority w:val="0"/>
    <w:rPr>
      <w:rFonts w:ascii="宋体" w:hAnsi="宋体"/>
    </w:rPr>
  </w:style>
  <w:style w:type="paragraph" w:customStyle="1" w:styleId="45">
    <w:name w:val="表格"/>
    <w:basedOn w:val="1"/>
    <w:link w:val="44"/>
    <w:uiPriority w:val="0"/>
    <w:pPr>
      <w:widowControl/>
      <w:snapToGrid w:val="0"/>
      <w:jc w:val="left"/>
    </w:pPr>
    <w:rPr>
      <w:rFonts w:cs="Times New Roman"/>
      <w:sz w:val="20"/>
      <w:szCs w:val="20"/>
    </w:rPr>
  </w:style>
  <w:style w:type="character" w:customStyle="1" w:styleId="46">
    <w:name w:val="font11"/>
    <w:uiPriority w:val="0"/>
    <w:rPr>
      <w:rFonts w:hint="default" w:ascii="Times New Roman" w:hAnsi="Times New Roman" w:cs="Times New Roman"/>
      <w:color w:val="000000"/>
      <w:sz w:val="22"/>
      <w:szCs w:val="22"/>
      <w:u w:val="none"/>
    </w:rPr>
  </w:style>
  <w:style w:type="character" w:customStyle="1" w:styleId="47">
    <w:name w:val="NormalCharacter"/>
    <w:qFormat/>
    <w:uiPriority w:val="0"/>
    <w:rPr>
      <w:rFonts w:ascii="Times New Roman" w:hAnsi="Times New Roman" w:eastAsia="宋体" w:cs="Times New Roman"/>
      <w:kern w:val="2"/>
      <w:sz w:val="21"/>
      <w:szCs w:val="22"/>
      <w:lang w:val="en-US" w:eastAsia="zh-CN" w:bidi="ar-SA"/>
    </w:rPr>
  </w:style>
  <w:style w:type="character" w:customStyle="1" w:styleId="48">
    <w:name w:val="font01"/>
    <w:uiPriority w:val="0"/>
    <w:rPr>
      <w:rFonts w:hint="eastAsia" w:ascii="宋体" w:hAnsi="宋体" w:eastAsia="宋体" w:cs="宋体"/>
      <w:color w:val="000000"/>
      <w:sz w:val="22"/>
      <w:szCs w:val="22"/>
      <w:u w:val="none"/>
    </w:rPr>
  </w:style>
  <w:style w:type="character" w:customStyle="1" w:styleId="49">
    <w:name w:val="批注文字 字符"/>
    <w:link w:val="10"/>
    <w:uiPriority w:val="0"/>
    <w:rPr>
      <w:rFonts w:ascii="宋体" w:hAnsi="宋体" w:cs="宋体"/>
      <w:sz w:val="24"/>
      <w:szCs w:val="24"/>
    </w:rPr>
  </w:style>
  <w:style w:type="character" w:customStyle="1" w:styleId="50">
    <w:name w:val="HTML 预设格式 字符"/>
    <w:link w:val="34"/>
    <w:uiPriority w:val="0"/>
    <w:rPr>
      <w:rFonts w:ascii="黑体" w:hAnsi="Courier New" w:eastAsia="黑体" w:cs="Courier New"/>
      <w:color w:val="000000"/>
    </w:rPr>
  </w:style>
  <w:style w:type="character" w:customStyle="1" w:styleId="51">
    <w:name w:val="批注主题 字符"/>
    <w:link w:val="36"/>
    <w:uiPriority w:val="0"/>
    <w:rPr>
      <w:rFonts w:ascii="宋体" w:hAnsi="宋体" w:cs="宋体"/>
      <w:b/>
      <w:bCs/>
      <w:sz w:val="24"/>
      <w:szCs w:val="24"/>
    </w:rPr>
  </w:style>
  <w:style w:type="character" w:customStyle="1" w:styleId="52">
    <w:name w:val="HTML 预设格式 字符1"/>
    <w:uiPriority w:val="0"/>
    <w:rPr>
      <w:rFonts w:ascii="Courier New" w:hAnsi="Courier New" w:cs="Courier New"/>
      <w:kern w:val="2"/>
    </w:rPr>
  </w:style>
  <w:style w:type="paragraph" w:customStyle="1" w:styleId="53">
    <w:name w:val="Table Paragraph"/>
    <w:basedOn w:val="1"/>
    <w:qFormat/>
    <w:uiPriority w:val="1"/>
    <w:pPr>
      <w:spacing w:before="143"/>
    </w:pPr>
    <w:rPr>
      <w:rFonts w:ascii="宋体" w:hAnsi="宋体" w:eastAsia="宋体" w:cs="宋体"/>
    </w:rPr>
  </w:style>
  <w:style w:type="paragraph" w:customStyle="1" w:styleId="54">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5">
    <w:name w:val="Char1 Char Char Char"/>
    <w:basedOn w:val="1"/>
    <w:uiPriority w:val="0"/>
    <w:rPr>
      <w:rFonts w:ascii="Tahoma" w:hAnsi="Tahoma"/>
      <w:sz w:val="30"/>
      <w:szCs w:val="30"/>
    </w:rPr>
  </w:style>
  <w:style w:type="paragraph" w:customStyle="1" w:styleId="56">
    <w:name w:val="合同内一级标题"/>
    <w:qFormat/>
    <w:uiPriority w:val="0"/>
    <w:pPr>
      <w:numPr>
        <w:ilvl w:val="0"/>
        <w:numId w:val="1"/>
      </w:numPr>
    </w:pPr>
    <w:rPr>
      <w:rFonts w:ascii="Times New Roman" w:hAnsi="Times New Roman" w:eastAsia="黑体" w:cs="Times New Roman"/>
      <w:sz w:val="28"/>
      <w:szCs w:val="28"/>
      <w:lang w:val="en-US" w:eastAsia="zh-CN" w:bidi="ar-SA"/>
    </w:rPr>
  </w:style>
  <w:style w:type="paragraph" w:customStyle="1" w:styleId="57">
    <w:name w:val="合同标题"/>
    <w:basedOn w:val="58"/>
    <w:next w:val="58"/>
    <w:qFormat/>
    <w:uiPriority w:val="0"/>
    <w:pPr>
      <w:numPr>
        <w:ilvl w:val="0"/>
        <w:numId w:val="0"/>
      </w:numPr>
      <w:tabs>
        <w:tab w:val="left" w:pos="0"/>
      </w:tabs>
      <w:jc w:val="center"/>
    </w:pPr>
    <w:rPr>
      <w:rFonts w:eastAsia="方正小标宋简体"/>
      <w:sz w:val="32"/>
      <w:szCs w:val="32"/>
    </w:rPr>
  </w:style>
  <w:style w:type="paragraph" w:customStyle="1" w:styleId="58">
    <w:name w:val="合同正文"/>
    <w:qFormat/>
    <w:uiPriority w:val="0"/>
    <w:pPr>
      <w:numPr>
        <w:ilvl w:val="0"/>
        <w:numId w:val="2"/>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9">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_Style 62"/>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64">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65">
    <w:name w:val="a2"/>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2037</Words>
  <Characters>2170</Characters>
  <Lines>104</Lines>
  <Paragraphs>29</Paragraphs>
  <TotalTime>20</TotalTime>
  <ScaleCrop>false</ScaleCrop>
  <LinksUpToDate>false</LinksUpToDate>
  <CharactersWithSpaces>2181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2026-05-14T07:59:20Z</dcterms:modified>
  <dc:title>重庆市公检法系统公务用车议标项目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2F8AC877D36040A5AA6C7288D3EC0CA8_13</vt:lpwstr>
  </property>
  <property fmtid="{D5CDD505-2E9C-101B-9397-08002B2CF9AE}" pid="4" name="KSOTemplateDocerSaveRecord">
    <vt:lpwstr>eyJoZGlkIjoiZjk0MzBhOWQ1ZDJiOWMwZjUxOGI3ZmMzOTk1ZGI1ZGEiLCJ1c2VySWQiOiIxMTQ2NTc1NDM2In0=</vt:lpwstr>
  </property>
</Properties>
</file>