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DC24C">
      <w:pPr>
        <w:pStyle w:val="4"/>
        <w:spacing w:before="0" w:after="100" w:line="480" w:lineRule="auto"/>
        <w:rPr>
          <w:rFonts w:hint="eastAsia" w:ascii="宋体" w:hAnsi="宋体" w:cs="宋体"/>
          <w:lang w:eastAsia="zh-CN"/>
        </w:rPr>
      </w:pPr>
      <w:r>
        <w:rPr>
          <w:rFonts w:hint="eastAsia" w:ascii="宋体" w:hAnsi="宋体" w:cs="宋体"/>
          <w:lang w:eastAsia="zh-CN"/>
        </w:rPr>
        <w:t>武汉天河机场T2航站楼2026年第一批商业项目</w:t>
      </w:r>
    </w:p>
    <w:p w14:paraId="0F141B80">
      <w:pPr>
        <w:pStyle w:val="4"/>
        <w:spacing w:before="0" w:after="100" w:line="480" w:lineRule="auto"/>
        <w:rPr>
          <w:rFonts w:hint="eastAsia" w:ascii="宋体" w:hAnsi="宋体" w:eastAsia="宋体" w:cs="宋体"/>
          <w:lang w:val="en-US" w:eastAsia="zh-CN"/>
        </w:rPr>
      </w:pPr>
      <w:r>
        <w:rPr>
          <w:rFonts w:hint="eastAsia" w:ascii="宋体" w:hAnsi="宋体" w:cs="宋体"/>
        </w:rPr>
        <w:t>招商</w:t>
      </w:r>
      <w:r>
        <w:rPr>
          <w:rFonts w:hint="eastAsia" w:ascii="宋体" w:hAnsi="宋体" w:cs="宋体"/>
          <w:lang w:val="en-US" w:eastAsia="zh-CN"/>
        </w:rPr>
        <w:t>公告</w:t>
      </w:r>
    </w:p>
    <w:p w14:paraId="7EE89F59">
      <w:pPr>
        <w:widowControl w:val="0"/>
        <w:spacing w:line="360" w:lineRule="auto"/>
        <w:ind w:firstLine="480" w:firstLineChars="200"/>
        <w:jc w:val="both"/>
        <w:rPr>
          <w:rFonts w:ascii="宋体" w:hAnsi="宋体" w:eastAsia="宋体" w:cs="宋体"/>
          <w:kern w:val="2"/>
          <w:sz w:val="24"/>
          <w:szCs w:val="24"/>
          <w:lang w:val="en-US" w:eastAsia="zh-CN" w:bidi="ar-SA"/>
        </w:rPr>
      </w:pPr>
      <w:bookmarkStart w:id="0" w:name="_Hlt3692889"/>
      <w:bookmarkEnd w:id="0"/>
      <w:bookmarkStart w:id="1" w:name="_Hlt3694260"/>
      <w:bookmarkEnd w:id="1"/>
      <w:bookmarkStart w:id="2" w:name="_Hlt4486101"/>
      <w:bookmarkEnd w:id="2"/>
      <w:bookmarkStart w:id="3" w:name="_Hlt9415333"/>
      <w:bookmarkEnd w:id="3"/>
      <w:bookmarkStart w:id="4" w:name="_Hlt758651"/>
      <w:bookmarkEnd w:id="4"/>
      <w:bookmarkStart w:id="5" w:name="_Hlt3694304"/>
      <w:bookmarkEnd w:id="5"/>
      <w:bookmarkStart w:id="6" w:name="_Hlt536244962"/>
      <w:bookmarkEnd w:id="6"/>
      <w:r>
        <w:rPr>
          <w:rFonts w:hint="eastAsia" w:ascii="宋体" w:hAnsi="宋体" w:eastAsia="宋体" w:cs="宋体"/>
          <w:kern w:val="2"/>
          <w:sz w:val="24"/>
          <w:szCs w:val="24"/>
          <w:lang w:val="en-US" w:eastAsia="zh-CN" w:bidi="ar-SA"/>
        </w:rPr>
        <w:t>湖北国华项目管理咨询有限公司（以下简称“招商代理机构”）受湖北机场天睿商业发展有限责任公司（以下简称“招商人”）的委托，就其武汉天河机场T2航站楼2026年第一批商业项目招商，现公开邀请潜在响应人参与招商活动。</w:t>
      </w:r>
    </w:p>
    <w:p w14:paraId="58DA09F5">
      <w:pPr>
        <w:keepNext/>
        <w:keepLines/>
        <w:widowControl w:val="0"/>
        <w:spacing w:before="156" w:beforeLines="50" w:after="156" w:afterLines="50" w:line="360" w:lineRule="auto"/>
        <w:jc w:val="both"/>
        <w:outlineLvl w:val="1"/>
        <w:rPr>
          <w:rFonts w:ascii="宋体" w:hAnsi="宋体" w:eastAsia="宋体" w:cs="宋体"/>
          <w:b/>
          <w:bCs/>
          <w:kern w:val="2"/>
          <w:sz w:val="28"/>
          <w:szCs w:val="28"/>
          <w:lang w:val="en-US" w:eastAsia="zh-CN" w:bidi="ar-SA"/>
        </w:rPr>
      </w:pPr>
      <w:bookmarkStart w:id="7" w:name="_Toc431970291"/>
      <w:bookmarkStart w:id="8" w:name="_Toc430855196"/>
      <w:bookmarkStart w:id="9" w:name="_Toc7359"/>
      <w:r>
        <w:rPr>
          <w:rFonts w:hint="eastAsia" w:ascii="宋体" w:hAnsi="宋体" w:eastAsia="宋体" w:cs="宋体"/>
          <w:b/>
          <w:bCs/>
          <w:kern w:val="2"/>
          <w:sz w:val="28"/>
          <w:szCs w:val="28"/>
          <w:lang w:val="en-US" w:eastAsia="zh-CN" w:bidi="ar-SA"/>
        </w:rPr>
        <w:t>一、项目概况</w:t>
      </w:r>
      <w:bookmarkEnd w:id="7"/>
      <w:bookmarkEnd w:id="8"/>
      <w:bookmarkEnd w:id="9"/>
    </w:p>
    <w:p w14:paraId="4F7F7533">
      <w:pPr>
        <w:snapToGrid w:val="0"/>
        <w:spacing w:line="360" w:lineRule="auto"/>
        <w:ind w:firstLine="480" w:firstLineChars="200"/>
        <w:rPr>
          <w:rFonts w:hint="eastAsia" w:ascii="宋体" w:hAnsi="宋体" w:eastAsia="宋体" w:cs="宋体"/>
          <w:lang w:eastAsia="zh-CN"/>
        </w:rPr>
      </w:pPr>
      <w:r>
        <w:rPr>
          <w:rFonts w:hint="eastAsia" w:ascii="宋体" w:hAnsi="宋体" w:eastAsia="宋体" w:cs="宋体"/>
          <w:sz w:val="24"/>
        </w:rPr>
        <w:t>1、项目名称：</w:t>
      </w:r>
      <w:r>
        <w:rPr>
          <w:rFonts w:hint="eastAsia" w:ascii="宋体" w:hAnsi="宋体" w:eastAsia="宋体" w:cs="宋体"/>
          <w:sz w:val="24"/>
          <w:lang w:eastAsia="zh-CN"/>
        </w:rPr>
        <w:t>武汉天河机场T2航站楼2026年第一批商业项目</w:t>
      </w:r>
    </w:p>
    <w:p w14:paraId="23F11DF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2、招商编号：ZB0102-202604-FZBFW0505      </w:t>
      </w:r>
    </w:p>
    <w:p w14:paraId="34AD6234">
      <w:pPr>
        <w:spacing w:line="360" w:lineRule="auto"/>
        <w:ind w:firstLine="480" w:firstLineChars="200"/>
        <w:rPr>
          <w:rFonts w:hint="eastAsia" w:ascii="宋体" w:hAnsi="宋体" w:eastAsia="宋体" w:cs="宋体"/>
          <w:sz w:val="24"/>
        </w:rPr>
      </w:pPr>
      <w:r>
        <w:rPr>
          <w:rFonts w:hint="eastAsia" w:ascii="宋体" w:hAnsi="宋体" w:eastAsia="宋体" w:cs="宋体"/>
          <w:sz w:val="24"/>
        </w:rPr>
        <w:t>3、招商内容：</w:t>
      </w:r>
      <w:bookmarkStart w:id="10" w:name="OLE_LINK7"/>
      <w:r>
        <w:rPr>
          <w:rFonts w:hint="eastAsia" w:ascii="宋体" w:hAnsi="宋体" w:eastAsia="宋体" w:cs="宋体"/>
          <w:sz w:val="24"/>
          <w:lang w:val="en-US" w:eastAsia="zh-CN"/>
        </w:rPr>
        <w:t>本次招商共5个项目，作为5个标段进行招商</w:t>
      </w:r>
      <w:bookmarkEnd w:id="10"/>
      <w:r>
        <w:rPr>
          <w:rFonts w:hint="eastAsia" w:ascii="宋体" w:hAnsi="宋体" w:eastAsia="宋体" w:cs="宋体"/>
          <w:sz w:val="24"/>
          <w:lang w:val="en-US" w:eastAsia="zh-CN"/>
        </w:rPr>
        <w:t>，所有标段可多投多中。</w:t>
      </w:r>
      <w:r>
        <w:rPr>
          <w:rFonts w:hint="eastAsia" w:ascii="宋体" w:hAnsi="宋体" w:eastAsia="宋体" w:cs="宋体"/>
          <w:sz w:val="24"/>
        </w:rPr>
        <w:t>具体</w:t>
      </w:r>
      <w:r>
        <w:rPr>
          <w:rFonts w:hint="eastAsia" w:ascii="宋体" w:hAnsi="宋体" w:eastAsia="宋体" w:cs="宋体"/>
          <w:sz w:val="24"/>
          <w:lang w:val="en-US" w:eastAsia="zh-CN"/>
        </w:rPr>
        <w:t>详</w:t>
      </w:r>
      <w:r>
        <w:rPr>
          <w:rFonts w:hint="eastAsia" w:ascii="宋体" w:hAnsi="宋体" w:eastAsia="宋体" w:cs="宋体"/>
          <w:sz w:val="24"/>
        </w:rPr>
        <w:t>见下表：</w:t>
      </w:r>
    </w:p>
    <w:tbl>
      <w:tblPr>
        <w:tblStyle w:val="6"/>
        <w:tblW w:w="7893" w:type="dxa"/>
        <w:jc w:val="center"/>
        <w:tblLayout w:type="fixed"/>
        <w:tblCellMar>
          <w:top w:w="0" w:type="dxa"/>
          <w:left w:w="108" w:type="dxa"/>
          <w:bottom w:w="0" w:type="dxa"/>
          <w:right w:w="108" w:type="dxa"/>
        </w:tblCellMar>
      </w:tblPr>
      <w:tblGrid>
        <w:gridCol w:w="547"/>
        <w:gridCol w:w="1043"/>
        <w:gridCol w:w="807"/>
        <w:gridCol w:w="1097"/>
        <w:gridCol w:w="781"/>
        <w:gridCol w:w="1937"/>
        <w:gridCol w:w="1681"/>
      </w:tblGrid>
      <w:tr w14:paraId="562FDECE">
        <w:tblPrEx>
          <w:tblCellMar>
            <w:top w:w="0" w:type="dxa"/>
            <w:left w:w="108" w:type="dxa"/>
            <w:bottom w:w="0" w:type="dxa"/>
            <w:right w:w="108" w:type="dxa"/>
          </w:tblCellMar>
        </w:tblPrEx>
        <w:trPr>
          <w:trHeight w:val="826" w:hRule="atLeast"/>
          <w:jc w:val="center"/>
        </w:trPr>
        <w:tc>
          <w:tcPr>
            <w:tcW w:w="547"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127AB2F">
            <w:pPr>
              <w:widowControl/>
              <w:jc w:val="center"/>
              <w:textAlignment w:val="center"/>
              <w:rPr>
                <w:rFonts w:ascii="宋体" w:hAnsi="宋体" w:cs="宋体"/>
                <w:b/>
                <w:bCs w:val="0"/>
                <w:color w:val="000000"/>
                <w:szCs w:val="21"/>
              </w:rPr>
            </w:pPr>
            <w:r>
              <w:rPr>
                <w:rFonts w:hint="eastAsia" w:ascii="宋体" w:hAnsi="宋体" w:cs="宋体"/>
                <w:b/>
                <w:bCs w:val="0"/>
                <w:color w:val="000000"/>
                <w:kern w:val="0"/>
                <w:szCs w:val="21"/>
                <w:lang w:bidi="ar"/>
              </w:rPr>
              <w:t>标段</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D2347">
            <w:pPr>
              <w:widowControl/>
              <w:jc w:val="center"/>
              <w:textAlignment w:val="center"/>
              <w:rPr>
                <w:rFonts w:ascii="宋体" w:hAnsi="宋体" w:cs="宋体"/>
                <w:b/>
                <w:bCs w:val="0"/>
                <w:color w:val="000000"/>
                <w:szCs w:val="21"/>
              </w:rPr>
            </w:pPr>
            <w:r>
              <w:rPr>
                <w:rFonts w:hint="eastAsia" w:ascii="宋体" w:hAnsi="宋体" w:cs="宋体"/>
                <w:b/>
                <w:bCs w:val="0"/>
                <w:color w:val="000000"/>
                <w:kern w:val="0"/>
                <w:szCs w:val="21"/>
                <w:lang w:bidi="ar"/>
              </w:rPr>
              <w:t>店铺编号</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9283B">
            <w:pPr>
              <w:widowControl/>
              <w:jc w:val="center"/>
              <w:textAlignment w:val="center"/>
              <w:rPr>
                <w:rFonts w:ascii="宋体" w:hAnsi="宋体" w:cs="宋体"/>
                <w:b/>
                <w:bCs w:val="0"/>
                <w:color w:val="000000"/>
                <w:szCs w:val="21"/>
              </w:rPr>
            </w:pPr>
            <w:r>
              <w:rPr>
                <w:rFonts w:hint="eastAsia" w:ascii="宋体" w:hAnsi="宋体" w:cs="宋体"/>
                <w:b/>
                <w:bCs w:val="0"/>
                <w:color w:val="000000"/>
                <w:kern w:val="0"/>
                <w:szCs w:val="21"/>
                <w:lang w:bidi="ar"/>
              </w:rPr>
              <w:t>区域</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C21AC">
            <w:pPr>
              <w:widowControl/>
              <w:jc w:val="center"/>
              <w:textAlignment w:val="center"/>
              <w:rPr>
                <w:rFonts w:ascii="宋体" w:hAnsi="宋体" w:cs="宋体"/>
                <w:b/>
                <w:bCs w:val="0"/>
                <w:color w:val="000000"/>
                <w:szCs w:val="21"/>
              </w:rPr>
            </w:pPr>
            <w:r>
              <w:rPr>
                <w:rFonts w:hint="eastAsia" w:ascii="宋体" w:hAnsi="宋体" w:cs="宋体"/>
                <w:b/>
                <w:bCs w:val="0"/>
                <w:color w:val="000000"/>
                <w:kern w:val="0"/>
                <w:szCs w:val="21"/>
                <w:lang w:bidi="ar"/>
              </w:rPr>
              <w:t>面积（㎡）</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56C76">
            <w:pPr>
              <w:widowControl/>
              <w:jc w:val="center"/>
              <w:textAlignment w:val="center"/>
              <w:rPr>
                <w:rFonts w:hint="eastAsia" w:ascii="宋体" w:hAnsi="宋体" w:eastAsia="宋体" w:cs="宋体"/>
                <w:b/>
                <w:bCs w:val="0"/>
                <w:color w:val="000000"/>
                <w:kern w:val="0"/>
                <w:szCs w:val="21"/>
                <w:lang w:bidi="ar"/>
              </w:rPr>
            </w:pPr>
            <w:r>
              <w:rPr>
                <w:rFonts w:hint="eastAsia" w:ascii="宋体" w:hAnsi="宋体" w:eastAsia="宋体" w:cs="宋体"/>
                <w:b/>
                <w:bCs w:val="0"/>
                <w:color w:val="000000"/>
                <w:kern w:val="0"/>
                <w:szCs w:val="21"/>
                <w:lang w:val="en-US" w:eastAsia="zh-CN" w:bidi="ar"/>
              </w:rPr>
              <w:t>业态</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6C83F">
            <w:pPr>
              <w:widowControl/>
              <w:jc w:val="center"/>
              <w:textAlignment w:val="center"/>
              <w:rPr>
                <w:rFonts w:hint="eastAsia" w:ascii="宋体" w:hAnsi="宋体" w:eastAsia="宋体" w:cs="宋体"/>
                <w:b/>
                <w:bCs w:val="0"/>
                <w:color w:val="000000"/>
                <w:kern w:val="0"/>
                <w:szCs w:val="21"/>
                <w:lang w:bidi="ar"/>
              </w:rPr>
            </w:pPr>
            <w:r>
              <w:rPr>
                <w:rFonts w:hint="eastAsia" w:ascii="宋体" w:hAnsi="宋体" w:eastAsia="宋体" w:cs="宋体"/>
                <w:b/>
                <w:bCs w:val="0"/>
                <w:color w:val="000000"/>
                <w:kern w:val="0"/>
                <w:szCs w:val="21"/>
                <w:lang w:val="en-US" w:eastAsia="zh-CN" w:bidi="ar"/>
              </w:rPr>
              <w:t>招商品类</w:t>
            </w:r>
          </w:p>
        </w:tc>
        <w:tc>
          <w:tcPr>
            <w:tcW w:w="16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0BC46">
            <w:pPr>
              <w:widowControl/>
              <w:jc w:val="center"/>
              <w:textAlignment w:val="center"/>
              <w:rPr>
                <w:rFonts w:ascii="宋体" w:hAnsi="宋体" w:cs="宋体"/>
                <w:b/>
                <w:bCs w:val="0"/>
                <w:color w:val="000000"/>
                <w:szCs w:val="21"/>
              </w:rPr>
            </w:pPr>
            <w:r>
              <w:rPr>
                <w:rFonts w:hint="eastAsia" w:ascii="宋体" w:hAnsi="宋体" w:cs="宋体"/>
                <w:b/>
                <w:bCs w:val="0"/>
                <w:color w:val="000000"/>
                <w:kern w:val="0"/>
                <w:szCs w:val="21"/>
                <w:lang w:bidi="ar"/>
              </w:rPr>
              <w:t>工程条件</w:t>
            </w:r>
          </w:p>
        </w:tc>
      </w:tr>
      <w:tr w14:paraId="2842D211">
        <w:tblPrEx>
          <w:tblCellMar>
            <w:top w:w="0" w:type="dxa"/>
            <w:left w:w="108" w:type="dxa"/>
            <w:bottom w:w="0" w:type="dxa"/>
            <w:right w:w="108" w:type="dxa"/>
          </w:tblCellMar>
        </w:tblPrEx>
        <w:trPr>
          <w:trHeight w:val="8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233E2">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95028">
            <w:pPr>
              <w:widowControl/>
              <w:jc w:val="center"/>
              <w:textAlignment w:val="center"/>
              <w:rPr>
                <w:rFonts w:hint="default"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2S-ST04</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38B5C">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A指廊</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33169">
            <w:pPr>
              <w:widowControl/>
              <w:jc w:val="center"/>
              <w:textAlignment w:val="center"/>
              <w:rPr>
                <w:rFonts w:hint="default"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30.00</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6FEA6">
            <w:pPr>
              <w:widowControl/>
              <w:jc w:val="center"/>
              <w:textAlignment w:val="center"/>
              <w:rPr>
                <w:rFonts w:hint="default"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sz w:val="22"/>
                <w:szCs w:val="22"/>
                <w:lang w:val="en-US" w:eastAsia="zh-CN"/>
              </w:rPr>
              <w:t>餐饮/零售</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F4F2A">
            <w:pPr>
              <w:widowControl/>
              <w:jc w:val="center"/>
              <w:textAlignment w:val="center"/>
              <w:rPr>
                <w:rFonts w:hint="default" w:ascii="仿宋_GB2312" w:hAnsi="宋体" w:eastAsia="仿宋_GB2312" w:cs="仿宋_GB2312"/>
                <w:b w:val="0"/>
                <w:color w:val="000000"/>
                <w:kern w:val="0"/>
                <w:sz w:val="22"/>
                <w:szCs w:val="22"/>
                <w:highlight w:val="none"/>
                <w:lang w:val="en-US" w:eastAsia="zh-CN" w:bidi="ar"/>
              </w:rPr>
            </w:pPr>
            <w:r>
              <w:rPr>
                <w:rFonts w:hint="default" w:ascii="仿宋_GB2312" w:hAnsi="宋体" w:eastAsia="仿宋_GB2312" w:cs="仿宋_GB2312"/>
                <w:b w:val="0"/>
                <w:color w:val="000000"/>
                <w:kern w:val="0"/>
                <w:sz w:val="22"/>
                <w:szCs w:val="22"/>
                <w:highlight w:val="none"/>
                <w:lang w:val="en-US" w:eastAsia="zh-CN" w:bidi="ar"/>
              </w:rPr>
              <w:t>开放品类，除特产、便利店、卤制品店</w:t>
            </w:r>
          </w:p>
        </w:tc>
        <w:tc>
          <w:tcPr>
            <w:tcW w:w="16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DC413">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用电功率30KW，可新增上下水。</w:t>
            </w:r>
          </w:p>
        </w:tc>
      </w:tr>
      <w:tr w14:paraId="6201D85F">
        <w:tblPrEx>
          <w:tblCellMar>
            <w:top w:w="0" w:type="dxa"/>
            <w:left w:w="108" w:type="dxa"/>
            <w:bottom w:w="0" w:type="dxa"/>
            <w:right w:w="108" w:type="dxa"/>
          </w:tblCellMar>
        </w:tblPrEx>
        <w:trPr>
          <w:trHeight w:val="8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A3C38">
            <w:pPr>
              <w:widowControl/>
              <w:jc w:val="center"/>
              <w:textAlignment w:val="center"/>
              <w:rPr>
                <w:rFonts w:hint="default"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B937F">
            <w:pPr>
              <w:widowControl/>
              <w:jc w:val="center"/>
              <w:textAlignment w:val="center"/>
              <w:rPr>
                <w:rFonts w:hint="default"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2SC-01</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31AA9">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A指廊</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EFE58">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35.26</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B000C">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sz w:val="22"/>
                <w:szCs w:val="22"/>
                <w:lang w:val="en-US" w:eastAsia="zh-CN"/>
              </w:rPr>
              <w:t>零售</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C73BE">
            <w:pPr>
              <w:widowControl/>
              <w:jc w:val="center"/>
              <w:textAlignment w:val="center"/>
              <w:rPr>
                <w:rFonts w:hint="default" w:ascii="仿宋_GB2312" w:hAnsi="宋体" w:eastAsia="仿宋_GB2312" w:cs="仿宋_GB2312"/>
                <w:b w:val="0"/>
                <w:color w:val="000000"/>
                <w:kern w:val="0"/>
                <w:sz w:val="22"/>
                <w:szCs w:val="22"/>
                <w:lang w:val="en-US" w:eastAsia="zh-CN" w:bidi="ar"/>
              </w:rPr>
            </w:pPr>
            <w:r>
              <w:rPr>
                <w:rFonts w:hint="default" w:ascii="仿宋_GB2312" w:hAnsi="宋体" w:eastAsia="仿宋_GB2312" w:cs="仿宋_GB2312"/>
                <w:b w:val="0"/>
                <w:color w:val="000000"/>
                <w:kern w:val="0"/>
                <w:sz w:val="22"/>
                <w:szCs w:val="22"/>
                <w:lang w:val="en-US" w:eastAsia="zh-CN" w:bidi="ar"/>
              </w:rPr>
              <w:t>开放品类（限单一品牌），除特产、便利店、卤制品店</w:t>
            </w:r>
          </w:p>
        </w:tc>
        <w:tc>
          <w:tcPr>
            <w:tcW w:w="16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DF1ED">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用电功率5KW，无上下水。</w:t>
            </w:r>
          </w:p>
        </w:tc>
      </w:tr>
      <w:tr w14:paraId="4524EA05">
        <w:tblPrEx>
          <w:tblCellMar>
            <w:top w:w="0" w:type="dxa"/>
            <w:left w:w="108" w:type="dxa"/>
            <w:bottom w:w="0" w:type="dxa"/>
            <w:right w:w="108" w:type="dxa"/>
          </w:tblCellMar>
        </w:tblPrEx>
        <w:trPr>
          <w:trHeight w:val="8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1D19F">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3</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0414E">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2NC-01</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B1694">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B指廊</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EBE64">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35.81</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D486A">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sz w:val="22"/>
                <w:szCs w:val="22"/>
                <w:lang w:val="en-US" w:eastAsia="zh-CN"/>
              </w:rPr>
              <w:t>零售</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ED55A">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default" w:ascii="仿宋_GB2312" w:hAnsi="宋体" w:eastAsia="仿宋_GB2312" w:cs="仿宋_GB2312"/>
                <w:b w:val="0"/>
                <w:color w:val="000000"/>
                <w:kern w:val="0"/>
                <w:sz w:val="22"/>
                <w:szCs w:val="22"/>
                <w:lang w:val="en-US" w:eastAsia="zh-CN" w:bidi="ar"/>
              </w:rPr>
              <w:t>开放品类（限单一品牌），除特产、便利店、卤制品店</w:t>
            </w:r>
          </w:p>
        </w:tc>
        <w:tc>
          <w:tcPr>
            <w:tcW w:w="16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CF304">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用电功率5KW，无上下水。</w:t>
            </w:r>
          </w:p>
        </w:tc>
      </w:tr>
      <w:tr w14:paraId="02841ED2">
        <w:tblPrEx>
          <w:tblCellMar>
            <w:top w:w="0" w:type="dxa"/>
            <w:left w:w="108" w:type="dxa"/>
            <w:bottom w:w="0" w:type="dxa"/>
            <w:right w:w="108" w:type="dxa"/>
          </w:tblCellMar>
        </w:tblPrEx>
        <w:trPr>
          <w:trHeight w:val="817"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4E45A">
            <w:pPr>
              <w:widowControl/>
              <w:jc w:val="center"/>
              <w:textAlignment w:val="center"/>
              <w:rPr>
                <w:rFonts w:hint="default"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4</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975AD">
            <w:pPr>
              <w:widowControl/>
              <w:jc w:val="center"/>
              <w:textAlignment w:val="center"/>
              <w:rPr>
                <w:rFonts w:hint="default"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2S-11</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1D7E5">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A指廊</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F3D6E">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99.68</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CB969">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sz w:val="22"/>
                <w:szCs w:val="22"/>
                <w:lang w:val="en-US" w:eastAsia="zh-CN"/>
              </w:rPr>
              <w:t>零售</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9E9DD">
            <w:pPr>
              <w:widowControl/>
              <w:jc w:val="center"/>
              <w:textAlignment w:val="center"/>
              <w:rPr>
                <w:rFonts w:hint="default" w:ascii="仿宋_GB2312" w:hAnsi="宋体" w:eastAsia="仿宋_GB2312" w:cs="仿宋_GB2312"/>
                <w:b w:val="0"/>
                <w:color w:val="000000"/>
                <w:kern w:val="0"/>
                <w:sz w:val="22"/>
                <w:szCs w:val="22"/>
                <w:lang w:val="en-US" w:eastAsia="zh-CN" w:bidi="ar"/>
              </w:rPr>
            </w:pPr>
            <w:r>
              <w:rPr>
                <w:rFonts w:hint="default" w:ascii="仿宋_GB2312" w:hAnsi="宋体" w:eastAsia="仿宋_GB2312" w:cs="仿宋_GB2312"/>
                <w:b w:val="0"/>
                <w:color w:val="000000"/>
                <w:kern w:val="0"/>
                <w:sz w:val="22"/>
                <w:szCs w:val="22"/>
                <w:lang w:val="en-US" w:eastAsia="zh-CN" w:bidi="ar"/>
              </w:rPr>
              <w:t>开放品类，除特产、便利店、卤制品店</w:t>
            </w:r>
          </w:p>
        </w:tc>
        <w:tc>
          <w:tcPr>
            <w:tcW w:w="16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F7397">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用电功率40KW，有上下水。</w:t>
            </w:r>
          </w:p>
        </w:tc>
      </w:tr>
      <w:tr w14:paraId="2271306F">
        <w:tblPrEx>
          <w:tblCellMar>
            <w:top w:w="0" w:type="dxa"/>
            <w:left w:w="108" w:type="dxa"/>
            <w:bottom w:w="0" w:type="dxa"/>
            <w:right w:w="108" w:type="dxa"/>
          </w:tblCellMar>
        </w:tblPrEx>
        <w:trPr>
          <w:trHeight w:val="83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721D3">
            <w:pPr>
              <w:widowControl/>
              <w:jc w:val="center"/>
              <w:textAlignment w:val="center"/>
              <w:rPr>
                <w:rFonts w:hint="default"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255AB">
            <w:pPr>
              <w:widowControl/>
              <w:jc w:val="center"/>
              <w:textAlignment w:val="center"/>
              <w:rPr>
                <w:rFonts w:hint="default"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2S-14</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B5AD4">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A指廊</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F64AF">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74.32</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4E663">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sz w:val="22"/>
                <w:szCs w:val="22"/>
                <w:lang w:val="en-US" w:eastAsia="zh-CN"/>
              </w:rPr>
              <w:t>餐饮/零售</w:t>
            </w:r>
          </w:p>
        </w:tc>
        <w:tc>
          <w:tcPr>
            <w:tcW w:w="1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F8BE8">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开放品类，除特产、便利店、卤制品店</w:t>
            </w:r>
          </w:p>
        </w:tc>
        <w:tc>
          <w:tcPr>
            <w:tcW w:w="16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5F609">
            <w:pPr>
              <w:widowControl/>
              <w:jc w:val="center"/>
              <w:textAlignment w:val="center"/>
              <w:rPr>
                <w:rFonts w:hint="eastAsia" w:ascii="仿宋_GB2312" w:hAnsi="宋体" w:eastAsia="仿宋_GB2312" w:cs="仿宋_GB2312"/>
                <w:b w:val="0"/>
                <w:color w:val="000000"/>
                <w:kern w:val="0"/>
                <w:sz w:val="22"/>
                <w:szCs w:val="22"/>
                <w:lang w:val="en-US" w:eastAsia="zh-CN" w:bidi="ar"/>
              </w:rPr>
            </w:pPr>
            <w:r>
              <w:rPr>
                <w:rFonts w:hint="eastAsia" w:ascii="仿宋_GB2312" w:hAnsi="宋体" w:eastAsia="仿宋_GB2312" w:cs="仿宋_GB2312"/>
                <w:b w:val="0"/>
                <w:color w:val="000000"/>
                <w:kern w:val="0"/>
                <w:sz w:val="22"/>
                <w:szCs w:val="22"/>
                <w:lang w:val="en-US" w:eastAsia="zh-CN" w:bidi="ar"/>
              </w:rPr>
              <w:t>用电功率30KW，有上下水</w:t>
            </w:r>
          </w:p>
        </w:tc>
      </w:tr>
    </w:tbl>
    <w:p w14:paraId="5DFA7B43">
      <w:pPr>
        <w:numPr>
          <w:ilvl w:val="0"/>
          <w:numId w:val="0"/>
        </w:numPr>
        <w:snapToGrid w:val="0"/>
        <w:spacing w:line="360" w:lineRule="auto"/>
        <w:rPr>
          <w:rFonts w:hint="eastAsia" w:ascii="宋体" w:hAnsi="宋体" w:eastAsia="宋体" w:cs="宋体"/>
          <w:sz w:val="24"/>
        </w:rPr>
      </w:pPr>
    </w:p>
    <w:p w14:paraId="377DDA58">
      <w:pPr>
        <w:numPr>
          <w:ilvl w:val="0"/>
          <w:numId w:val="1"/>
        </w:num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项目范围：</w:t>
      </w:r>
    </w:p>
    <w:p w14:paraId="2CBCF6B0">
      <w:pPr>
        <w:numPr>
          <w:ilvl w:val="0"/>
          <w:numId w:val="0"/>
        </w:num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标段1：响应人可自行规划餐饮或零售业态，开放品类，但特产、便利店、卤制品店除外；</w:t>
      </w:r>
    </w:p>
    <w:p w14:paraId="2F8332FE">
      <w:pPr>
        <w:numPr>
          <w:ilvl w:val="0"/>
          <w:numId w:val="0"/>
        </w:num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标段2-3：响应人可规划零售业态，开放品类（限单一品牌），但特产、便利店、卤制品店除外；</w:t>
      </w:r>
    </w:p>
    <w:p w14:paraId="27F3AD15">
      <w:pPr>
        <w:numPr>
          <w:ilvl w:val="0"/>
          <w:numId w:val="0"/>
        </w:num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标段4：响应人可规划零售业态，开放品类，但特产、便利店、卤制品店除外；</w:t>
      </w:r>
    </w:p>
    <w:p w14:paraId="7D8738BE">
      <w:pPr>
        <w:numPr>
          <w:ilvl w:val="0"/>
          <w:numId w:val="0"/>
        </w:num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标段5：响应人可规划餐饮或零售业态，开放品类，但特产、便利店、卤制品店除外；</w:t>
      </w:r>
    </w:p>
    <w:p w14:paraId="7B3D0CFD">
      <w:pPr>
        <w:pStyle w:val="2"/>
        <w:rPr>
          <w:rFonts w:hint="eastAsia"/>
        </w:rPr>
      </w:pPr>
    </w:p>
    <w:p w14:paraId="6599682C">
      <w:pPr>
        <w:numPr>
          <w:ilvl w:val="0"/>
          <w:numId w:val="0"/>
        </w:numPr>
        <w:snapToGrid w:val="0"/>
        <w:spacing w:line="360" w:lineRule="auto"/>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合同期限：</w:t>
      </w:r>
      <w:bookmarkStart w:id="11" w:name="OLE_LINK10"/>
    </w:p>
    <w:p w14:paraId="1C61756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所有标段的合同期限为3年，合同执行期限自适用场地交付起开始计算，</w:t>
      </w:r>
      <w:r>
        <w:rPr>
          <w:rFonts w:hint="eastAsia" w:ascii="宋体" w:hAnsi="宋体" w:eastAsia="宋体" w:cs="宋体"/>
          <w:sz w:val="24"/>
        </w:rPr>
        <w:t>所有标段装修免租期均为自适用场地交付之日起最多不超过30个日历日。</w:t>
      </w:r>
    </w:p>
    <w:p w14:paraId="267AC80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其中非经营方原因导致的停工，在提供相应证明文件后，可不计入免租期，具体以招商人审批为准。如提前完成装修并开业以实际开业之日起租。</w:t>
      </w:r>
    </w:p>
    <w:bookmarkEnd w:id="11"/>
    <w:p w14:paraId="30615894">
      <w:pPr>
        <w:keepNext/>
        <w:keepLines/>
        <w:widowControl w:val="0"/>
        <w:spacing w:before="156" w:beforeLines="50" w:after="156" w:afterLines="50" w:line="360" w:lineRule="auto"/>
        <w:jc w:val="both"/>
        <w:outlineLvl w:val="1"/>
        <w:rPr>
          <w:rFonts w:hint="eastAsia" w:ascii="宋体" w:hAnsi="宋体" w:eastAsia="宋体" w:cs="宋体"/>
          <w:b/>
          <w:bCs/>
          <w:kern w:val="2"/>
          <w:sz w:val="28"/>
          <w:szCs w:val="28"/>
          <w:lang w:val="en-US" w:eastAsia="zh-CN" w:bidi="ar-SA"/>
        </w:rPr>
      </w:pPr>
      <w:bookmarkStart w:id="12" w:name="_Toc431970292"/>
      <w:bookmarkStart w:id="13" w:name="_Toc430855197"/>
      <w:bookmarkStart w:id="14" w:name="_Toc2445"/>
      <w:r>
        <w:rPr>
          <w:rFonts w:hint="eastAsia" w:ascii="宋体" w:hAnsi="宋体" w:eastAsia="宋体" w:cs="宋体"/>
          <w:b/>
          <w:bCs/>
          <w:kern w:val="2"/>
          <w:sz w:val="28"/>
          <w:szCs w:val="28"/>
          <w:lang w:val="en-US" w:eastAsia="zh-CN" w:bidi="ar-SA"/>
        </w:rPr>
        <w:t>二、响应人资格要求</w:t>
      </w:r>
      <w:bookmarkEnd w:id="12"/>
      <w:bookmarkEnd w:id="13"/>
      <w:bookmarkEnd w:id="14"/>
      <w:r>
        <w:rPr>
          <w:rFonts w:hint="eastAsia" w:ascii="宋体" w:hAnsi="宋体" w:eastAsia="宋体" w:cs="宋体"/>
          <w:b/>
          <w:bCs/>
          <w:kern w:val="2"/>
          <w:sz w:val="28"/>
          <w:szCs w:val="28"/>
          <w:lang w:val="en-US" w:eastAsia="zh-CN" w:bidi="ar-SA"/>
        </w:rPr>
        <w:t xml:space="preserve">       </w:t>
      </w:r>
    </w:p>
    <w:p w14:paraId="2D5AB632">
      <w:pPr>
        <w:snapToGrid w:val="0"/>
        <w:spacing w:line="360" w:lineRule="auto"/>
        <w:ind w:firstLine="480" w:firstLineChars="200"/>
        <w:rPr>
          <w:rFonts w:hint="eastAsia" w:ascii="宋体" w:hAnsi="宋体" w:eastAsia="宋体" w:cs="宋体"/>
          <w:sz w:val="24"/>
        </w:rPr>
      </w:pPr>
      <w:bookmarkStart w:id="15" w:name="_Toc430855203"/>
      <w:bookmarkStart w:id="16" w:name="_Toc431970298"/>
      <w:r>
        <w:rPr>
          <w:rFonts w:hint="eastAsia" w:ascii="宋体" w:hAnsi="宋体" w:eastAsia="宋体" w:cs="宋体"/>
          <w:sz w:val="24"/>
        </w:rPr>
        <w:t>1</w:t>
      </w:r>
      <w:r>
        <w:rPr>
          <w:rFonts w:hint="eastAsia" w:ascii="宋体" w:hAnsi="宋体" w:eastAsia="宋体" w:cs="宋体"/>
          <w:sz w:val="24"/>
          <w:lang w:val="en-US" w:eastAsia="zh-CN"/>
        </w:rPr>
        <w:t>.响应人</w:t>
      </w:r>
      <w:r>
        <w:rPr>
          <w:rFonts w:hint="eastAsia" w:ascii="宋体" w:hAnsi="宋体" w:eastAsia="宋体" w:cs="宋体"/>
          <w:sz w:val="24"/>
        </w:rPr>
        <w:t>应为符合中国法律法规及行业经营管理规定、具有行业必要从业执照或资质的境内企业法人</w:t>
      </w:r>
      <w:r>
        <w:rPr>
          <w:rFonts w:hint="eastAsia" w:ascii="宋体" w:hAnsi="宋体" w:eastAsia="宋体" w:cs="宋体"/>
          <w:sz w:val="24"/>
          <w:lang w:eastAsia="zh-CN"/>
        </w:rPr>
        <w:t>，</w:t>
      </w:r>
      <w:r>
        <w:rPr>
          <w:rFonts w:hint="eastAsia" w:ascii="宋体" w:hAnsi="宋体" w:eastAsia="宋体" w:cs="宋体"/>
          <w:sz w:val="24"/>
          <w:lang w:val="en-US" w:eastAsia="zh-CN"/>
        </w:rPr>
        <w:t>且2025年纳税级别达B级及以上</w:t>
      </w:r>
      <w:r>
        <w:rPr>
          <w:rFonts w:hint="eastAsia" w:ascii="宋体" w:hAnsi="宋体" w:eastAsia="宋体" w:cs="宋体"/>
          <w:sz w:val="24"/>
        </w:rPr>
        <w:t>。</w:t>
      </w:r>
    </w:p>
    <w:p w14:paraId="7EF3489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2.响应人须具备自有品牌的生产企业、或自有注册商标的经销商、或具备合法代理资格的代理商；如引进非自有品牌，须提供有效的品牌授权书、特殊行业授权书。</w:t>
      </w:r>
    </w:p>
    <w:p w14:paraId="5338C75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.符合运营</w:t>
      </w:r>
      <w:r>
        <w:rPr>
          <w:rFonts w:hint="eastAsia" w:ascii="宋体" w:hAnsi="宋体" w:eastAsia="宋体" w:cs="宋体"/>
          <w:sz w:val="24"/>
          <w:lang w:val="en-US" w:eastAsia="zh-CN"/>
        </w:rPr>
        <w:t>投报</w:t>
      </w:r>
      <w:r>
        <w:rPr>
          <w:rFonts w:hint="eastAsia" w:ascii="宋体" w:hAnsi="宋体" w:eastAsia="宋体" w:cs="宋体"/>
          <w:sz w:val="24"/>
        </w:rPr>
        <w:t>项目所需的国家规定的相关资质条件（营业执照、食品经营许可证等，具体视项目决定）。</w:t>
      </w:r>
    </w:p>
    <w:p w14:paraId="5DFA064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.如符合招商条件的</w:t>
      </w:r>
      <w:r>
        <w:rPr>
          <w:rFonts w:hint="eastAsia" w:ascii="宋体" w:hAnsi="宋体" w:eastAsia="宋体" w:cs="宋体"/>
          <w:sz w:val="24"/>
          <w:lang w:val="en-US" w:eastAsia="zh-CN"/>
        </w:rPr>
        <w:t>T2航站楼</w:t>
      </w:r>
      <w:r>
        <w:rPr>
          <w:rFonts w:hint="eastAsia" w:ascii="宋体" w:hAnsi="宋体" w:eastAsia="宋体" w:cs="宋体"/>
          <w:sz w:val="24"/>
        </w:rPr>
        <w:t>现有</w:t>
      </w:r>
      <w:r>
        <w:rPr>
          <w:rFonts w:hint="eastAsia" w:ascii="宋体" w:hAnsi="宋体" w:eastAsia="宋体" w:cs="宋体"/>
          <w:sz w:val="24"/>
          <w:lang w:val="en-US" w:eastAsia="zh-CN"/>
        </w:rPr>
        <w:t>商业项目经营商户或曾经经营商户</w:t>
      </w:r>
      <w:r>
        <w:rPr>
          <w:rFonts w:hint="eastAsia" w:ascii="宋体" w:hAnsi="宋体" w:eastAsia="宋体" w:cs="宋体"/>
          <w:sz w:val="24"/>
        </w:rPr>
        <w:t>参与本次招商，不得</w:t>
      </w:r>
      <w:r>
        <w:rPr>
          <w:rFonts w:hint="eastAsia" w:ascii="宋体" w:hAnsi="宋体" w:eastAsia="宋体" w:cs="宋体"/>
          <w:sz w:val="24"/>
          <w:lang w:eastAsia="zh-CN"/>
        </w:rPr>
        <w:t>与</w:t>
      </w:r>
      <w:r>
        <w:rPr>
          <w:rFonts w:hint="eastAsia" w:ascii="宋体" w:hAnsi="宋体" w:eastAsia="宋体" w:cs="宋体"/>
          <w:sz w:val="24"/>
        </w:rPr>
        <w:t>招商人存在法律</w:t>
      </w:r>
      <w:r>
        <w:rPr>
          <w:rFonts w:hint="eastAsia" w:ascii="宋体" w:hAnsi="宋体" w:eastAsia="宋体" w:cs="宋体"/>
          <w:sz w:val="24"/>
          <w:lang w:eastAsia="zh-CN"/>
        </w:rPr>
        <w:t>仲裁、</w:t>
      </w:r>
      <w:r>
        <w:rPr>
          <w:rFonts w:hint="eastAsia" w:ascii="宋体" w:hAnsi="宋体" w:eastAsia="宋体" w:cs="宋体"/>
          <w:sz w:val="24"/>
        </w:rPr>
        <w:t>诉讼关系。截至招商评审上月最后一个自然日，响应人与湖北机场</w:t>
      </w:r>
      <w:r>
        <w:rPr>
          <w:rFonts w:hint="eastAsia" w:ascii="宋体" w:hAnsi="宋体" w:eastAsia="宋体" w:cs="宋体"/>
          <w:sz w:val="24"/>
          <w:lang w:val="en-US" w:eastAsia="zh-CN"/>
        </w:rPr>
        <w:t>天睿商业</w:t>
      </w:r>
      <w:r>
        <w:rPr>
          <w:rFonts w:hint="eastAsia" w:ascii="宋体" w:hAnsi="宋体" w:eastAsia="宋体" w:cs="宋体"/>
          <w:sz w:val="24"/>
        </w:rPr>
        <w:t>发展有限</w:t>
      </w:r>
      <w:r>
        <w:rPr>
          <w:rFonts w:hint="eastAsia" w:ascii="宋体" w:hAnsi="宋体" w:eastAsia="宋体" w:cs="宋体"/>
          <w:sz w:val="24"/>
          <w:lang w:val="en-US" w:eastAsia="zh-CN"/>
        </w:rPr>
        <w:t>责任</w:t>
      </w:r>
      <w:r>
        <w:rPr>
          <w:rFonts w:hint="eastAsia" w:ascii="宋体" w:hAnsi="宋体" w:eastAsia="宋体" w:cs="宋体"/>
          <w:sz w:val="24"/>
        </w:rPr>
        <w:t>公司不存在欠租、欠费等违约行为。</w:t>
      </w:r>
    </w:p>
    <w:p w14:paraId="14F998A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守法经营，诚实守信。在以前的经营活动中未出现过以商业贿赂等不正当竞争手段取得经营权的记录。在国家企业信用信息公示系统（http://www.gsxt.gov.cn/）及企查查中显示经营中无违法记录，无虚假广告行为，无不正当竞争行为。银行信用良好，无不良欠款记录。无被暂停投标资格且在暂停期内的，以上需提交书面</w:t>
      </w:r>
      <w:r>
        <w:rPr>
          <w:rFonts w:hint="eastAsia" w:ascii="宋体" w:hAnsi="宋体" w:eastAsia="宋体" w:cs="宋体"/>
          <w:sz w:val="24"/>
          <w:lang w:eastAsia="zh-CN"/>
        </w:rPr>
        <w:t>承诺及相关</w:t>
      </w:r>
      <w:r>
        <w:rPr>
          <w:rFonts w:hint="eastAsia" w:ascii="宋体" w:hAnsi="宋体" w:eastAsia="宋体" w:cs="宋体"/>
          <w:sz w:val="24"/>
        </w:rPr>
        <w:t>文件。</w:t>
      </w:r>
    </w:p>
    <w:p w14:paraId="68EAC0F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.本项目不接受联合体形式参与，有控股及关联的公司只能选择一家公司报名参与，否则将被同时取消参与资格。</w:t>
      </w:r>
    </w:p>
    <w:p w14:paraId="13C2DD29">
      <w:pPr>
        <w:snapToGrid w:val="0"/>
        <w:spacing w:line="360" w:lineRule="auto"/>
        <w:ind w:firstLine="480" w:firstLineChars="200"/>
        <w:rPr>
          <w:rFonts w:hint="eastAsia" w:ascii="Times New Roman" w:hAnsi="Times New Roman" w:eastAsia="宋体" w:cs="Times New Roman"/>
        </w:rPr>
      </w:pPr>
      <w:r>
        <w:rPr>
          <w:rFonts w:hint="eastAsia" w:ascii="宋体" w:hAnsi="宋体" w:eastAsia="宋体" w:cs="宋体"/>
          <w:sz w:val="24"/>
          <w:lang w:val="en-US" w:eastAsia="zh-CN"/>
        </w:rPr>
        <w:t>7.</w:t>
      </w:r>
      <w:r>
        <w:rPr>
          <w:rFonts w:hint="eastAsia" w:ascii="宋体" w:hAnsi="宋体" w:eastAsia="宋体" w:cs="宋体"/>
          <w:sz w:val="24"/>
        </w:rPr>
        <w:t>响应人须针对《</w:t>
      </w:r>
      <w:r>
        <w:rPr>
          <w:rFonts w:hint="eastAsia" w:ascii="宋体" w:hAnsi="宋体" w:eastAsia="宋体" w:cs="宋体"/>
          <w:sz w:val="24"/>
          <w:lang w:eastAsia="zh-CN"/>
        </w:rPr>
        <w:t>湖北机场集团“供应商不良行为”管理办法</w:t>
      </w:r>
      <w:r>
        <w:rPr>
          <w:rFonts w:hint="eastAsia" w:ascii="宋体" w:hAnsi="宋体" w:eastAsia="宋体" w:cs="宋体"/>
          <w:sz w:val="24"/>
        </w:rPr>
        <w:t>》在响应文件中做出承诺，格式详见响应文件格式。</w:t>
      </w:r>
    </w:p>
    <w:p w14:paraId="21740B23">
      <w:pPr>
        <w:keepNext/>
        <w:keepLines/>
        <w:widowControl w:val="0"/>
        <w:spacing w:before="156" w:beforeLines="50" w:after="156" w:afterLines="50" w:line="360" w:lineRule="auto"/>
        <w:jc w:val="both"/>
        <w:outlineLvl w:val="1"/>
        <w:rPr>
          <w:rFonts w:ascii="宋体" w:hAnsi="宋体" w:eastAsia="宋体" w:cs="宋体"/>
          <w:b/>
          <w:bCs/>
          <w:kern w:val="2"/>
          <w:sz w:val="28"/>
          <w:szCs w:val="28"/>
          <w:lang w:val="en-US" w:eastAsia="zh-CN" w:bidi="ar-SA"/>
        </w:rPr>
      </w:pPr>
      <w:bookmarkStart w:id="17" w:name="_Toc5395"/>
      <w:r>
        <w:rPr>
          <w:rFonts w:hint="eastAsia" w:ascii="宋体" w:hAnsi="宋体" w:eastAsia="宋体" w:cs="宋体"/>
          <w:b/>
          <w:bCs/>
          <w:kern w:val="2"/>
          <w:sz w:val="28"/>
          <w:szCs w:val="28"/>
          <w:lang w:val="en-US" w:eastAsia="zh-CN" w:bidi="ar-SA"/>
        </w:rPr>
        <w:t>三、报名及招商文件的领取</w:t>
      </w:r>
      <w:bookmarkEnd w:id="17"/>
    </w:p>
    <w:p w14:paraId="08073A91">
      <w:pPr>
        <w:keepNext w:val="0"/>
        <w:keepLines w:val="0"/>
        <w:pageBreakBefore w:val="0"/>
        <w:tabs>
          <w:tab w:val="left" w:pos="540"/>
          <w:tab w:val="left" w:pos="840"/>
        </w:tabs>
        <w:kinsoku/>
        <w:wordWrap w:val="0"/>
        <w:overflowPunct w:val="0"/>
        <w:topLinePunct w:val="0"/>
        <w:bidi w:val="0"/>
        <w:snapToGrid/>
        <w:spacing w:line="360" w:lineRule="auto"/>
        <w:ind w:firstLine="480" w:firstLineChars="200"/>
        <w:rPr>
          <w:rFonts w:hint="eastAsia" w:ascii="宋体" w:hAnsi="宋体" w:cs="宋体"/>
          <w:sz w:val="24"/>
          <w:szCs w:val="24"/>
          <w:highlight w:val="none"/>
        </w:rPr>
      </w:pPr>
      <w:bookmarkStart w:id="18" w:name="_Toc431970297"/>
      <w:bookmarkStart w:id="19" w:name="_Toc430855202"/>
      <w:bookmarkStart w:id="20" w:name="_Toc24225"/>
      <w:r>
        <w:rPr>
          <w:rFonts w:hint="eastAsia" w:ascii="宋体" w:hAnsi="宋体" w:cs="宋体"/>
          <w:sz w:val="24"/>
          <w:szCs w:val="24"/>
          <w:highlight w:val="none"/>
        </w:rPr>
        <w:t>1.</w:t>
      </w:r>
      <w:r>
        <w:rPr>
          <w:sz w:val="24"/>
          <w:szCs w:val="24"/>
          <w:highlight w:val="none"/>
        </w:rPr>
        <w:t>拟参加本项目的供应商须在阳光招采电子交易平台免费注册（网址：</w:t>
      </w:r>
      <w:r>
        <w:rPr>
          <w:sz w:val="24"/>
          <w:szCs w:val="24"/>
          <w:highlight w:val="none"/>
        </w:rPr>
        <w:fldChar w:fldCharType="begin"/>
      </w:r>
      <w:r>
        <w:rPr>
          <w:sz w:val="24"/>
          <w:szCs w:val="24"/>
          <w:highlight w:val="none"/>
        </w:rPr>
        <w:instrText xml:space="preserve"> HYPERLINK "https://www.yangguangzhaocai.com" </w:instrText>
      </w:r>
      <w:r>
        <w:rPr>
          <w:sz w:val="24"/>
          <w:szCs w:val="24"/>
          <w:highlight w:val="none"/>
        </w:rPr>
        <w:fldChar w:fldCharType="separate"/>
      </w:r>
      <w:r>
        <w:rPr>
          <w:rStyle w:val="8"/>
          <w:color w:val="auto"/>
          <w:sz w:val="24"/>
          <w:szCs w:val="24"/>
          <w:highlight w:val="none"/>
        </w:rPr>
        <w:t>https://www.yangguangzhaocai.com</w:t>
      </w:r>
      <w:r>
        <w:rPr>
          <w:rStyle w:val="8"/>
          <w:color w:val="auto"/>
          <w:sz w:val="24"/>
          <w:szCs w:val="24"/>
          <w:highlight w:val="none"/>
        </w:rPr>
        <w:fldChar w:fldCharType="end"/>
      </w:r>
      <w:r>
        <w:rPr>
          <w:rFonts w:hint="eastAsia" w:ascii="宋体" w:hAnsi="宋体" w:cs="宋体"/>
          <w:sz w:val="24"/>
          <w:szCs w:val="24"/>
          <w:highlight w:val="none"/>
        </w:rPr>
        <w:t>---【新用户注册】，相关操作帮助详见：帮助中心--- 投标人注册操作指南）；</w:t>
      </w:r>
    </w:p>
    <w:p w14:paraId="68834686">
      <w:pPr>
        <w:keepNext w:val="0"/>
        <w:keepLines w:val="0"/>
        <w:pageBreakBefore w:val="0"/>
        <w:tabs>
          <w:tab w:val="left" w:pos="540"/>
          <w:tab w:val="left" w:pos="840"/>
        </w:tabs>
        <w:kinsoku/>
        <w:topLinePunct w:val="0"/>
        <w:bidi w:val="0"/>
        <w:snapToGrid/>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sz w:val="24"/>
          <w:szCs w:val="24"/>
          <w:highlight w:val="none"/>
          <w:lang w:val="zh-CN"/>
        </w:rPr>
        <w:t>注册完成后，请于</w:t>
      </w:r>
      <w:r>
        <w:rPr>
          <w:b/>
          <w:bCs/>
          <w:sz w:val="24"/>
          <w:szCs w:val="24"/>
          <w:highlight w:val="none"/>
          <w:u w:val="single"/>
        </w:rPr>
        <w:t>202</w:t>
      </w:r>
      <w:r>
        <w:rPr>
          <w:rFonts w:hint="eastAsia"/>
          <w:b/>
          <w:bCs/>
          <w:sz w:val="24"/>
          <w:szCs w:val="24"/>
          <w:highlight w:val="none"/>
          <w:u w:val="single"/>
          <w:lang w:val="en-US" w:eastAsia="zh-CN"/>
        </w:rPr>
        <w:t>6</w:t>
      </w:r>
      <w:r>
        <w:rPr>
          <w:rFonts w:hint="eastAsia" w:ascii="宋体" w:hAnsi="宋体"/>
          <w:sz w:val="24"/>
          <w:szCs w:val="24"/>
          <w:highlight w:val="none"/>
          <w:lang w:val="zh-CN"/>
        </w:rPr>
        <w:t>年</w:t>
      </w:r>
      <w:r>
        <w:rPr>
          <w:rFonts w:hint="eastAsia"/>
          <w:b/>
          <w:bCs/>
          <w:sz w:val="24"/>
          <w:szCs w:val="24"/>
          <w:highlight w:val="none"/>
          <w:u w:val="single"/>
          <w:lang w:val="en-US" w:eastAsia="zh-CN"/>
        </w:rPr>
        <w:t>04</w:t>
      </w:r>
      <w:r>
        <w:rPr>
          <w:rFonts w:hint="eastAsia" w:ascii="宋体" w:hAnsi="宋体"/>
          <w:sz w:val="24"/>
          <w:szCs w:val="24"/>
          <w:highlight w:val="none"/>
          <w:lang w:val="zh-CN"/>
        </w:rPr>
        <w:t>月</w:t>
      </w:r>
      <w:r>
        <w:rPr>
          <w:rFonts w:hint="eastAsia"/>
          <w:b/>
          <w:bCs/>
          <w:sz w:val="24"/>
          <w:szCs w:val="24"/>
          <w:highlight w:val="none"/>
          <w:u w:val="single"/>
          <w:lang w:val="en-US" w:eastAsia="zh-CN"/>
        </w:rPr>
        <w:t>28</w:t>
      </w:r>
      <w:r>
        <w:rPr>
          <w:rFonts w:hint="eastAsia" w:ascii="宋体" w:hAnsi="宋体"/>
          <w:sz w:val="24"/>
          <w:szCs w:val="24"/>
          <w:highlight w:val="none"/>
          <w:lang w:val="zh-CN"/>
        </w:rPr>
        <w:t>日</w:t>
      </w:r>
      <w:r>
        <w:rPr>
          <w:b/>
          <w:bCs/>
          <w:sz w:val="24"/>
          <w:szCs w:val="24"/>
          <w:highlight w:val="none"/>
          <w:u w:val="single"/>
        </w:rPr>
        <w:t>0</w:t>
      </w:r>
      <w:r>
        <w:rPr>
          <w:rFonts w:hint="eastAsia"/>
          <w:b/>
          <w:bCs/>
          <w:sz w:val="24"/>
          <w:szCs w:val="24"/>
          <w:highlight w:val="none"/>
          <w:u w:val="single"/>
        </w:rPr>
        <w:t>8</w:t>
      </w:r>
      <w:r>
        <w:rPr>
          <w:b/>
          <w:bCs/>
          <w:sz w:val="24"/>
          <w:szCs w:val="24"/>
          <w:highlight w:val="none"/>
          <w:u w:val="single"/>
        </w:rPr>
        <w:t>:00</w:t>
      </w:r>
      <w:r>
        <w:rPr>
          <w:rFonts w:hint="eastAsia" w:ascii="宋体" w:hAnsi="宋体"/>
          <w:sz w:val="24"/>
          <w:szCs w:val="24"/>
          <w:highlight w:val="none"/>
          <w:lang w:val="zh-CN"/>
        </w:rPr>
        <w:t>至</w:t>
      </w:r>
      <w:r>
        <w:rPr>
          <w:rFonts w:hint="eastAsia"/>
          <w:b/>
          <w:bCs/>
          <w:sz w:val="24"/>
          <w:szCs w:val="24"/>
          <w:highlight w:val="none"/>
          <w:u w:val="single"/>
          <w:lang w:val="en-US" w:eastAsia="zh-CN"/>
        </w:rPr>
        <w:t>2026</w:t>
      </w:r>
      <w:r>
        <w:rPr>
          <w:rFonts w:hint="eastAsia"/>
          <w:b w:val="0"/>
          <w:bCs w:val="0"/>
          <w:sz w:val="24"/>
          <w:szCs w:val="24"/>
          <w:highlight w:val="none"/>
          <w:u w:val="none"/>
          <w:lang w:val="en-US" w:eastAsia="zh-CN"/>
        </w:rPr>
        <w:t>年</w:t>
      </w:r>
      <w:r>
        <w:rPr>
          <w:rFonts w:hint="eastAsia"/>
          <w:b/>
          <w:bCs/>
          <w:sz w:val="24"/>
          <w:szCs w:val="24"/>
          <w:highlight w:val="none"/>
          <w:u w:val="single"/>
          <w:lang w:val="en-US" w:eastAsia="zh-CN"/>
        </w:rPr>
        <w:t>05</w:t>
      </w:r>
      <w:r>
        <w:rPr>
          <w:rFonts w:hint="eastAsia" w:ascii="宋体" w:hAnsi="宋体"/>
          <w:sz w:val="24"/>
          <w:szCs w:val="24"/>
          <w:highlight w:val="none"/>
          <w:lang w:val="zh-CN"/>
        </w:rPr>
        <w:t>月</w:t>
      </w:r>
      <w:r>
        <w:rPr>
          <w:rFonts w:hint="eastAsia"/>
          <w:b/>
          <w:bCs/>
          <w:sz w:val="24"/>
          <w:szCs w:val="24"/>
          <w:highlight w:val="none"/>
          <w:u w:val="single"/>
          <w:lang w:val="en-US" w:eastAsia="zh-CN"/>
        </w:rPr>
        <w:t>13</w:t>
      </w:r>
      <w:r>
        <w:rPr>
          <w:rFonts w:hint="eastAsia" w:ascii="宋体" w:hAnsi="宋体"/>
          <w:sz w:val="24"/>
          <w:szCs w:val="24"/>
          <w:highlight w:val="none"/>
          <w:lang w:val="zh-CN"/>
        </w:rPr>
        <w:t>日</w:t>
      </w:r>
      <w:r>
        <w:rPr>
          <w:b/>
          <w:bCs/>
          <w:sz w:val="24"/>
          <w:szCs w:val="24"/>
          <w:highlight w:val="none"/>
          <w:u w:val="single"/>
        </w:rPr>
        <w:t>17</w:t>
      </w:r>
      <w:r>
        <w:rPr>
          <w:b/>
          <w:bCs/>
          <w:sz w:val="24"/>
          <w:szCs w:val="24"/>
          <w:highlight w:val="none"/>
          <w:u w:val="single"/>
          <w:lang w:val="zh-CN"/>
        </w:rPr>
        <w:t>:00</w:t>
      </w:r>
      <w:r>
        <w:rPr>
          <w:rFonts w:hint="eastAsia" w:ascii="宋体" w:hAnsi="宋体"/>
          <w:sz w:val="24"/>
          <w:szCs w:val="24"/>
          <w:highlight w:val="none"/>
          <w:lang w:val="zh-CN"/>
        </w:rPr>
        <w:t>时止（北京时间）登录电子交易平台，点击【投标人】，在【公告信息】</w:t>
      </w:r>
      <w:r>
        <w:rPr>
          <w:rFonts w:hint="eastAsia" w:ascii="宋体" w:hAnsi="宋体"/>
          <w:sz w:val="24"/>
          <w:szCs w:val="24"/>
          <w:highlight w:val="none"/>
        </w:rPr>
        <w:t>---</w:t>
      </w:r>
      <w:r>
        <w:rPr>
          <w:rFonts w:hint="eastAsia" w:ascii="宋体" w:hAnsi="宋体"/>
          <w:sz w:val="24"/>
          <w:szCs w:val="24"/>
          <w:highlight w:val="none"/>
          <w:lang w:val="zh-CN"/>
        </w:rPr>
        <w:t>【采购公告】栏下载拟投标段采购文件（拟投多标段的，应按标段分别下载</w:t>
      </w:r>
      <w:r>
        <w:rPr>
          <w:rFonts w:hint="eastAsia" w:ascii="宋体" w:hAnsi="宋体"/>
          <w:color w:val="000000"/>
          <w:sz w:val="24"/>
          <w:szCs w:val="24"/>
          <w:highlight w:val="none"/>
          <w:lang w:val="zh-CN"/>
        </w:rPr>
        <w:t>），</w:t>
      </w:r>
      <w:r>
        <w:rPr>
          <w:rFonts w:hint="eastAsia" w:ascii="宋体" w:hAnsi="宋体"/>
          <w:color w:val="000000"/>
          <w:sz w:val="24"/>
          <w:szCs w:val="24"/>
          <w:highlight w:val="none"/>
        </w:rPr>
        <w:t>本</w:t>
      </w:r>
      <w:r>
        <w:rPr>
          <w:rFonts w:hint="eastAsia" w:ascii="宋体" w:hAnsi="宋体"/>
          <w:color w:val="000000"/>
          <w:sz w:val="24"/>
          <w:szCs w:val="24"/>
          <w:highlight w:val="none"/>
          <w:lang w:val="zh-CN"/>
        </w:rPr>
        <w:t>招标文件标书费用金额</w:t>
      </w:r>
      <w:r>
        <w:rPr>
          <w:rFonts w:hint="eastAsia" w:ascii="宋体" w:hAnsi="宋体"/>
          <w:color w:val="000000"/>
          <w:sz w:val="24"/>
          <w:szCs w:val="24"/>
          <w:highlight w:val="none"/>
          <w:u w:val="single"/>
        </w:rPr>
        <w:t>500</w:t>
      </w:r>
      <w:r>
        <w:rPr>
          <w:rFonts w:hint="eastAsia" w:ascii="宋体" w:hAnsi="宋体"/>
          <w:color w:val="000000"/>
          <w:sz w:val="24"/>
          <w:szCs w:val="24"/>
          <w:highlight w:val="none"/>
          <w:lang w:val="zh-CN"/>
        </w:rPr>
        <w:t>元/份，售后不退。</w:t>
      </w:r>
      <w:r>
        <w:rPr>
          <w:rFonts w:hint="eastAsia" w:ascii="宋体" w:hAnsi="宋体"/>
          <w:color w:val="000000"/>
          <w:sz w:val="24"/>
          <w:szCs w:val="24"/>
          <w:highlight w:val="none"/>
        </w:rPr>
        <w:t>联合体参与响应的，由牵头人注册</w:t>
      </w:r>
      <w:r>
        <w:rPr>
          <w:rFonts w:ascii="宋体" w:hAnsi="宋体"/>
          <w:color w:val="000000"/>
          <w:sz w:val="24"/>
          <w:szCs w:val="24"/>
          <w:highlight w:val="none"/>
        </w:rPr>
        <w:t>及</w:t>
      </w:r>
      <w:r>
        <w:rPr>
          <w:rFonts w:hint="eastAsia" w:ascii="宋体" w:hAnsi="宋体"/>
          <w:color w:val="000000"/>
          <w:sz w:val="24"/>
          <w:szCs w:val="24"/>
          <w:highlight w:val="none"/>
        </w:rPr>
        <w:t>下载采购文件。</w:t>
      </w:r>
      <w:r>
        <w:rPr>
          <w:rFonts w:hint="eastAsia" w:ascii="宋体" w:hAnsi="宋体"/>
          <w:color w:val="000000"/>
          <w:sz w:val="24"/>
          <w:szCs w:val="24"/>
          <w:highlight w:val="none"/>
          <w:lang w:val="zh-CN"/>
        </w:rPr>
        <w:t>未按规定获取采购文件的，其响应文件将被拒绝</w:t>
      </w:r>
      <w:r>
        <w:rPr>
          <w:rFonts w:hint="eastAsia" w:ascii="宋体" w:hAnsi="宋体" w:cs="宋体"/>
          <w:sz w:val="24"/>
          <w:szCs w:val="24"/>
          <w:highlight w:val="none"/>
        </w:rPr>
        <w:t>；</w:t>
      </w:r>
    </w:p>
    <w:p w14:paraId="50AF3C5B">
      <w:pPr>
        <w:keepNext w:val="0"/>
        <w:keepLines w:val="0"/>
        <w:pageBreakBefore w:val="0"/>
        <w:tabs>
          <w:tab w:val="left" w:pos="540"/>
          <w:tab w:val="left" w:pos="840"/>
        </w:tabs>
        <w:kinsoku/>
        <w:topLinePunct w:val="0"/>
        <w:bidi w:val="0"/>
        <w:snapToGrid/>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b/>
          <w:bCs/>
          <w:sz w:val="24"/>
          <w:szCs w:val="24"/>
          <w:highlight w:val="none"/>
          <w:lang w:val="zh-CN"/>
        </w:rPr>
        <w:t>本项目非全流程电子标</w:t>
      </w:r>
      <w:r>
        <w:rPr>
          <w:rFonts w:hint="eastAsia" w:ascii="宋体" w:hAnsi="宋体"/>
          <w:sz w:val="24"/>
          <w:szCs w:val="24"/>
          <w:highlight w:val="none"/>
          <w:lang w:val="zh-CN"/>
        </w:rPr>
        <w:t>，供应商人无须办理CA数字证书</w:t>
      </w:r>
      <w:r>
        <w:rPr>
          <w:rFonts w:hint="eastAsia" w:ascii="宋体" w:hAnsi="宋体" w:cs="宋体"/>
          <w:sz w:val="24"/>
          <w:szCs w:val="24"/>
          <w:highlight w:val="none"/>
        </w:rPr>
        <w:t>；</w:t>
      </w:r>
    </w:p>
    <w:p w14:paraId="54955000">
      <w:pPr>
        <w:keepNext w:val="0"/>
        <w:keepLines w:val="0"/>
        <w:pageBreakBefore w:val="0"/>
        <w:tabs>
          <w:tab w:val="left" w:pos="540"/>
          <w:tab w:val="left" w:pos="840"/>
        </w:tabs>
        <w:kinsoku/>
        <w:topLinePunct w:val="0"/>
        <w:bidi w:val="0"/>
        <w:snapToGrid/>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4.在电子交易平台遇到的各类操作问题（登录、注册、文件下载、标书制作等问题），请拨打技术支持电话</w:t>
      </w:r>
      <w:r>
        <w:rPr>
          <w:rFonts w:hint="eastAsia" w:ascii="宋体" w:hAnsi="宋体" w:cs="宋体"/>
          <w:sz w:val="24"/>
          <w:szCs w:val="24"/>
          <w:highlight w:val="none"/>
          <w:lang w:eastAsia="zh-CN"/>
        </w:rPr>
        <w:t>0574-22762077</w:t>
      </w:r>
      <w:r>
        <w:rPr>
          <w:rFonts w:hint="eastAsia" w:ascii="宋体" w:hAnsi="宋体" w:cs="宋体"/>
          <w:sz w:val="24"/>
          <w:szCs w:val="24"/>
          <w:highlight w:val="none"/>
        </w:rPr>
        <w:t>（工作日:08:00～18:00；节假日:09:00～12:00，14:00～18:00)。</w:t>
      </w:r>
    </w:p>
    <w:p w14:paraId="2955122A">
      <w:pPr>
        <w:keepNext w:val="0"/>
        <w:keepLines w:val="0"/>
        <w:pageBreakBefore w:val="0"/>
        <w:tabs>
          <w:tab w:val="left" w:pos="540"/>
          <w:tab w:val="left" w:pos="840"/>
        </w:tabs>
        <w:kinsoku/>
        <w:topLinePunct w:val="0"/>
        <w:bidi w:val="0"/>
        <w:snapToGrid/>
        <w:spacing w:line="360" w:lineRule="auto"/>
        <w:ind w:firstLine="482" w:firstLineChars="200"/>
        <w:jc w:val="left"/>
        <w:rPr>
          <w:rFonts w:hint="eastAsia" w:ascii="宋体" w:hAnsi="宋体" w:cs="宋体"/>
          <w:sz w:val="24"/>
          <w:szCs w:val="24"/>
          <w:highlight w:val="none"/>
        </w:rPr>
      </w:pPr>
      <w:r>
        <w:rPr>
          <w:rFonts w:hint="eastAsia" w:ascii="宋体" w:hAnsi="宋体" w:cs="宋体"/>
          <w:b/>
          <w:bCs/>
          <w:sz w:val="24"/>
          <w:szCs w:val="24"/>
          <w:highlight w:val="none"/>
        </w:rPr>
        <w:t>注：</w:t>
      </w:r>
      <w:r>
        <w:rPr>
          <w:rFonts w:hint="eastAsia" w:ascii="宋体" w:hAnsi="宋体" w:cs="宋体"/>
          <w:sz w:val="24"/>
          <w:szCs w:val="24"/>
          <w:highlight w:val="none"/>
        </w:rPr>
        <w:t>多标段项目响应人可对本次招商各标段进行选择性投标响应，也可同时投标响应；但评标时将以标段为单位进行独立评审，分别确定成交候选人。响应人若同时投多个标段，则须分别编制响应文件、分别报价。</w:t>
      </w:r>
    </w:p>
    <w:p w14:paraId="32888390">
      <w:pPr>
        <w:keepNext/>
        <w:keepLines/>
        <w:widowControl w:val="0"/>
        <w:spacing w:before="156" w:beforeLines="50" w:after="156" w:afterLines="50" w:line="360" w:lineRule="auto"/>
        <w:jc w:val="both"/>
        <w:outlineLvl w:val="1"/>
        <w:rPr>
          <w:rFonts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四、递交响应文件及磋商</w:t>
      </w:r>
      <w:bookmarkEnd w:id="18"/>
      <w:bookmarkEnd w:id="19"/>
      <w:r>
        <w:rPr>
          <w:rFonts w:hint="eastAsia" w:ascii="宋体" w:hAnsi="宋体" w:eastAsia="宋体" w:cs="宋体"/>
          <w:b/>
          <w:bCs/>
          <w:kern w:val="2"/>
          <w:sz w:val="28"/>
          <w:szCs w:val="28"/>
          <w:lang w:val="en-US" w:eastAsia="zh-CN" w:bidi="ar-SA"/>
        </w:rPr>
        <w:t>时间、地点</w:t>
      </w:r>
      <w:bookmarkEnd w:id="20"/>
    </w:p>
    <w:p w14:paraId="5B79945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1、递交响应文件截止时间：</w:t>
      </w:r>
      <w:r>
        <w:rPr>
          <w:rFonts w:hint="eastAsia" w:ascii="宋体" w:hAnsi="宋体" w:eastAsia="宋体" w:cs="宋体"/>
          <w:b/>
          <w:bCs/>
          <w:sz w:val="24"/>
          <w:highlight w:val="none"/>
          <w:lang w:val="en-US" w:eastAsia="zh-CN"/>
        </w:rPr>
        <w:t>2026</w:t>
      </w:r>
      <w:r>
        <w:rPr>
          <w:rFonts w:hint="eastAsia" w:ascii="宋体" w:hAnsi="宋体" w:eastAsia="宋体" w:cs="宋体"/>
          <w:sz w:val="24"/>
          <w:highlight w:val="none"/>
        </w:rPr>
        <w:t>年</w:t>
      </w:r>
      <w:r>
        <w:rPr>
          <w:rFonts w:hint="eastAsia" w:ascii="宋体" w:hAnsi="宋体" w:eastAsia="宋体" w:cs="宋体"/>
          <w:b/>
          <w:bCs/>
          <w:sz w:val="24"/>
          <w:highlight w:val="none"/>
          <w:lang w:val="en-US" w:eastAsia="zh-CN"/>
        </w:rPr>
        <w:t>05</w:t>
      </w:r>
      <w:r>
        <w:rPr>
          <w:rFonts w:hint="eastAsia" w:ascii="宋体" w:hAnsi="宋体" w:eastAsia="宋体" w:cs="宋体"/>
          <w:sz w:val="24"/>
          <w:highlight w:val="none"/>
        </w:rPr>
        <w:t>月</w:t>
      </w:r>
      <w:r>
        <w:rPr>
          <w:rFonts w:hint="eastAsia" w:ascii="宋体" w:hAnsi="宋体" w:eastAsia="宋体" w:cs="宋体"/>
          <w:b/>
          <w:bCs/>
          <w:sz w:val="24"/>
          <w:highlight w:val="none"/>
          <w:lang w:val="en-US" w:eastAsia="zh-CN"/>
        </w:rPr>
        <w:t>1</w:t>
      </w:r>
      <w:r>
        <w:rPr>
          <w:rFonts w:hint="eastAsia" w:ascii="宋体" w:hAnsi="宋体" w:cs="宋体"/>
          <w:b/>
          <w:bCs/>
          <w:sz w:val="24"/>
          <w:highlight w:val="none"/>
          <w:lang w:val="en-US" w:eastAsia="zh-CN"/>
        </w:rPr>
        <w:t>9</w:t>
      </w:r>
      <w:r>
        <w:rPr>
          <w:rFonts w:hint="eastAsia" w:ascii="宋体" w:hAnsi="宋体" w:eastAsia="宋体" w:cs="宋体"/>
          <w:sz w:val="24"/>
          <w:highlight w:val="none"/>
        </w:rPr>
        <w:t>日</w:t>
      </w:r>
      <w:r>
        <w:rPr>
          <w:rFonts w:hint="eastAsia" w:ascii="宋体" w:hAnsi="宋体" w:eastAsia="宋体" w:cs="宋体"/>
          <w:b/>
          <w:bCs/>
          <w:sz w:val="24"/>
          <w:highlight w:val="none"/>
          <w:lang w:val="en-US" w:eastAsia="zh-CN"/>
        </w:rPr>
        <w:t>14</w:t>
      </w:r>
      <w:r>
        <w:rPr>
          <w:rFonts w:hint="eastAsia" w:ascii="宋体" w:hAnsi="宋体" w:eastAsia="宋体" w:cs="宋体"/>
          <w:sz w:val="24"/>
          <w:highlight w:val="none"/>
        </w:rPr>
        <w:t>时</w:t>
      </w:r>
      <w:r>
        <w:rPr>
          <w:rFonts w:hint="eastAsia" w:ascii="宋体" w:hAnsi="宋体" w:eastAsia="宋体" w:cs="宋体"/>
          <w:b/>
          <w:bCs/>
          <w:sz w:val="24"/>
          <w:highlight w:val="none"/>
          <w:lang w:val="en-US" w:eastAsia="zh-CN"/>
        </w:rPr>
        <w:t>30</w:t>
      </w:r>
      <w:r>
        <w:rPr>
          <w:rFonts w:hint="eastAsia" w:ascii="宋体" w:hAnsi="宋体" w:eastAsia="宋体" w:cs="宋体"/>
          <w:sz w:val="24"/>
          <w:highlight w:val="none"/>
        </w:rPr>
        <w:t>分</w:t>
      </w:r>
      <w:r>
        <w:rPr>
          <w:rFonts w:hint="eastAsia" w:ascii="宋体" w:hAnsi="宋体" w:eastAsia="宋体" w:cs="宋体"/>
          <w:sz w:val="24"/>
        </w:rPr>
        <w:t>整，</w:t>
      </w:r>
    </w:p>
    <w:p w14:paraId="7A227EF4">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2、递交响应文件地点及磋商地点：</w:t>
      </w:r>
      <w:r>
        <w:rPr>
          <w:rFonts w:hint="eastAsia" w:ascii="宋体" w:hAnsi="宋体" w:eastAsia="宋体" w:cs="宋体"/>
          <w:b/>
          <w:bCs/>
          <w:sz w:val="24"/>
          <w:highlight w:val="none"/>
        </w:rPr>
        <w:t>武汉天河机场综合保障楼A208</w:t>
      </w:r>
      <w:r>
        <w:rPr>
          <w:rFonts w:hint="eastAsia" w:ascii="宋体" w:hAnsi="宋体" w:eastAsia="宋体" w:cs="宋体"/>
          <w:sz w:val="24"/>
          <w:highlight w:val="none"/>
        </w:rPr>
        <w:t>。</w:t>
      </w:r>
    </w:p>
    <w:p w14:paraId="5CE84E2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3、逾期送达指定地点的或者不按照招商文件要求密封的响应文件，招商人和招商代理机构不予受理。</w:t>
      </w:r>
    </w:p>
    <w:p w14:paraId="733AD30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备注：针对有效响应人不足3家的，经评审委员会商议一致后，继续采取两家比选或一家直接洽商方式进行评审。</w:t>
      </w:r>
      <w:r>
        <w:rPr>
          <w:rFonts w:hint="eastAsia" w:ascii="宋体" w:hAnsi="宋体" w:eastAsia="宋体" w:cs="宋体"/>
          <w:sz w:val="24"/>
          <w:lang w:val="en-US" w:eastAsia="zh-CN"/>
        </w:rPr>
        <w:t>对于不满足</w:t>
      </w:r>
      <w:r>
        <w:rPr>
          <w:rFonts w:hint="eastAsia" w:ascii="宋体" w:hAnsi="宋体" w:eastAsia="宋体" w:cs="宋体"/>
          <w:sz w:val="24"/>
        </w:rPr>
        <w:t>招商需求的，经评审委员会确认后，可终止招商</w:t>
      </w:r>
      <w:r>
        <w:rPr>
          <w:rFonts w:hint="eastAsia" w:ascii="宋体" w:hAnsi="宋体" w:eastAsia="宋体" w:cs="宋体"/>
          <w:sz w:val="24"/>
          <w:lang w:eastAsia="zh-CN"/>
        </w:rPr>
        <w:t>。</w:t>
      </w:r>
    </w:p>
    <w:p w14:paraId="318EC2D5">
      <w:pPr>
        <w:keepNext/>
        <w:keepLines/>
        <w:widowControl w:val="0"/>
        <w:spacing w:before="156" w:beforeLines="50" w:after="156" w:afterLines="50" w:line="360" w:lineRule="auto"/>
        <w:jc w:val="both"/>
        <w:outlineLvl w:val="1"/>
        <w:rPr>
          <w:rFonts w:ascii="宋体" w:hAnsi="宋体" w:eastAsia="宋体" w:cs="宋体"/>
          <w:b/>
          <w:bCs/>
          <w:kern w:val="2"/>
          <w:sz w:val="28"/>
          <w:szCs w:val="28"/>
          <w:lang w:val="en-US" w:eastAsia="zh-CN" w:bidi="ar-SA"/>
        </w:rPr>
      </w:pPr>
      <w:bookmarkStart w:id="21" w:name="_Toc22468"/>
      <w:r>
        <w:rPr>
          <w:rFonts w:hint="eastAsia" w:ascii="宋体" w:hAnsi="宋体" w:eastAsia="宋体" w:cs="宋体"/>
          <w:b/>
          <w:bCs/>
          <w:kern w:val="2"/>
          <w:sz w:val="28"/>
          <w:szCs w:val="28"/>
          <w:lang w:val="en-US" w:eastAsia="zh-CN" w:bidi="ar-SA"/>
        </w:rPr>
        <w:t>五、发布公告的媒介</w:t>
      </w:r>
      <w:bookmarkEnd w:id="21"/>
    </w:p>
    <w:p w14:paraId="6546793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本次招商公告同时在中国招标投标公共服务平台(网址：http://www.cebpubservice.com/)、</w:t>
      </w:r>
      <w:r>
        <w:rPr>
          <w:rFonts w:hint="eastAsia" w:ascii="宋体" w:hAnsi="宋体" w:eastAsia="宋体" w:cs="宋体"/>
          <w:sz w:val="24"/>
          <w:highlight w:val="none"/>
        </w:rPr>
        <w:t>湖北机场集团有限公司</w:t>
      </w:r>
      <w:r>
        <w:rPr>
          <w:rFonts w:hint="eastAsia" w:ascii="宋体" w:hAnsi="宋体" w:eastAsia="宋体" w:cs="宋体"/>
          <w:sz w:val="24"/>
        </w:rPr>
        <w:t>（www.whairport.com）媒体上发布，其它任何网站不得转载。如有发现，我公司将追究非法转载单位的责任。</w:t>
      </w:r>
    </w:p>
    <w:p w14:paraId="106D30F1">
      <w:pPr>
        <w:keepNext/>
        <w:keepLines/>
        <w:widowControl w:val="0"/>
        <w:spacing w:before="156" w:beforeLines="50" w:after="156" w:afterLines="50" w:line="360" w:lineRule="auto"/>
        <w:jc w:val="both"/>
        <w:outlineLvl w:val="1"/>
        <w:rPr>
          <w:rFonts w:hint="eastAsia" w:ascii="宋体" w:hAnsi="宋体" w:eastAsia="宋体" w:cs="宋体"/>
          <w:b/>
          <w:bCs/>
          <w:kern w:val="2"/>
          <w:sz w:val="28"/>
          <w:szCs w:val="28"/>
          <w:lang w:val="en-US" w:eastAsia="zh-CN" w:bidi="ar-SA"/>
        </w:rPr>
      </w:pPr>
      <w:bookmarkStart w:id="22" w:name="_Toc23652"/>
      <w:r>
        <w:rPr>
          <w:rFonts w:hint="eastAsia" w:ascii="宋体" w:hAnsi="宋体" w:eastAsia="宋体" w:cs="宋体"/>
          <w:b/>
          <w:bCs/>
          <w:kern w:val="2"/>
          <w:sz w:val="28"/>
          <w:szCs w:val="28"/>
          <w:lang w:val="en-US" w:eastAsia="zh-CN" w:bidi="ar-SA"/>
        </w:rPr>
        <w:t>六、联系方式</w:t>
      </w:r>
      <w:bookmarkEnd w:id="15"/>
      <w:bookmarkEnd w:id="16"/>
      <w:bookmarkEnd w:id="22"/>
    </w:p>
    <w:p w14:paraId="7F42A7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招商代理机构：湖北国华项目管理咨询有限公司</w:t>
      </w:r>
    </w:p>
    <w:p w14:paraId="353E783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联系地址：武昌区中北路109号中铁1818中心10楼</w:t>
      </w:r>
    </w:p>
    <w:p w14:paraId="53A9B3EE">
      <w:pPr>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联 系 人：</w:t>
      </w:r>
      <w:r>
        <w:rPr>
          <w:rFonts w:hint="eastAsia" w:ascii="宋体" w:hAnsi="宋体" w:eastAsia="宋体" w:cs="宋体"/>
          <w:sz w:val="24"/>
          <w:lang w:val="en-US" w:eastAsia="zh-CN"/>
        </w:rPr>
        <w:t>吴娅、万齐威</w:t>
      </w:r>
    </w:p>
    <w:p w14:paraId="24D3228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电    话：027-87272701     </w:t>
      </w:r>
    </w:p>
    <w:p w14:paraId="2F7B7732">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招商人：</w:t>
      </w:r>
      <w:r>
        <w:rPr>
          <w:rFonts w:hint="eastAsia" w:ascii="宋体" w:hAnsi="宋体" w:eastAsia="宋体" w:cs="宋体"/>
          <w:sz w:val="24"/>
          <w:lang w:eastAsia="zh-CN"/>
        </w:rPr>
        <w:t>湖北机场天睿商业发展有限责任公司</w:t>
      </w:r>
    </w:p>
    <w:p w14:paraId="226399D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联系地址：武汉市黄陂区天河机场内</w:t>
      </w:r>
    </w:p>
    <w:p w14:paraId="4183D74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 系 人：</w:t>
      </w:r>
      <w:r>
        <w:rPr>
          <w:rFonts w:hint="eastAsia" w:ascii="宋体" w:hAnsi="宋体" w:eastAsia="宋体" w:cs="宋体"/>
          <w:sz w:val="24"/>
          <w:highlight w:val="none"/>
          <w:lang w:val="en-US" w:eastAsia="zh-CN"/>
        </w:rPr>
        <w:t>赵先生</w:t>
      </w:r>
      <w:r>
        <w:rPr>
          <w:rFonts w:hint="eastAsia" w:ascii="宋体" w:hAnsi="宋体" w:eastAsia="宋体" w:cs="宋体"/>
          <w:sz w:val="24"/>
          <w:highlight w:val="none"/>
        </w:rPr>
        <w:t xml:space="preserve">          </w:t>
      </w:r>
    </w:p>
    <w:p w14:paraId="6C96F46C">
      <w:pPr>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lang w:val="en-US" w:eastAsia="zh-CN"/>
        </w:rPr>
        <w:t>17771101576</w:t>
      </w:r>
    </w:p>
    <w:p w14:paraId="4D70EC93">
      <w:pPr>
        <w:snapToGrid w:val="0"/>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  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04月2</w:t>
      </w:r>
      <w:r>
        <w:rPr>
          <w:rFonts w:hint="eastAsia" w:ascii="宋体" w:hAnsi="宋体" w:cs="宋体"/>
          <w:sz w:val="24"/>
          <w:lang w:val="en-US" w:eastAsia="zh-CN"/>
        </w:rPr>
        <w:t>7</w:t>
      </w:r>
      <w:bookmarkStart w:id="23" w:name="_GoBack"/>
      <w:bookmarkEnd w:id="23"/>
      <w:r>
        <w:rPr>
          <w:rFonts w:hint="eastAsia" w:ascii="宋体" w:hAnsi="宋体" w:eastAsia="宋体" w:cs="宋体"/>
          <w:sz w:val="24"/>
        </w:rPr>
        <w:t>日</w:t>
      </w:r>
    </w:p>
    <w:p w14:paraId="437AFEF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F4B0B">
    <w:pPr>
      <w:pStyle w:val="5"/>
      <w:jc w:val="distribute"/>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C5F12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FC5F12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3C576"/>
    <w:multiLevelType w:val="singleLevel"/>
    <w:tmpl w:val="6193C57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C7FBD"/>
    <w:rsid w:val="0FA25110"/>
    <w:rsid w:val="650C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300" w:lineRule="auto"/>
      <w:jc w:val="center"/>
      <w:outlineLvl w:val="0"/>
    </w:pPr>
    <w:rPr>
      <w:rFonts w:ascii="Times New Roman" w:hAnsi="Times New Roman" w:eastAsia="宋体" w:cs="Times New Roman"/>
      <w:b/>
      <w:bCs/>
      <w:kern w:val="44"/>
      <w:sz w:val="32"/>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99"/>
    <w:rPr>
      <w:sz w:val="24"/>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character" w:styleId="8">
    <w:name w:val="Hyperlink"/>
    <w:basedOn w:val="7"/>
    <w:qFormat/>
    <w:uiPriority w:val="99"/>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2076</Words>
  <Characters>2392</Characters>
  <Lines>0</Lines>
  <Paragraphs>0</Paragraphs>
  <TotalTime>2</TotalTime>
  <ScaleCrop>false</ScaleCrop>
  <LinksUpToDate>false</LinksUpToDate>
  <CharactersWithSpaces>2435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2026-04-21T09:02:00Z</dcterms:created>
  <dc:creator>Administrator</dc:creator>
  <cp:lastModifiedBy>WuYa</cp:lastModifiedBy>
  <dcterms:modified xsi:type="dcterms:W3CDTF">2026-04-27T01:05:57Z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F556DE9AE6BD49B494BC9510B1B843F3_11</vt:lpwstr>
  </property>
  <property fmtid="{D5CDD505-2E9C-101B-9397-08002B2CF9AE}" pid="4" name="KSOTemplateDocerSaveRecord">
    <vt:lpwstr>eyJoZGlkIjoiZGIzNWFjMGNlMzI3ZjYxM2E2ZjM4ZDk1OTk3MTUxZmQiLCJ1c2VySWQiOiIyOTE2MzM0OTMifQ==</vt:lpwstr>
  </property>
</Properties>
</file>