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E096">
      <w:pPr>
        <w:pStyle w:val="4"/>
        <w:spacing w:line="360" w:lineRule="auto"/>
        <w:jc w:val="center"/>
        <w:rPr>
          <w:rFonts w:hint="eastAsia" w:eastAsia="黑体"/>
          <w:sz w:val="36"/>
          <w:highlight w:val="none"/>
          <w:lang w:eastAsia="zh-CN"/>
        </w:rPr>
      </w:pPr>
      <w:bookmarkStart w:id="0" w:name="_Toc1802"/>
      <w:bookmarkStart w:id="1" w:name="_Toc25725118"/>
      <w:r>
        <w:rPr>
          <w:rFonts w:hint="eastAsia"/>
          <w:sz w:val="36"/>
          <w:highlight w:val="none"/>
        </w:rPr>
        <w:t>询价采购</w:t>
      </w:r>
      <w:bookmarkEnd w:id="0"/>
      <w:bookmarkEnd w:id="1"/>
      <w:r>
        <w:rPr>
          <w:rFonts w:hint="eastAsia"/>
          <w:sz w:val="36"/>
          <w:highlight w:val="none"/>
          <w:lang w:val="en-US" w:eastAsia="zh-CN"/>
        </w:rPr>
        <w:t>公告</w:t>
      </w:r>
    </w:p>
    <w:p w14:paraId="1CC42A0C">
      <w:pPr>
        <w:spacing w:line="360" w:lineRule="auto"/>
        <w:ind w:firstLine="480" w:firstLineChars="200"/>
        <w:rPr>
          <w:highlight w:val="none"/>
        </w:rPr>
      </w:pPr>
      <w:r>
        <w:rPr>
          <w:rFonts w:hint="eastAsia"/>
          <w:highlight w:val="none"/>
        </w:rPr>
        <w:t>湖北机场集团信息科技有限公司对</w:t>
      </w:r>
      <w:r>
        <w:rPr>
          <w:rFonts w:hint="eastAsia"/>
          <w:highlight w:val="none"/>
          <w:u w:val="single"/>
          <w:lang w:eastAsia="zh-CN"/>
        </w:rPr>
        <w:t>弱电系统终端设备采购项目（</w:t>
      </w:r>
      <w:r>
        <w:rPr>
          <w:rFonts w:hint="eastAsia"/>
          <w:highlight w:val="none"/>
          <w:u w:val="single"/>
          <w:lang w:val="en-US" w:eastAsia="zh-CN"/>
        </w:rPr>
        <w:t>二次</w:t>
      </w:r>
      <w:r>
        <w:rPr>
          <w:rFonts w:hint="eastAsia"/>
          <w:highlight w:val="none"/>
          <w:u w:val="single"/>
          <w:lang w:eastAsia="zh-CN"/>
        </w:rPr>
        <w:t>）</w:t>
      </w:r>
      <w:r>
        <w:rPr>
          <w:rFonts w:hint="eastAsia"/>
          <w:highlight w:val="none"/>
        </w:rPr>
        <w:t>进行询价，湖北机场集团信息科技有限公司负责经办，所有询价采购事宜由湖北机场集团信息科技有限公司负责联系。</w:t>
      </w:r>
    </w:p>
    <w:p w14:paraId="59FB649A">
      <w:pPr>
        <w:pStyle w:val="5"/>
        <w:spacing w:line="360" w:lineRule="auto"/>
        <w:rPr>
          <w:sz w:val="30"/>
          <w:highlight w:val="none"/>
        </w:rPr>
      </w:pPr>
      <w:bookmarkStart w:id="2" w:name="_Toc12327"/>
      <w:bookmarkStart w:id="3" w:name="_Toc11641051"/>
      <w:bookmarkStart w:id="4" w:name="_Toc25725119"/>
      <w:r>
        <w:rPr>
          <w:rFonts w:hint="eastAsia"/>
          <w:sz w:val="30"/>
          <w:highlight w:val="none"/>
        </w:rPr>
        <w:t>一、询价内容：</w:t>
      </w:r>
      <w:bookmarkEnd w:id="2"/>
    </w:p>
    <w:tbl>
      <w:tblPr>
        <w:tblStyle w:val="37"/>
        <w:tblW w:w="9209" w:type="dxa"/>
        <w:tblInd w:w="113" w:type="dxa"/>
        <w:tblLayout w:type="autofit"/>
        <w:tblCellMar>
          <w:top w:w="0" w:type="dxa"/>
          <w:left w:w="108" w:type="dxa"/>
          <w:bottom w:w="0" w:type="dxa"/>
          <w:right w:w="108" w:type="dxa"/>
        </w:tblCellMar>
      </w:tblPr>
      <w:tblGrid>
        <w:gridCol w:w="702"/>
        <w:gridCol w:w="1136"/>
        <w:gridCol w:w="4961"/>
        <w:gridCol w:w="851"/>
        <w:gridCol w:w="1559"/>
      </w:tblGrid>
      <w:tr w14:paraId="5BE8ACEF">
        <w:tblPrEx>
          <w:tblCellMar>
            <w:top w:w="0" w:type="dxa"/>
            <w:left w:w="108" w:type="dxa"/>
            <w:bottom w:w="0" w:type="dxa"/>
            <w:right w:w="108" w:type="dxa"/>
          </w:tblCellMar>
        </w:tblPrEx>
        <w:trPr>
          <w:trHeight w:val="41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18212CFE">
            <w:pPr>
              <w:jc w:val="center"/>
              <w:rPr>
                <w:rFonts w:ascii="仿宋" w:hAnsi="仿宋" w:eastAsia="仿宋"/>
                <w:b/>
                <w:bCs/>
                <w:color w:val="000000"/>
                <w:sz w:val="18"/>
                <w:szCs w:val="18"/>
              </w:rPr>
            </w:pPr>
            <w:r>
              <w:rPr>
                <w:rFonts w:hint="eastAsia" w:ascii="仿宋" w:hAnsi="仿宋" w:eastAsia="仿宋"/>
                <w:b/>
                <w:bCs/>
                <w:color w:val="000000"/>
                <w:sz w:val="18"/>
                <w:szCs w:val="18"/>
              </w:rPr>
              <w:t>序号</w:t>
            </w:r>
          </w:p>
        </w:tc>
        <w:tc>
          <w:tcPr>
            <w:tcW w:w="1136" w:type="dxa"/>
            <w:tcBorders>
              <w:top w:val="single" w:color="auto" w:sz="4" w:space="0"/>
              <w:left w:val="nil"/>
              <w:bottom w:val="single" w:color="auto" w:sz="4" w:space="0"/>
              <w:right w:val="single" w:color="auto" w:sz="4" w:space="0"/>
            </w:tcBorders>
            <w:noWrap w:val="0"/>
            <w:vAlign w:val="center"/>
          </w:tcPr>
          <w:p w14:paraId="5E7A63F9">
            <w:pPr>
              <w:jc w:val="center"/>
              <w:rPr>
                <w:rFonts w:hint="eastAsia" w:ascii="仿宋" w:hAnsi="仿宋" w:eastAsia="仿宋"/>
                <w:b/>
                <w:bCs/>
                <w:color w:val="000000"/>
                <w:sz w:val="18"/>
                <w:szCs w:val="18"/>
              </w:rPr>
            </w:pPr>
            <w:r>
              <w:rPr>
                <w:rFonts w:hint="eastAsia" w:ascii="仿宋" w:hAnsi="仿宋" w:eastAsia="仿宋"/>
                <w:b/>
                <w:bCs/>
                <w:color w:val="000000"/>
                <w:sz w:val="18"/>
                <w:szCs w:val="18"/>
              </w:rPr>
              <w:t>名称</w:t>
            </w:r>
          </w:p>
        </w:tc>
        <w:tc>
          <w:tcPr>
            <w:tcW w:w="4961" w:type="dxa"/>
            <w:tcBorders>
              <w:top w:val="single" w:color="auto" w:sz="4" w:space="0"/>
              <w:left w:val="nil"/>
              <w:bottom w:val="single" w:color="auto" w:sz="4" w:space="0"/>
              <w:right w:val="single" w:color="auto" w:sz="4" w:space="0"/>
            </w:tcBorders>
            <w:noWrap w:val="0"/>
            <w:vAlign w:val="center"/>
          </w:tcPr>
          <w:p w14:paraId="21D09C49">
            <w:pPr>
              <w:jc w:val="center"/>
              <w:rPr>
                <w:rFonts w:hint="eastAsia" w:ascii="仿宋" w:hAnsi="仿宋" w:eastAsia="仿宋"/>
                <w:b/>
                <w:bCs/>
                <w:color w:val="000000"/>
                <w:sz w:val="18"/>
                <w:szCs w:val="18"/>
              </w:rPr>
            </w:pPr>
            <w:r>
              <w:rPr>
                <w:rFonts w:hint="eastAsia" w:ascii="仿宋" w:hAnsi="仿宋" w:eastAsia="仿宋"/>
                <w:b/>
                <w:bCs/>
                <w:color w:val="000000"/>
                <w:sz w:val="18"/>
                <w:szCs w:val="18"/>
              </w:rPr>
              <w:t>主要参数</w:t>
            </w:r>
          </w:p>
        </w:tc>
        <w:tc>
          <w:tcPr>
            <w:tcW w:w="851" w:type="dxa"/>
            <w:tcBorders>
              <w:top w:val="single" w:color="auto" w:sz="4" w:space="0"/>
              <w:left w:val="nil"/>
              <w:bottom w:val="single" w:color="auto" w:sz="4" w:space="0"/>
              <w:right w:val="single" w:color="auto" w:sz="4" w:space="0"/>
            </w:tcBorders>
            <w:noWrap w:val="0"/>
            <w:vAlign w:val="center"/>
          </w:tcPr>
          <w:p w14:paraId="5C017906">
            <w:pPr>
              <w:jc w:val="center"/>
              <w:rPr>
                <w:rFonts w:hint="eastAsia" w:ascii="仿宋" w:hAnsi="仿宋" w:eastAsia="仿宋"/>
                <w:b/>
                <w:bCs/>
                <w:color w:val="000000"/>
                <w:sz w:val="18"/>
                <w:szCs w:val="18"/>
              </w:rPr>
            </w:pPr>
            <w:r>
              <w:rPr>
                <w:rFonts w:hint="eastAsia" w:ascii="仿宋" w:hAnsi="仿宋" w:eastAsia="仿宋"/>
                <w:b/>
                <w:bCs/>
                <w:color w:val="000000"/>
                <w:sz w:val="18"/>
                <w:szCs w:val="18"/>
              </w:rPr>
              <w:t>数量（个）</w:t>
            </w:r>
          </w:p>
        </w:tc>
        <w:tc>
          <w:tcPr>
            <w:tcW w:w="1559" w:type="dxa"/>
            <w:tcBorders>
              <w:top w:val="single" w:color="auto" w:sz="4" w:space="0"/>
              <w:left w:val="nil"/>
              <w:bottom w:val="single" w:color="auto" w:sz="4" w:space="0"/>
              <w:right w:val="single" w:color="auto" w:sz="4" w:space="0"/>
            </w:tcBorders>
            <w:noWrap w:val="0"/>
            <w:vAlign w:val="center"/>
          </w:tcPr>
          <w:p w14:paraId="4E34811B">
            <w:pPr>
              <w:jc w:val="center"/>
              <w:rPr>
                <w:rFonts w:hint="eastAsia" w:ascii="仿宋" w:hAnsi="仿宋" w:eastAsia="仿宋"/>
                <w:b/>
                <w:bCs/>
                <w:color w:val="000000"/>
                <w:sz w:val="18"/>
                <w:szCs w:val="18"/>
              </w:rPr>
            </w:pPr>
            <w:r>
              <w:rPr>
                <w:rFonts w:hint="eastAsia" w:ascii="仿宋" w:hAnsi="仿宋" w:eastAsia="仿宋"/>
                <w:b/>
                <w:bCs/>
                <w:color w:val="000000"/>
                <w:sz w:val="18"/>
                <w:szCs w:val="18"/>
              </w:rPr>
              <w:t>备注</w:t>
            </w:r>
          </w:p>
        </w:tc>
      </w:tr>
      <w:tr w14:paraId="1FD3DC8A">
        <w:tblPrEx>
          <w:tblCellMar>
            <w:top w:w="0" w:type="dxa"/>
            <w:left w:w="108" w:type="dxa"/>
            <w:bottom w:w="0" w:type="dxa"/>
            <w:right w:w="108" w:type="dxa"/>
          </w:tblCellMar>
        </w:tblPrEx>
        <w:trPr>
          <w:trHeight w:val="1991" w:hRule="atLeast"/>
        </w:trPr>
        <w:tc>
          <w:tcPr>
            <w:tcW w:w="702" w:type="dxa"/>
            <w:tcBorders>
              <w:top w:val="nil"/>
              <w:left w:val="single" w:color="auto" w:sz="4" w:space="0"/>
              <w:bottom w:val="single" w:color="auto" w:sz="4" w:space="0"/>
              <w:right w:val="single" w:color="auto" w:sz="4" w:space="0"/>
            </w:tcBorders>
            <w:noWrap w:val="0"/>
            <w:vAlign w:val="center"/>
          </w:tcPr>
          <w:p w14:paraId="292CE2C9">
            <w:pPr>
              <w:jc w:val="center"/>
              <w:rPr>
                <w:rFonts w:hint="eastAsia" w:ascii="仿宋" w:hAnsi="仿宋" w:eastAsia="仿宋"/>
                <w:color w:val="000000"/>
                <w:sz w:val="18"/>
                <w:szCs w:val="18"/>
              </w:rPr>
            </w:pPr>
            <w:r>
              <w:rPr>
                <w:rFonts w:hint="eastAsia" w:ascii="仿宋" w:hAnsi="仿宋" w:eastAsia="仿宋"/>
                <w:color w:val="000000"/>
                <w:sz w:val="18"/>
                <w:szCs w:val="18"/>
              </w:rPr>
              <w:t>1</w:t>
            </w:r>
          </w:p>
        </w:tc>
        <w:tc>
          <w:tcPr>
            <w:tcW w:w="1136" w:type="dxa"/>
            <w:tcBorders>
              <w:top w:val="nil"/>
              <w:left w:val="nil"/>
              <w:bottom w:val="single" w:color="auto" w:sz="4" w:space="0"/>
              <w:right w:val="single" w:color="auto" w:sz="4" w:space="0"/>
            </w:tcBorders>
            <w:noWrap w:val="0"/>
            <w:vAlign w:val="center"/>
          </w:tcPr>
          <w:p w14:paraId="43E1B3F3">
            <w:pPr>
              <w:jc w:val="center"/>
              <w:rPr>
                <w:rFonts w:hint="eastAsia" w:ascii="仿宋" w:hAnsi="仿宋" w:eastAsia="仿宋"/>
                <w:color w:val="000000"/>
                <w:sz w:val="18"/>
                <w:szCs w:val="18"/>
              </w:rPr>
            </w:pPr>
            <w:r>
              <w:rPr>
                <w:rFonts w:hint="eastAsia" w:ascii="仿宋" w:hAnsi="仿宋" w:eastAsia="仿宋"/>
                <w:color w:val="000000"/>
                <w:sz w:val="18"/>
                <w:szCs w:val="18"/>
              </w:rPr>
              <w:t>离港值机电脑</w:t>
            </w:r>
          </w:p>
        </w:tc>
        <w:tc>
          <w:tcPr>
            <w:tcW w:w="4961" w:type="dxa"/>
            <w:tcBorders>
              <w:top w:val="nil"/>
              <w:left w:val="nil"/>
              <w:bottom w:val="single" w:color="auto" w:sz="4" w:space="0"/>
              <w:right w:val="single" w:color="auto" w:sz="4" w:space="0"/>
            </w:tcBorders>
            <w:noWrap w:val="0"/>
            <w:vAlign w:val="center"/>
          </w:tcPr>
          <w:p w14:paraId="5E87EFAB">
            <w:pPr>
              <w:rPr>
                <w:rFonts w:ascii="仿宋" w:hAnsi="仿宋" w:eastAsia="仿宋"/>
                <w:color w:val="000000"/>
                <w:sz w:val="18"/>
                <w:szCs w:val="18"/>
              </w:rPr>
            </w:pPr>
            <w:r>
              <w:rPr>
                <w:rFonts w:hint="eastAsia" w:ascii="仿宋" w:hAnsi="仿宋" w:eastAsia="仿宋"/>
                <w:color w:val="000000"/>
                <w:sz w:val="18"/>
                <w:szCs w:val="18"/>
              </w:rPr>
              <w:t>显示器：≥</w:t>
            </w:r>
            <w:r>
              <w:rPr>
                <w:rFonts w:ascii="仿宋" w:hAnsi="仿宋" w:eastAsia="仿宋"/>
                <w:color w:val="000000"/>
                <w:sz w:val="18"/>
                <w:szCs w:val="18"/>
              </w:rPr>
              <w:t>24英寸；</w:t>
            </w:r>
          </w:p>
          <w:p w14:paraId="20147157">
            <w:pPr>
              <w:rPr>
                <w:rFonts w:ascii="仿宋" w:hAnsi="仿宋" w:eastAsia="仿宋"/>
                <w:color w:val="000000"/>
                <w:sz w:val="18"/>
                <w:szCs w:val="18"/>
              </w:rPr>
            </w:pPr>
            <w:r>
              <w:rPr>
                <w:rFonts w:ascii="仿宋" w:hAnsi="仿宋" w:eastAsia="仿宋"/>
                <w:color w:val="000000"/>
                <w:sz w:val="18"/>
                <w:szCs w:val="18"/>
              </w:rPr>
              <w:t>CPU：</w:t>
            </w:r>
            <w:r>
              <w:rPr>
                <w:rFonts w:hint="eastAsia" w:ascii="仿宋" w:hAnsi="仿宋" w:eastAsia="仿宋"/>
                <w:color w:val="000000"/>
                <w:sz w:val="18"/>
                <w:szCs w:val="18"/>
              </w:rPr>
              <w:t>海光H</w:t>
            </w:r>
            <w:r>
              <w:rPr>
                <w:rFonts w:ascii="仿宋" w:hAnsi="仿宋" w:eastAsia="仿宋"/>
                <w:color w:val="000000"/>
                <w:sz w:val="18"/>
                <w:szCs w:val="18"/>
              </w:rPr>
              <w:t>G3350或同等性能国产CPU，X86架构；</w:t>
            </w:r>
          </w:p>
          <w:p w14:paraId="34224757">
            <w:pPr>
              <w:rPr>
                <w:rFonts w:ascii="仿宋" w:hAnsi="仿宋" w:eastAsia="仿宋"/>
                <w:color w:val="000000"/>
                <w:sz w:val="18"/>
                <w:szCs w:val="18"/>
              </w:rPr>
            </w:pPr>
            <w:r>
              <w:rPr>
                <w:rFonts w:hint="eastAsia" w:ascii="仿宋" w:hAnsi="仿宋" w:eastAsia="仿宋"/>
                <w:color w:val="000000"/>
                <w:sz w:val="18"/>
                <w:szCs w:val="18"/>
              </w:rPr>
              <w:t>内存：≥</w:t>
            </w:r>
            <w:r>
              <w:rPr>
                <w:rFonts w:ascii="仿宋" w:hAnsi="仿宋" w:eastAsia="仿宋"/>
                <w:color w:val="000000"/>
                <w:sz w:val="18"/>
                <w:szCs w:val="18"/>
              </w:rPr>
              <w:t>8GB；</w:t>
            </w:r>
          </w:p>
          <w:p w14:paraId="0C2210FE">
            <w:pPr>
              <w:rPr>
                <w:rFonts w:ascii="仿宋" w:hAnsi="仿宋" w:eastAsia="仿宋"/>
                <w:color w:val="000000"/>
                <w:sz w:val="18"/>
                <w:szCs w:val="18"/>
              </w:rPr>
            </w:pPr>
            <w:r>
              <w:rPr>
                <w:rFonts w:hint="eastAsia" w:ascii="仿宋" w:hAnsi="仿宋" w:eastAsia="仿宋"/>
                <w:color w:val="000000"/>
                <w:sz w:val="18"/>
                <w:szCs w:val="18"/>
              </w:rPr>
              <w:t>硬盘：</w:t>
            </w:r>
            <w:r>
              <w:rPr>
                <w:rFonts w:ascii="仿宋" w:hAnsi="仿宋" w:eastAsia="仿宋"/>
                <w:color w:val="000000"/>
                <w:sz w:val="18"/>
                <w:szCs w:val="18"/>
              </w:rPr>
              <w:t>2块独立的≥500G固态硬盘；</w:t>
            </w:r>
          </w:p>
          <w:p w14:paraId="79969F0C">
            <w:pPr>
              <w:rPr>
                <w:rFonts w:ascii="仿宋" w:hAnsi="仿宋" w:eastAsia="仿宋"/>
                <w:color w:val="000000"/>
                <w:sz w:val="18"/>
                <w:szCs w:val="18"/>
              </w:rPr>
            </w:pPr>
            <w:r>
              <w:rPr>
                <w:rFonts w:hint="eastAsia" w:ascii="仿宋" w:hAnsi="仿宋" w:eastAsia="仿宋"/>
                <w:color w:val="000000"/>
                <w:sz w:val="18"/>
                <w:szCs w:val="18"/>
              </w:rPr>
              <w:t>主机串口：不低于</w:t>
            </w:r>
            <w:r>
              <w:rPr>
                <w:rFonts w:ascii="仿宋" w:hAnsi="仿宋" w:eastAsia="仿宋"/>
                <w:color w:val="000000"/>
                <w:sz w:val="18"/>
                <w:szCs w:val="18"/>
              </w:rPr>
              <w:t>3个；</w:t>
            </w:r>
          </w:p>
          <w:p w14:paraId="0DA0FC96">
            <w:pPr>
              <w:rPr>
                <w:rFonts w:ascii="仿宋" w:hAnsi="仿宋" w:eastAsia="仿宋"/>
                <w:color w:val="000000"/>
                <w:sz w:val="18"/>
                <w:szCs w:val="18"/>
              </w:rPr>
            </w:pPr>
            <w:r>
              <w:rPr>
                <w:rFonts w:hint="eastAsia" w:ascii="仿宋" w:hAnsi="仿宋" w:eastAsia="仿宋"/>
                <w:color w:val="000000"/>
                <w:sz w:val="18"/>
                <w:szCs w:val="18"/>
              </w:rPr>
              <w:t>主机接口：≥后置</w:t>
            </w:r>
            <w:r>
              <w:rPr>
                <w:rFonts w:ascii="仿宋" w:hAnsi="仿宋" w:eastAsia="仿宋"/>
                <w:color w:val="000000"/>
                <w:sz w:val="18"/>
                <w:szCs w:val="18"/>
              </w:rPr>
              <w:t>6个USB</w:t>
            </w:r>
          </w:p>
          <w:p w14:paraId="295814D6">
            <w:pPr>
              <w:rPr>
                <w:rFonts w:ascii="仿宋" w:hAnsi="仿宋" w:eastAsia="仿宋"/>
                <w:color w:val="000000"/>
                <w:sz w:val="18"/>
                <w:szCs w:val="18"/>
              </w:rPr>
            </w:pPr>
            <w:r>
              <w:rPr>
                <w:rFonts w:hint="eastAsia" w:ascii="仿宋" w:hAnsi="仿宋" w:eastAsia="仿宋"/>
                <w:color w:val="000000"/>
                <w:sz w:val="18"/>
                <w:szCs w:val="18"/>
              </w:rPr>
              <w:t>主机电源：≥4</w:t>
            </w:r>
            <w:r>
              <w:rPr>
                <w:rFonts w:ascii="仿宋" w:hAnsi="仿宋" w:eastAsia="仿宋"/>
                <w:color w:val="000000"/>
                <w:sz w:val="18"/>
                <w:szCs w:val="18"/>
              </w:rPr>
              <w:t>50W</w:t>
            </w:r>
            <w:r>
              <w:rPr>
                <w:rFonts w:hint="eastAsia" w:ascii="仿宋" w:hAnsi="仿宋" w:eastAsia="仿宋"/>
                <w:color w:val="000000"/>
                <w:sz w:val="18"/>
                <w:szCs w:val="18"/>
              </w:rPr>
              <w:t>；</w:t>
            </w:r>
          </w:p>
          <w:p w14:paraId="0402579F">
            <w:pPr>
              <w:rPr>
                <w:rFonts w:ascii="仿宋" w:hAnsi="仿宋" w:eastAsia="仿宋"/>
                <w:color w:val="000000"/>
                <w:sz w:val="18"/>
                <w:szCs w:val="18"/>
              </w:rPr>
            </w:pPr>
            <w:r>
              <w:rPr>
                <w:rFonts w:hint="eastAsia" w:ascii="仿宋" w:hAnsi="仿宋" w:eastAsia="仿宋"/>
                <w:color w:val="000000"/>
                <w:sz w:val="18"/>
                <w:szCs w:val="18"/>
              </w:rPr>
              <w:t>含有线键盘、鼠标；</w:t>
            </w:r>
          </w:p>
          <w:p w14:paraId="7B034E62">
            <w:pPr>
              <w:rPr>
                <w:rFonts w:ascii="仿宋" w:hAnsi="仿宋" w:eastAsia="仿宋"/>
                <w:color w:val="000000"/>
                <w:sz w:val="18"/>
                <w:szCs w:val="18"/>
              </w:rPr>
            </w:pPr>
            <w:r>
              <w:rPr>
                <w:rFonts w:hint="eastAsia" w:ascii="仿宋" w:hAnsi="仿宋" w:eastAsia="仿宋"/>
                <w:color w:val="000000"/>
                <w:sz w:val="18"/>
                <w:szCs w:val="18"/>
              </w:rPr>
              <w:t>操作系统：</w:t>
            </w:r>
            <w:r>
              <w:rPr>
                <w:rFonts w:ascii="仿宋" w:hAnsi="仿宋" w:eastAsia="仿宋"/>
                <w:color w:val="000000"/>
                <w:sz w:val="18"/>
                <w:szCs w:val="18"/>
              </w:rPr>
              <w:t>1套正版国产操作系统，1套正版windows操作系统</w:t>
            </w:r>
          </w:p>
          <w:p w14:paraId="47EB4CFA">
            <w:pPr>
              <w:rPr>
                <w:rFonts w:hint="eastAsia" w:ascii="仿宋" w:hAnsi="仿宋" w:eastAsia="仿宋"/>
                <w:color w:val="000000"/>
                <w:sz w:val="18"/>
                <w:szCs w:val="18"/>
              </w:rPr>
            </w:pPr>
            <w:r>
              <w:rPr>
                <w:rFonts w:ascii="仿宋" w:hAnsi="仿宋" w:eastAsia="仿宋"/>
                <w:color w:val="000000"/>
                <w:sz w:val="18"/>
                <w:szCs w:val="18"/>
              </w:rPr>
              <w:t>3年整机保修</w:t>
            </w:r>
          </w:p>
        </w:tc>
        <w:tc>
          <w:tcPr>
            <w:tcW w:w="851" w:type="dxa"/>
            <w:tcBorders>
              <w:top w:val="nil"/>
              <w:left w:val="nil"/>
              <w:bottom w:val="single" w:color="auto" w:sz="4" w:space="0"/>
              <w:right w:val="single" w:color="auto" w:sz="4" w:space="0"/>
            </w:tcBorders>
            <w:noWrap w:val="0"/>
            <w:vAlign w:val="center"/>
          </w:tcPr>
          <w:p w14:paraId="100E478F">
            <w:pPr>
              <w:jc w:val="center"/>
              <w:rPr>
                <w:rFonts w:hint="eastAsia" w:ascii="仿宋" w:hAnsi="仿宋" w:eastAsia="仿宋"/>
                <w:color w:val="000000"/>
                <w:sz w:val="18"/>
                <w:szCs w:val="18"/>
              </w:rPr>
            </w:pPr>
            <w:r>
              <w:rPr>
                <w:rFonts w:ascii="仿宋" w:hAnsi="仿宋" w:eastAsia="仿宋"/>
                <w:color w:val="000000"/>
                <w:sz w:val="18"/>
                <w:szCs w:val="18"/>
              </w:rPr>
              <w:t>1</w:t>
            </w:r>
          </w:p>
        </w:tc>
        <w:tc>
          <w:tcPr>
            <w:tcW w:w="1559" w:type="dxa"/>
            <w:tcBorders>
              <w:top w:val="nil"/>
              <w:left w:val="nil"/>
              <w:bottom w:val="single" w:color="auto" w:sz="4" w:space="0"/>
              <w:right w:val="single" w:color="auto" w:sz="4" w:space="0"/>
            </w:tcBorders>
            <w:noWrap w:val="0"/>
            <w:vAlign w:val="center"/>
          </w:tcPr>
          <w:p w14:paraId="799B451E">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离港系统</w:t>
            </w:r>
          </w:p>
        </w:tc>
      </w:tr>
      <w:tr w14:paraId="04C98035">
        <w:tblPrEx>
          <w:tblCellMar>
            <w:top w:w="0" w:type="dxa"/>
            <w:left w:w="108" w:type="dxa"/>
            <w:bottom w:w="0" w:type="dxa"/>
            <w:right w:w="108" w:type="dxa"/>
          </w:tblCellMar>
        </w:tblPrEx>
        <w:trPr>
          <w:trHeight w:val="2106" w:hRule="atLeast"/>
        </w:trPr>
        <w:tc>
          <w:tcPr>
            <w:tcW w:w="702" w:type="dxa"/>
            <w:tcBorders>
              <w:top w:val="nil"/>
              <w:left w:val="single" w:color="auto" w:sz="4" w:space="0"/>
              <w:bottom w:val="single" w:color="auto" w:sz="4" w:space="0"/>
              <w:right w:val="single" w:color="auto" w:sz="4" w:space="0"/>
            </w:tcBorders>
            <w:noWrap w:val="0"/>
            <w:vAlign w:val="center"/>
          </w:tcPr>
          <w:p w14:paraId="70CCFF4B">
            <w:pPr>
              <w:jc w:val="center"/>
              <w:rPr>
                <w:rFonts w:hint="eastAsia" w:ascii="仿宋" w:hAnsi="仿宋" w:eastAsia="仿宋"/>
                <w:color w:val="000000"/>
                <w:sz w:val="18"/>
                <w:szCs w:val="18"/>
              </w:rPr>
            </w:pPr>
            <w:r>
              <w:rPr>
                <w:rFonts w:hint="eastAsia" w:ascii="仿宋" w:hAnsi="仿宋" w:eastAsia="仿宋"/>
                <w:color w:val="000000"/>
                <w:sz w:val="18"/>
                <w:szCs w:val="18"/>
              </w:rPr>
              <w:t>2</w:t>
            </w:r>
          </w:p>
        </w:tc>
        <w:tc>
          <w:tcPr>
            <w:tcW w:w="1136" w:type="dxa"/>
            <w:tcBorders>
              <w:top w:val="nil"/>
              <w:left w:val="nil"/>
              <w:bottom w:val="single" w:color="auto" w:sz="4" w:space="0"/>
              <w:right w:val="single" w:color="auto" w:sz="4" w:space="0"/>
            </w:tcBorders>
            <w:noWrap w:val="0"/>
            <w:vAlign w:val="center"/>
          </w:tcPr>
          <w:p w14:paraId="178D3D78">
            <w:pPr>
              <w:jc w:val="center"/>
              <w:rPr>
                <w:rFonts w:hint="eastAsia" w:ascii="仿宋" w:hAnsi="仿宋" w:eastAsia="仿宋"/>
                <w:color w:val="000000"/>
                <w:sz w:val="18"/>
                <w:szCs w:val="18"/>
              </w:rPr>
            </w:pPr>
            <w:r>
              <w:rPr>
                <w:rFonts w:hint="eastAsia" w:ascii="仿宋" w:hAnsi="仿宋" w:eastAsia="仿宋"/>
                <w:color w:val="000000"/>
                <w:sz w:val="18"/>
                <w:szCs w:val="18"/>
              </w:rPr>
              <w:t>航班查询电脑</w:t>
            </w:r>
          </w:p>
        </w:tc>
        <w:tc>
          <w:tcPr>
            <w:tcW w:w="4961" w:type="dxa"/>
            <w:tcBorders>
              <w:top w:val="nil"/>
              <w:left w:val="nil"/>
              <w:bottom w:val="single" w:color="auto" w:sz="4" w:space="0"/>
              <w:right w:val="single" w:color="auto" w:sz="4" w:space="0"/>
            </w:tcBorders>
            <w:noWrap w:val="0"/>
            <w:vAlign w:val="center"/>
          </w:tcPr>
          <w:p w14:paraId="043FD25A">
            <w:pPr>
              <w:rPr>
                <w:rFonts w:ascii="仿宋" w:hAnsi="仿宋" w:eastAsia="仿宋"/>
                <w:color w:val="000000"/>
                <w:sz w:val="18"/>
                <w:szCs w:val="18"/>
              </w:rPr>
            </w:pPr>
            <w:r>
              <w:rPr>
                <w:rFonts w:hint="eastAsia" w:ascii="仿宋" w:hAnsi="仿宋" w:eastAsia="仿宋"/>
                <w:color w:val="000000"/>
                <w:sz w:val="18"/>
                <w:szCs w:val="18"/>
              </w:rPr>
              <w:t>显示器：≥</w:t>
            </w:r>
            <w:r>
              <w:rPr>
                <w:rFonts w:ascii="仿宋" w:hAnsi="仿宋" w:eastAsia="仿宋"/>
                <w:color w:val="000000"/>
                <w:sz w:val="18"/>
                <w:szCs w:val="18"/>
              </w:rPr>
              <w:t>24英寸；</w:t>
            </w:r>
          </w:p>
          <w:p w14:paraId="67C219F3">
            <w:pPr>
              <w:rPr>
                <w:rFonts w:ascii="仿宋" w:hAnsi="仿宋" w:eastAsia="仿宋"/>
                <w:color w:val="000000"/>
                <w:sz w:val="18"/>
                <w:szCs w:val="18"/>
              </w:rPr>
            </w:pPr>
            <w:r>
              <w:rPr>
                <w:rFonts w:ascii="仿宋" w:hAnsi="仿宋" w:eastAsia="仿宋"/>
                <w:color w:val="000000"/>
                <w:sz w:val="18"/>
                <w:szCs w:val="18"/>
              </w:rPr>
              <w:t>CPU：</w:t>
            </w:r>
            <w:r>
              <w:rPr>
                <w:rFonts w:hint="eastAsia" w:ascii="仿宋" w:hAnsi="仿宋" w:eastAsia="仿宋"/>
                <w:color w:val="000000"/>
                <w:sz w:val="18"/>
                <w:szCs w:val="18"/>
              </w:rPr>
              <w:t>海光H</w:t>
            </w:r>
            <w:r>
              <w:rPr>
                <w:rFonts w:ascii="仿宋" w:hAnsi="仿宋" w:eastAsia="仿宋"/>
                <w:color w:val="000000"/>
                <w:sz w:val="18"/>
                <w:szCs w:val="18"/>
              </w:rPr>
              <w:t>G3350或同等性能国产CPU，X86架构；</w:t>
            </w:r>
          </w:p>
          <w:p w14:paraId="7E6A0918">
            <w:pPr>
              <w:rPr>
                <w:rFonts w:ascii="仿宋" w:hAnsi="仿宋" w:eastAsia="仿宋"/>
                <w:color w:val="000000"/>
                <w:sz w:val="18"/>
                <w:szCs w:val="18"/>
              </w:rPr>
            </w:pPr>
            <w:r>
              <w:rPr>
                <w:rFonts w:hint="eastAsia" w:ascii="仿宋" w:hAnsi="仿宋" w:eastAsia="仿宋"/>
                <w:color w:val="000000"/>
                <w:sz w:val="18"/>
                <w:szCs w:val="18"/>
              </w:rPr>
              <w:t>内存：≥</w:t>
            </w:r>
            <w:r>
              <w:rPr>
                <w:rFonts w:ascii="仿宋" w:hAnsi="仿宋" w:eastAsia="仿宋"/>
                <w:color w:val="000000"/>
                <w:sz w:val="18"/>
                <w:szCs w:val="18"/>
              </w:rPr>
              <w:t>8GB；</w:t>
            </w:r>
          </w:p>
          <w:p w14:paraId="514D3B11">
            <w:pPr>
              <w:rPr>
                <w:rFonts w:ascii="仿宋" w:hAnsi="仿宋" w:eastAsia="仿宋"/>
                <w:color w:val="000000"/>
                <w:sz w:val="18"/>
                <w:szCs w:val="18"/>
              </w:rPr>
            </w:pPr>
            <w:r>
              <w:rPr>
                <w:rFonts w:hint="eastAsia" w:ascii="仿宋" w:hAnsi="仿宋" w:eastAsia="仿宋"/>
                <w:color w:val="000000"/>
                <w:sz w:val="18"/>
                <w:szCs w:val="18"/>
              </w:rPr>
              <w:t>硬盘：</w:t>
            </w:r>
            <w:r>
              <w:rPr>
                <w:rFonts w:ascii="仿宋" w:hAnsi="仿宋" w:eastAsia="仿宋"/>
                <w:color w:val="000000"/>
                <w:sz w:val="18"/>
                <w:szCs w:val="18"/>
              </w:rPr>
              <w:t>2块独立的≥500G固态硬盘；</w:t>
            </w:r>
          </w:p>
          <w:p w14:paraId="4C46F60A">
            <w:pPr>
              <w:rPr>
                <w:rFonts w:ascii="仿宋" w:hAnsi="仿宋" w:eastAsia="仿宋"/>
                <w:color w:val="000000"/>
                <w:sz w:val="18"/>
                <w:szCs w:val="18"/>
              </w:rPr>
            </w:pPr>
            <w:r>
              <w:rPr>
                <w:rFonts w:hint="eastAsia" w:ascii="仿宋" w:hAnsi="仿宋" w:eastAsia="仿宋"/>
                <w:color w:val="000000"/>
                <w:sz w:val="18"/>
                <w:szCs w:val="18"/>
              </w:rPr>
              <w:t>主机串口：不低于</w:t>
            </w:r>
            <w:r>
              <w:rPr>
                <w:rFonts w:ascii="仿宋" w:hAnsi="仿宋" w:eastAsia="仿宋"/>
                <w:color w:val="000000"/>
                <w:sz w:val="18"/>
                <w:szCs w:val="18"/>
              </w:rPr>
              <w:t>3个；</w:t>
            </w:r>
          </w:p>
          <w:p w14:paraId="2CB79D1F">
            <w:pPr>
              <w:rPr>
                <w:rFonts w:ascii="仿宋" w:hAnsi="仿宋" w:eastAsia="仿宋"/>
                <w:color w:val="000000"/>
                <w:sz w:val="18"/>
                <w:szCs w:val="18"/>
              </w:rPr>
            </w:pPr>
            <w:r>
              <w:rPr>
                <w:rFonts w:hint="eastAsia" w:ascii="仿宋" w:hAnsi="仿宋" w:eastAsia="仿宋"/>
                <w:color w:val="000000"/>
                <w:sz w:val="18"/>
                <w:szCs w:val="18"/>
              </w:rPr>
              <w:t>主机接口：≥后置</w:t>
            </w:r>
            <w:r>
              <w:rPr>
                <w:rFonts w:ascii="仿宋" w:hAnsi="仿宋" w:eastAsia="仿宋"/>
                <w:color w:val="000000"/>
                <w:sz w:val="18"/>
                <w:szCs w:val="18"/>
              </w:rPr>
              <w:t>6个USB</w:t>
            </w:r>
          </w:p>
          <w:p w14:paraId="4EA35905">
            <w:pPr>
              <w:rPr>
                <w:rFonts w:ascii="仿宋" w:hAnsi="仿宋" w:eastAsia="仿宋"/>
                <w:color w:val="000000"/>
                <w:sz w:val="18"/>
                <w:szCs w:val="18"/>
              </w:rPr>
            </w:pPr>
            <w:r>
              <w:rPr>
                <w:rFonts w:hint="eastAsia" w:ascii="仿宋" w:hAnsi="仿宋" w:eastAsia="仿宋"/>
                <w:color w:val="000000"/>
                <w:sz w:val="18"/>
                <w:szCs w:val="18"/>
              </w:rPr>
              <w:t>主机电源：≥4</w:t>
            </w:r>
            <w:r>
              <w:rPr>
                <w:rFonts w:ascii="仿宋" w:hAnsi="仿宋" w:eastAsia="仿宋"/>
                <w:color w:val="000000"/>
                <w:sz w:val="18"/>
                <w:szCs w:val="18"/>
              </w:rPr>
              <w:t>50W</w:t>
            </w:r>
            <w:r>
              <w:rPr>
                <w:rFonts w:hint="eastAsia" w:ascii="仿宋" w:hAnsi="仿宋" w:eastAsia="仿宋"/>
                <w:color w:val="000000"/>
                <w:sz w:val="18"/>
                <w:szCs w:val="18"/>
              </w:rPr>
              <w:t>；</w:t>
            </w:r>
          </w:p>
          <w:p w14:paraId="1CA7E9F5">
            <w:pPr>
              <w:rPr>
                <w:rFonts w:ascii="仿宋" w:hAnsi="仿宋" w:eastAsia="仿宋"/>
                <w:color w:val="000000"/>
                <w:sz w:val="18"/>
                <w:szCs w:val="18"/>
              </w:rPr>
            </w:pPr>
            <w:r>
              <w:rPr>
                <w:rFonts w:hint="eastAsia" w:ascii="仿宋" w:hAnsi="仿宋" w:eastAsia="仿宋"/>
                <w:color w:val="000000"/>
                <w:sz w:val="18"/>
                <w:szCs w:val="18"/>
              </w:rPr>
              <w:t>含有线键盘、鼠标；</w:t>
            </w:r>
          </w:p>
          <w:p w14:paraId="6ED0DA01">
            <w:pPr>
              <w:rPr>
                <w:rFonts w:ascii="仿宋" w:hAnsi="仿宋" w:eastAsia="仿宋"/>
                <w:color w:val="000000"/>
                <w:sz w:val="18"/>
                <w:szCs w:val="18"/>
              </w:rPr>
            </w:pPr>
            <w:r>
              <w:rPr>
                <w:rFonts w:hint="eastAsia" w:ascii="仿宋" w:hAnsi="仿宋" w:eastAsia="仿宋"/>
                <w:color w:val="000000"/>
                <w:sz w:val="18"/>
                <w:szCs w:val="18"/>
              </w:rPr>
              <w:t>操作系统：</w:t>
            </w:r>
            <w:r>
              <w:rPr>
                <w:rFonts w:ascii="仿宋" w:hAnsi="仿宋" w:eastAsia="仿宋"/>
                <w:color w:val="000000"/>
                <w:sz w:val="18"/>
                <w:szCs w:val="18"/>
              </w:rPr>
              <w:t>1套正版国产操作系统，1套正版windows操作系统</w:t>
            </w:r>
          </w:p>
          <w:p w14:paraId="2C7F9CF9">
            <w:pPr>
              <w:rPr>
                <w:rFonts w:hint="eastAsia" w:ascii="仿宋" w:hAnsi="仿宋" w:eastAsia="仿宋"/>
                <w:color w:val="000000"/>
                <w:sz w:val="18"/>
                <w:szCs w:val="18"/>
              </w:rPr>
            </w:pPr>
            <w:r>
              <w:rPr>
                <w:rFonts w:ascii="仿宋" w:hAnsi="仿宋" w:eastAsia="仿宋"/>
                <w:color w:val="000000"/>
                <w:sz w:val="18"/>
                <w:szCs w:val="18"/>
              </w:rPr>
              <w:t>3年整机保修</w:t>
            </w:r>
          </w:p>
        </w:tc>
        <w:tc>
          <w:tcPr>
            <w:tcW w:w="851" w:type="dxa"/>
            <w:tcBorders>
              <w:top w:val="nil"/>
              <w:left w:val="nil"/>
              <w:bottom w:val="single" w:color="auto" w:sz="4" w:space="0"/>
              <w:right w:val="single" w:color="auto" w:sz="4" w:space="0"/>
            </w:tcBorders>
            <w:noWrap w:val="0"/>
            <w:vAlign w:val="center"/>
          </w:tcPr>
          <w:p w14:paraId="17F1FC91">
            <w:pPr>
              <w:jc w:val="center"/>
              <w:rPr>
                <w:rFonts w:hint="eastAsia" w:ascii="仿宋" w:hAnsi="仿宋" w:eastAsia="仿宋"/>
                <w:color w:val="000000"/>
                <w:sz w:val="18"/>
                <w:szCs w:val="18"/>
              </w:rPr>
            </w:pPr>
            <w:r>
              <w:rPr>
                <w:rFonts w:ascii="仿宋" w:hAnsi="仿宋" w:eastAsia="仿宋"/>
                <w:color w:val="000000"/>
                <w:sz w:val="18"/>
                <w:szCs w:val="18"/>
              </w:rPr>
              <w:t>1</w:t>
            </w:r>
          </w:p>
        </w:tc>
        <w:tc>
          <w:tcPr>
            <w:tcW w:w="1559" w:type="dxa"/>
            <w:tcBorders>
              <w:top w:val="nil"/>
              <w:left w:val="nil"/>
              <w:bottom w:val="single" w:color="auto" w:sz="4" w:space="0"/>
              <w:right w:val="single" w:color="auto" w:sz="4" w:space="0"/>
            </w:tcBorders>
            <w:noWrap w:val="0"/>
            <w:vAlign w:val="center"/>
          </w:tcPr>
          <w:p w14:paraId="5CFF974C">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离港系统</w:t>
            </w:r>
          </w:p>
        </w:tc>
      </w:tr>
      <w:tr w14:paraId="332509A6">
        <w:tblPrEx>
          <w:tblCellMar>
            <w:top w:w="0" w:type="dxa"/>
            <w:left w:w="108" w:type="dxa"/>
            <w:bottom w:w="0" w:type="dxa"/>
            <w:right w:w="108" w:type="dxa"/>
          </w:tblCellMar>
        </w:tblPrEx>
        <w:trPr>
          <w:trHeight w:val="1994" w:hRule="atLeast"/>
        </w:trPr>
        <w:tc>
          <w:tcPr>
            <w:tcW w:w="702" w:type="dxa"/>
            <w:tcBorders>
              <w:top w:val="nil"/>
              <w:left w:val="single" w:color="auto" w:sz="4" w:space="0"/>
              <w:bottom w:val="single" w:color="auto" w:sz="4" w:space="0"/>
              <w:right w:val="single" w:color="auto" w:sz="4" w:space="0"/>
            </w:tcBorders>
            <w:noWrap w:val="0"/>
            <w:vAlign w:val="center"/>
          </w:tcPr>
          <w:p w14:paraId="67574EA0">
            <w:pPr>
              <w:jc w:val="center"/>
              <w:rPr>
                <w:rFonts w:hint="eastAsia" w:ascii="仿宋" w:hAnsi="仿宋" w:eastAsia="仿宋"/>
                <w:color w:val="000000"/>
                <w:sz w:val="18"/>
                <w:szCs w:val="18"/>
              </w:rPr>
            </w:pPr>
            <w:r>
              <w:rPr>
                <w:rFonts w:hint="eastAsia" w:ascii="仿宋" w:hAnsi="仿宋" w:eastAsia="仿宋"/>
                <w:color w:val="000000"/>
                <w:sz w:val="18"/>
                <w:szCs w:val="18"/>
              </w:rPr>
              <w:t>3</w:t>
            </w:r>
          </w:p>
        </w:tc>
        <w:tc>
          <w:tcPr>
            <w:tcW w:w="1136" w:type="dxa"/>
            <w:tcBorders>
              <w:top w:val="nil"/>
              <w:left w:val="nil"/>
              <w:bottom w:val="single" w:color="auto" w:sz="4" w:space="0"/>
              <w:right w:val="single" w:color="auto" w:sz="4" w:space="0"/>
            </w:tcBorders>
            <w:noWrap w:val="0"/>
            <w:vAlign w:val="center"/>
          </w:tcPr>
          <w:p w14:paraId="5A756389">
            <w:pPr>
              <w:jc w:val="center"/>
              <w:rPr>
                <w:rFonts w:hint="eastAsia" w:ascii="仿宋" w:hAnsi="仿宋" w:eastAsia="仿宋"/>
                <w:color w:val="000000"/>
                <w:sz w:val="18"/>
                <w:szCs w:val="18"/>
              </w:rPr>
            </w:pPr>
            <w:r>
              <w:rPr>
                <w:rFonts w:hint="eastAsia" w:ascii="仿宋" w:hAnsi="仿宋" w:eastAsia="仿宋"/>
                <w:color w:val="000000"/>
                <w:sz w:val="18"/>
                <w:szCs w:val="18"/>
              </w:rPr>
              <w:t>护照键盘</w:t>
            </w:r>
          </w:p>
        </w:tc>
        <w:tc>
          <w:tcPr>
            <w:tcW w:w="4961" w:type="dxa"/>
            <w:tcBorders>
              <w:top w:val="nil"/>
              <w:left w:val="nil"/>
              <w:bottom w:val="single" w:color="auto" w:sz="4" w:space="0"/>
              <w:right w:val="single" w:color="auto" w:sz="4" w:space="0"/>
            </w:tcBorders>
            <w:noWrap w:val="0"/>
            <w:vAlign w:val="center"/>
          </w:tcPr>
          <w:p w14:paraId="79656FB0">
            <w:pPr>
              <w:rPr>
                <w:rFonts w:ascii="仿宋" w:hAnsi="仿宋" w:eastAsia="仿宋"/>
                <w:color w:val="000000"/>
                <w:sz w:val="18"/>
                <w:szCs w:val="18"/>
              </w:rPr>
            </w:pPr>
            <w:r>
              <w:rPr>
                <w:rFonts w:ascii="仿宋" w:hAnsi="仿宋" w:eastAsia="仿宋"/>
                <w:color w:val="000000"/>
                <w:sz w:val="18"/>
                <w:szCs w:val="18"/>
              </w:rPr>
              <w:t>1.产品类型：双向划卡式读取多功能键盘；</w:t>
            </w:r>
          </w:p>
          <w:p w14:paraId="2880F094">
            <w:pPr>
              <w:rPr>
                <w:rFonts w:ascii="仿宋" w:hAnsi="仿宋" w:eastAsia="仿宋"/>
                <w:color w:val="000000"/>
                <w:sz w:val="18"/>
                <w:szCs w:val="18"/>
              </w:rPr>
            </w:pPr>
            <w:r>
              <w:rPr>
                <w:rFonts w:ascii="仿宋" w:hAnsi="仿宋" w:eastAsia="仿宋"/>
                <w:color w:val="000000"/>
                <w:sz w:val="18"/>
                <w:szCs w:val="18"/>
              </w:rPr>
              <w:t>2.读取类型：MSR磁卡阅读；</w:t>
            </w:r>
          </w:p>
          <w:p w14:paraId="36DF5FE7">
            <w:pPr>
              <w:rPr>
                <w:rFonts w:ascii="仿宋" w:hAnsi="仿宋" w:eastAsia="仿宋"/>
                <w:color w:val="000000"/>
                <w:sz w:val="18"/>
                <w:szCs w:val="18"/>
              </w:rPr>
            </w:pPr>
            <w:r>
              <w:rPr>
                <w:rFonts w:ascii="仿宋" w:hAnsi="仿宋" w:eastAsia="仿宋"/>
                <w:color w:val="000000"/>
                <w:sz w:val="18"/>
                <w:szCs w:val="18"/>
              </w:rPr>
              <w:t>3.处理时间：手动滑动处理，读取时间＜1秒；</w:t>
            </w:r>
          </w:p>
          <w:p w14:paraId="4436B6FD">
            <w:pPr>
              <w:rPr>
                <w:rFonts w:ascii="仿宋" w:hAnsi="仿宋" w:eastAsia="仿宋"/>
                <w:color w:val="000000"/>
                <w:sz w:val="18"/>
                <w:szCs w:val="18"/>
              </w:rPr>
            </w:pPr>
            <w:r>
              <w:rPr>
                <w:rFonts w:ascii="仿宋" w:hAnsi="仿宋" w:eastAsia="仿宋"/>
                <w:color w:val="000000"/>
                <w:sz w:val="18"/>
                <w:szCs w:val="18"/>
              </w:rPr>
              <w:t>4.可读取证件类型：符合ICAO 9303规格的机读码护照；</w:t>
            </w:r>
          </w:p>
          <w:p w14:paraId="341F9F78">
            <w:pPr>
              <w:rPr>
                <w:rFonts w:ascii="仿宋" w:hAnsi="仿宋" w:eastAsia="仿宋"/>
                <w:color w:val="000000"/>
                <w:sz w:val="18"/>
                <w:szCs w:val="18"/>
              </w:rPr>
            </w:pPr>
            <w:r>
              <w:rPr>
                <w:rFonts w:ascii="仿宋" w:hAnsi="仿宋" w:eastAsia="仿宋"/>
                <w:color w:val="000000"/>
                <w:sz w:val="18"/>
                <w:szCs w:val="18"/>
              </w:rPr>
              <w:t>5.滑动速度：5-55英寸/秒；</w:t>
            </w:r>
          </w:p>
          <w:p w14:paraId="485BAD8A">
            <w:pPr>
              <w:rPr>
                <w:rFonts w:ascii="仿宋" w:hAnsi="仿宋" w:eastAsia="仿宋"/>
                <w:color w:val="000000"/>
                <w:sz w:val="18"/>
                <w:szCs w:val="18"/>
              </w:rPr>
            </w:pPr>
            <w:r>
              <w:rPr>
                <w:rFonts w:ascii="仿宋" w:hAnsi="仿宋" w:eastAsia="仿宋"/>
                <w:color w:val="000000"/>
                <w:sz w:val="18"/>
                <w:szCs w:val="18"/>
              </w:rPr>
              <w:t>6.磁头寿命：≥50万次滑动；</w:t>
            </w:r>
          </w:p>
          <w:p w14:paraId="6521E031">
            <w:pPr>
              <w:rPr>
                <w:rFonts w:ascii="仿宋" w:hAnsi="仿宋" w:eastAsia="仿宋"/>
                <w:color w:val="000000"/>
                <w:sz w:val="18"/>
                <w:szCs w:val="18"/>
              </w:rPr>
            </w:pPr>
            <w:r>
              <w:rPr>
                <w:rFonts w:ascii="仿宋" w:hAnsi="仿宋" w:eastAsia="仿宋"/>
                <w:color w:val="000000"/>
                <w:sz w:val="18"/>
                <w:szCs w:val="18"/>
              </w:rPr>
              <w:t>7.接口：USB，RS232；</w:t>
            </w:r>
          </w:p>
          <w:p w14:paraId="04F3D171">
            <w:pPr>
              <w:rPr>
                <w:rFonts w:ascii="仿宋" w:hAnsi="仿宋" w:eastAsia="仿宋"/>
                <w:color w:val="000000"/>
                <w:sz w:val="18"/>
                <w:szCs w:val="18"/>
              </w:rPr>
            </w:pPr>
            <w:r>
              <w:rPr>
                <w:rFonts w:ascii="仿宋" w:hAnsi="仿宋" w:eastAsia="仿宋"/>
                <w:color w:val="000000"/>
                <w:sz w:val="18"/>
                <w:szCs w:val="18"/>
              </w:rPr>
              <w:t>8.供电方式：USB线直连主机供电；</w:t>
            </w:r>
          </w:p>
          <w:p w14:paraId="064DD47A">
            <w:pPr>
              <w:rPr>
                <w:rFonts w:hint="eastAsia" w:ascii="仿宋" w:hAnsi="仿宋" w:eastAsia="仿宋"/>
                <w:color w:val="000000"/>
                <w:sz w:val="18"/>
                <w:szCs w:val="18"/>
              </w:rPr>
            </w:pPr>
            <w:r>
              <w:rPr>
                <w:rFonts w:ascii="仿宋" w:hAnsi="仿宋" w:eastAsia="仿宋"/>
                <w:color w:val="000000"/>
                <w:sz w:val="18"/>
                <w:szCs w:val="18"/>
              </w:rPr>
              <w:t>9.适用于天河机场在用的中航信离港系统。</w:t>
            </w:r>
          </w:p>
        </w:tc>
        <w:tc>
          <w:tcPr>
            <w:tcW w:w="851" w:type="dxa"/>
            <w:tcBorders>
              <w:top w:val="nil"/>
              <w:left w:val="nil"/>
              <w:bottom w:val="single" w:color="auto" w:sz="4" w:space="0"/>
              <w:right w:val="single" w:color="auto" w:sz="4" w:space="0"/>
            </w:tcBorders>
            <w:noWrap w:val="0"/>
            <w:vAlign w:val="center"/>
          </w:tcPr>
          <w:p w14:paraId="0A575489">
            <w:pPr>
              <w:jc w:val="center"/>
              <w:rPr>
                <w:rFonts w:hint="eastAsia" w:ascii="仿宋" w:hAnsi="仿宋" w:eastAsia="仿宋"/>
                <w:color w:val="000000"/>
                <w:sz w:val="18"/>
                <w:szCs w:val="18"/>
              </w:rPr>
            </w:pPr>
            <w:r>
              <w:rPr>
                <w:rFonts w:ascii="仿宋" w:hAnsi="仿宋" w:eastAsia="仿宋"/>
                <w:color w:val="000000"/>
                <w:sz w:val="18"/>
                <w:szCs w:val="18"/>
              </w:rPr>
              <w:t>1</w:t>
            </w:r>
          </w:p>
        </w:tc>
        <w:tc>
          <w:tcPr>
            <w:tcW w:w="1559" w:type="dxa"/>
            <w:tcBorders>
              <w:top w:val="nil"/>
              <w:left w:val="nil"/>
              <w:bottom w:val="single" w:color="auto" w:sz="4" w:space="0"/>
              <w:right w:val="single" w:color="auto" w:sz="4" w:space="0"/>
            </w:tcBorders>
            <w:noWrap w:val="0"/>
            <w:vAlign w:val="center"/>
          </w:tcPr>
          <w:p w14:paraId="1FC18C25">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离港系统</w:t>
            </w:r>
          </w:p>
        </w:tc>
      </w:tr>
      <w:tr w14:paraId="58B885BC">
        <w:tblPrEx>
          <w:tblCellMar>
            <w:top w:w="0" w:type="dxa"/>
            <w:left w:w="108" w:type="dxa"/>
            <w:bottom w:w="0" w:type="dxa"/>
            <w:right w:w="108" w:type="dxa"/>
          </w:tblCellMar>
        </w:tblPrEx>
        <w:trPr>
          <w:trHeight w:val="421" w:hRule="atLeast"/>
        </w:trPr>
        <w:tc>
          <w:tcPr>
            <w:tcW w:w="702" w:type="dxa"/>
            <w:tcBorders>
              <w:top w:val="nil"/>
              <w:left w:val="single" w:color="auto" w:sz="4" w:space="0"/>
              <w:bottom w:val="single" w:color="auto" w:sz="4" w:space="0"/>
              <w:right w:val="single" w:color="auto" w:sz="4" w:space="0"/>
            </w:tcBorders>
            <w:noWrap w:val="0"/>
            <w:vAlign w:val="center"/>
          </w:tcPr>
          <w:p w14:paraId="568D1E41">
            <w:pPr>
              <w:jc w:val="center"/>
              <w:rPr>
                <w:rFonts w:hint="eastAsia" w:ascii="仿宋" w:hAnsi="仿宋" w:eastAsia="仿宋"/>
                <w:color w:val="000000"/>
                <w:sz w:val="18"/>
                <w:szCs w:val="18"/>
              </w:rPr>
            </w:pPr>
            <w:r>
              <w:rPr>
                <w:rFonts w:ascii="仿宋" w:hAnsi="仿宋" w:eastAsia="仿宋"/>
                <w:color w:val="000000"/>
                <w:sz w:val="18"/>
                <w:szCs w:val="18"/>
              </w:rPr>
              <w:t>4</w:t>
            </w:r>
          </w:p>
        </w:tc>
        <w:tc>
          <w:tcPr>
            <w:tcW w:w="1136" w:type="dxa"/>
            <w:tcBorders>
              <w:top w:val="nil"/>
              <w:left w:val="nil"/>
              <w:bottom w:val="single" w:color="auto" w:sz="4" w:space="0"/>
              <w:right w:val="single" w:color="auto" w:sz="4" w:space="0"/>
            </w:tcBorders>
            <w:noWrap w:val="0"/>
            <w:vAlign w:val="center"/>
          </w:tcPr>
          <w:p w14:paraId="059565D4">
            <w:pPr>
              <w:jc w:val="center"/>
              <w:rPr>
                <w:rFonts w:hint="eastAsia" w:ascii="仿宋" w:hAnsi="仿宋" w:eastAsia="仿宋"/>
                <w:color w:val="000000"/>
                <w:sz w:val="18"/>
                <w:szCs w:val="18"/>
              </w:rPr>
            </w:pPr>
            <w:r>
              <w:rPr>
                <w:rFonts w:hint="eastAsia" w:ascii="仿宋" w:hAnsi="仿宋" w:eastAsia="仿宋"/>
                <w:color w:val="000000"/>
                <w:sz w:val="18"/>
                <w:szCs w:val="18"/>
              </w:rPr>
              <w:t>航显屏</w:t>
            </w:r>
          </w:p>
        </w:tc>
        <w:tc>
          <w:tcPr>
            <w:tcW w:w="4961" w:type="dxa"/>
            <w:tcBorders>
              <w:top w:val="nil"/>
              <w:left w:val="nil"/>
              <w:bottom w:val="single" w:color="auto" w:sz="4" w:space="0"/>
              <w:right w:val="single" w:color="auto" w:sz="4" w:space="0"/>
            </w:tcBorders>
            <w:noWrap w:val="0"/>
            <w:vAlign w:val="center"/>
          </w:tcPr>
          <w:p w14:paraId="3AE95B09">
            <w:pPr>
              <w:rPr>
                <w:rFonts w:ascii="仿宋" w:hAnsi="仿宋" w:eastAsia="仿宋"/>
                <w:color w:val="000000"/>
                <w:sz w:val="18"/>
                <w:szCs w:val="18"/>
              </w:rPr>
            </w:pPr>
            <w:r>
              <w:rPr>
                <w:rFonts w:ascii="仿宋" w:hAnsi="仿宋" w:eastAsia="仿宋"/>
                <w:color w:val="000000"/>
                <w:sz w:val="18"/>
                <w:szCs w:val="18"/>
              </w:rPr>
              <w:t>1.无内置操作系统，无WiFi连接、无线投屏等功能。</w:t>
            </w:r>
          </w:p>
          <w:p w14:paraId="45ED417E">
            <w:pPr>
              <w:rPr>
                <w:rFonts w:ascii="仿宋" w:hAnsi="仿宋" w:eastAsia="仿宋"/>
                <w:color w:val="000000"/>
                <w:sz w:val="18"/>
                <w:szCs w:val="18"/>
              </w:rPr>
            </w:pPr>
            <w:r>
              <w:rPr>
                <w:rFonts w:ascii="仿宋" w:hAnsi="仿宋" w:eastAsia="仿宋"/>
                <w:color w:val="000000"/>
                <w:sz w:val="18"/>
                <w:szCs w:val="18"/>
              </w:rPr>
              <w:t>2.面板类型：液晶屏</w:t>
            </w:r>
          </w:p>
          <w:p w14:paraId="28E1C10E">
            <w:pPr>
              <w:rPr>
                <w:rFonts w:ascii="仿宋" w:hAnsi="仿宋" w:eastAsia="仿宋"/>
                <w:color w:val="000000"/>
                <w:sz w:val="18"/>
                <w:szCs w:val="18"/>
              </w:rPr>
            </w:pPr>
            <w:r>
              <w:rPr>
                <w:rFonts w:ascii="仿宋" w:hAnsi="仿宋" w:eastAsia="仿宋"/>
                <w:color w:val="000000"/>
                <w:sz w:val="18"/>
                <w:szCs w:val="18"/>
              </w:rPr>
              <w:t>3.背光类型：LED或LCD</w:t>
            </w:r>
          </w:p>
          <w:p w14:paraId="72FAC2BF">
            <w:pPr>
              <w:rPr>
                <w:rFonts w:ascii="仿宋" w:hAnsi="仿宋" w:eastAsia="仿宋"/>
                <w:color w:val="000000"/>
                <w:sz w:val="18"/>
                <w:szCs w:val="18"/>
              </w:rPr>
            </w:pPr>
            <w:r>
              <w:rPr>
                <w:rFonts w:ascii="仿宋" w:hAnsi="仿宋" w:eastAsia="仿宋"/>
                <w:color w:val="000000"/>
                <w:sz w:val="18"/>
                <w:szCs w:val="18"/>
              </w:rPr>
              <w:t xml:space="preserve">4.整机外形尺寸（长宽高）：≤1228*699*71mm； </w:t>
            </w:r>
          </w:p>
          <w:p w14:paraId="15EDECBA">
            <w:pPr>
              <w:rPr>
                <w:rFonts w:ascii="仿宋" w:hAnsi="仿宋" w:eastAsia="仿宋"/>
                <w:color w:val="000000"/>
                <w:sz w:val="18"/>
                <w:szCs w:val="18"/>
              </w:rPr>
            </w:pPr>
            <w:r>
              <w:rPr>
                <w:rFonts w:ascii="仿宋" w:hAnsi="仿宋" w:eastAsia="仿宋"/>
                <w:color w:val="000000"/>
                <w:sz w:val="18"/>
                <w:szCs w:val="18"/>
              </w:rPr>
              <w:t>5.屏幕尺寸：55”；</w:t>
            </w:r>
          </w:p>
          <w:p w14:paraId="32881FEF">
            <w:pPr>
              <w:rPr>
                <w:rFonts w:ascii="仿宋" w:hAnsi="仿宋" w:eastAsia="仿宋"/>
                <w:color w:val="000000"/>
                <w:sz w:val="18"/>
                <w:szCs w:val="18"/>
              </w:rPr>
            </w:pPr>
            <w:r>
              <w:rPr>
                <w:rFonts w:ascii="仿宋" w:hAnsi="仿宋" w:eastAsia="仿宋"/>
                <w:color w:val="000000"/>
                <w:sz w:val="18"/>
                <w:szCs w:val="18"/>
              </w:rPr>
              <w:t>6.屏幕比例:16:9</w:t>
            </w:r>
          </w:p>
          <w:p w14:paraId="3D46A547">
            <w:pPr>
              <w:rPr>
                <w:rFonts w:ascii="仿宋" w:hAnsi="仿宋" w:eastAsia="仿宋"/>
                <w:color w:val="000000"/>
                <w:sz w:val="18"/>
                <w:szCs w:val="18"/>
              </w:rPr>
            </w:pPr>
            <w:r>
              <w:rPr>
                <w:rFonts w:ascii="仿宋" w:hAnsi="仿宋" w:eastAsia="仿宋"/>
                <w:color w:val="000000"/>
                <w:sz w:val="18"/>
                <w:szCs w:val="18"/>
              </w:rPr>
              <w:t>7.屏幕亮度:≥500cd/m2</w:t>
            </w:r>
          </w:p>
          <w:p w14:paraId="15BE5ABD">
            <w:pPr>
              <w:rPr>
                <w:rFonts w:ascii="仿宋" w:hAnsi="仿宋" w:eastAsia="仿宋"/>
                <w:color w:val="000000"/>
                <w:sz w:val="18"/>
                <w:szCs w:val="18"/>
              </w:rPr>
            </w:pPr>
            <w:r>
              <w:rPr>
                <w:rFonts w:ascii="仿宋" w:hAnsi="仿宋" w:eastAsia="仿宋"/>
                <w:color w:val="000000"/>
                <w:sz w:val="18"/>
                <w:szCs w:val="18"/>
              </w:rPr>
              <w:t>8.对比度:≥4000:1</w:t>
            </w:r>
          </w:p>
          <w:p w14:paraId="29AA5B2A">
            <w:pPr>
              <w:rPr>
                <w:rFonts w:ascii="仿宋" w:hAnsi="仿宋" w:eastAsia="仿宋"/>
                <w:color w:val="000000"/>
                <w:sz w:val="18"/>
                <w:szCs w:val="18"/>
              </w:rPr>
            </w:pPr>
            <w:r>
              <w:rPr>
                <w:rFonts w:ascii="仿宋" w:hAnsi="仿宋" w:eastAsia="仿宋"/>
                <w:color w:val="000000"/>
                <w:sz w:val="18"/>
                <w:szCs w:val="18"/>
              </w:rPr>
              <w:t>9.分辨率:≥1920*1080;</w:t>
            </w:r>
          </w:p>
          <w:p w14:paraId="3A4B2F64">
            <w:pPr>
              <w:rPr>
                <w:rFonts w:ascii="仿宋" w:hAnsi="仿宋" w:eastAsia="仿宋"/>
                <w:color w:val="000000"/>
                <w:sz w:val="18"/>
                <w:szCs w:val="18"/>
              </w:rPr>
            </w:pPr>
            <w:r>
              <w:rPr>
                <w:rFonts w:ascii="仿宋" w:hAnsi="仿宋" w:eastAsia="仿宋"/>
                <w:color w:val="000000"/>
                <w:sz w:val="18"/>
                <w:szCs w:val="18"/>
              </w:rPr>
              <w:t>10.安装类型:壁挂;</w:t>
            </w:r>
          </w:p>
          <w:p w14:paraId="1C54D14E">
            <w:pPr>
              <w:rPr>
                <w:rFonts w:ascii="仿宋" w:hAnsi="仿宋" w:eastAsia="仿宋"/>
                <w:color w:val="000000"/>
                <w:sz w:val="18"/>
                <w:szCs w:val="18"/>
              </w:rPr>
            </w:pPr>
            <w:r>
              <w:rPr>
                <w:rFonts w:ascii="仿宋" w:hAnsi="仿宋" w:eastAsia="仿宋"/>
                <w:color w:val="000000"/>
                <w:sz w:val="18"/>
                <w:szCs w:val="18"/>
              </w:rPr>
              <w:t>11.MTBF≥5万小时；</w:t>
            </w:r>
          </w:p>
          <w:p w14:paraId="38864140">
            <w:pPr>
              <w:rPr>
                <w:rFonts w:ascii="仿宋" w:hAnsi="仿宋" w:eastAsia="仿宋"/>
                <w:color w:val="000000"/>
                <w:sz w:val="18"/>
                <w:szCs w:val="18"/>
              </w:rPr>
            </w:pPr>
            <w:r>
              <w:rPr>
                <w:rFonts w:ascii="仿宋" w:hAnsi="仿宋" w:eastAsia="仿宋"/>
                <w:color w:val="000000"/>
                <w:sz w:val="18"/>
                <w:szCs w:val="18"/>
              </w:rPr>
              <w:t>12.防护等级：不低于IP5X；</w:t>
            </w:r>
          </w:p>
          <w:p w14:paraId="5EAA0521">
            <w:pPr>
              <w:rPr>
                <w:rFonts w:hint="eastAsia" w:ascii="仿宋" w:hAnsi="仿宋" w:eastAsia="仿宋"/>
                <w:color w:val="000000"/>
                <w:sz w:val="18"/>
                <w:szCs w:val="18"/>
              </w:rPr>
            </w:pPr>
            <w:r>
              <w:rPr>
                <w:rFonts w:hint="eastAsia" w:ascii="仿宋" w:hAnsi="仿宋" w:eastAsia="仿宋"/>
                <w:color w:val="000000"/>
                <w:sz w:val="18"/>
                <w:szCs w:val="18"/>
              </w:rPr>
              <w:t>1</w:t>
            </w:r>
            <w:r>
              <w:rPr>
                <w:rFonts w:ascii="仿宋" w:hAnsi="仿宋" w:eastAsia="仿宋"/>
                <w:color w:val="000000"/>
                <w:sz w:val="18"/>
                <w:szCs w:val="18"/>
              </w:rPr>
              <w:t>3.</w:t>
            </w:r>
            <w:r>
              <w:rPr>
                <w:rFonts w:hint="eastAsia" w:ascii="仿宋" w:hAnsi="仿宋" w:eastAsia="仿宋"/>
                <w:color w:val="000000"/>
                <w:sz w:val="18"/>
                <w:szCs w:val="18"/>
              </w:rPr>
              <w:t>包含吊装支架</w:t>
            </w:r>
          </w:p>
        </w:tc>
        <w:tc>
          <w:tcPr>
            <w:tcW w:w="851" w:type="dxa"/>
            <w:tcBorders>
              <w:top w:val="nil"/>
              <w:left w:val="nil"/>
              <w:bottom w:val="single" w:color="auto" w:sz="4" w:space="0"/>
              <w:right w:val="single" w:color="auto" w:sz="4" w:space="0"/>
            </w:tcBorders>
            <w:noWrap w:val="0"/>
            <w:vAlign w:val="center"/>
          </w:tcPr>
          <w:p w14:paraId="0C9DA1B8">
            <w:pPr>
              <w:jc w:val="center"/>
              <w:rPr>
                <w:rFonts w:hint="eastAsia" w:ascii="仿宋" w:hAnsi="仿宋" w:eastAsia="仿宋"/>
                <w:color w:val="000000"/>
                <w:sz w:val="18"/>
                <w:szCs w:val="18"/>
              </w:rPr>
            </w:pPr>
            <w:r>
              <w:rPr>
                <w:rFonts w:ascii="仿宋" w:hAnsi="仿宋" w:eastAsia="仿宋"/>
                <w:color w:val="000000"/>
                <w:sz w:val="18"/>
                <w:szCs w:val="18"/>
              </w:rPr>
              <w:t>2</w:t>
            </w:r>
          </w:p>
        </w:tc>
        <w:tc>
          <w:tcPr>
            <w:tcW w:w="1559" w:type="dxa"/>
            <w:tcBorders>
              <w:top w:val="nil"/>
              <w:left w:val="nil"/>
              <w:bottom w:val="single" w:color="auto" w:sz="4" w:space="0"/>
              <w:right w:val="single" w:color="auto" w:sz="4" w:space="0"/>
            </w:tcBorders>
            <w:noWrap w:val="0"/>
            <w:vAlign w:val="center"/>
          </w:tcPr>
          <w:p w14:paraId="149DB3D0">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航显系统</w:t>
            </w:r>
          </w:p>
        </w:tc>
      </w:tr>
      <w:tr w14:paraId="7F0F4944">
        <w:tblPrEx>
          <w:tblCellMar>
            <w:top w:w="0" w:type="dxa"/>
            <w:left w:w="108" w:type="dxa"/>
            <w:bottom w:w="0" w:type="dxa"/>
            <w:right w:w="108" w:type="dxa"/>
          </w:tblCellMar>
        </w:tblPrEx>
        <w:trPr>
          <w:trHeight w:val="421" w:hRule="atLeast"/>
        </w:trPr>
        <w:tc>
          <w:tcPr>
            <w:tcW w:w="702" w:type="dxa"/>
            <w:tcBorders>
              <w:top w:val="nil"/>
              <w:left w:val="single" w:color="auto" w:sz="4" w:space="0"/>
              <w:bottom w:val="single" w:color="auto" w:sz="4" w:space="0"/>
              <w:right w:val="single" w:color="auto" w:sz="4" w:space="0"/>
            </w:tcBorders>
            <w:noWrap w:val="0"/>
            <w:vAlign w:val="center"/>
          </w:tcPr>
          <w:p w14:paraId="7D598C70">
            <w:pPr>
              <w:jc w:val="center"/>
              <w:rPr>
                <w:rFonts w:hint="eastAsia" w:ascii="仿宋" w:hAnsi="仿宋" w:eastAsia="仿宋"/>
                <w:color w:val="000000"/>
                <w:sz w:val="18"/>
                <w:szCs w:val="18"/>
              </w:rPr>
            </w:pPr>
            <w:r>
              <w:rPr>
                <w:rFonts w:ascii="仿宋" w:hAnsi="仿宋" w:eastAsia="仿宋"/>
                <w:color w:val="000000"/>
                <w:sz w:val="18"/>
                <w:szCs w:val="18"/>
              </w:rPr>
              <w:t>5</w:t>
            </w:r>
          </w:p>
        </w:tc>
        <w:tc>
          <w:tcPr>
            <w:tcW w:w="1136" w:type="dxa"/>
            <w:tcBorders>
              <w:top w:val="nil"/>
              <w:left w:val="nil"/>
              <w:bottom w:val="single" w:color="auto" w:sz="4" w:space="0"/>
              <w:right w:val="single" w:color="auto" w:sz="4" w:space="0"/>
            </w:tcBorders>
            <w:noWrap w:val="0"/>
            <w:vAlign w:val="center"/>
          </w:tcPr>
          <w:p w14:paraId="63985DEB">
            <w:pPr>
              <w:jc w:val="center"/>
              <w:rPr>
                <w:rFonts w:hint="eastAsia" w:ascii="仿宋" w:hAnsi="仿宋" w:eastAsia="仿宋"/>
                <w:color w:val="000000"/>
                <w:sz w:val="18"/>
                <w:szCs w:val="18"/>
              </w:rPr>
            </w:pPr>
            <w:r>
              <w:rPr>
                <w:rFonts w:hint="eastAsia" w:ascii="仿宋" w:hAnsi="仿宋" w:eastAsia="仿宋"/>
                <w:color w:val="000000"/>
                <w:sz w:val="18"/>
                <w:szCs w:val="18"/>
              </w:rPr>
              <w:t>航显工控机</w:t>
            </w:r>
          </w:p>
        </w:tc>
        <w:tc>
          <w:tcPr>
            <w:tcW w:w="4961" w:type="dxa"/>
            <w:tcBorders>
              <w:top w:val="nil"/>
              <w:left w:val="nil"/>
              <w:bottom w:val="single" w:color="auto" w:sz="4" w:space="0"/>
              <w:right w:val="single" w:color="auto" w:sz="4" w:space="0"/>
            </w:tcBorders>
            <w:noWrap w:val="0"/>
            <w:vAlign w:val="center"/>
          </w:tcPr>
          <w:p w14:paraId="566AC31B">
            <w:pPr>
              <w:rPr>
                <w:rFonts w:ascii="仿宋" w:hAnsi="仿宋" w:eastAsia="仿宋"/>
                <w:color w:val="000000"/>
                <w:sz w:val="18"/>
                <w:szCs w:val="18"/>
              </w:rPr>
            </w:pPr>
            <w:r>
              <w:rPr>
                <w:rFonts w:ascii="仿宋" w:hAnsi="仿宋" w:eastAsia="仿宋"/>
                <w:color w:val="000000"/>
                <w:sz w:val="18"/>
                <w:szCs w:val="18"/>
              </w:rPr>
              <w:t>1.产品类型：工业智能客户端</w:t>
            </w:r>
          </w:p>
          <w:p w14:paraId="64D7F21B">
            <w:pPr>
              <w:rPr>
                <w:rFonts w:ascii="仿宋" w:hAnsi="仿宋" w:eastAsia="仿宋"/>
                <w:color w:val="000000"/>
                <w:sz w:val="18"/>
                <w:szCs w:val="18"/>
              </w:rPr>
            </w:pPr>
            <w:r>
              <w:rPr>
                <w:rFonts w:ascii="仿宋" w:hAnsi="仿宋" w:eastAsia="仿宋"/>
                <w:color w:val="000000"/>
                <w:sz w:val="18"/>
                <w:szCs w:val="18"/>
              </w:rPr>
              <w:t>2.处理器：频率≥2.7 GHz，核心≥8个</w:t>
            </w:r>
          </w:p>
          <w:p w14:paraId="50A5C811">
            <w:pPr>
              <w:rPr>
                <w:rFonts w:ascii="仿宋" w:hAnsi="仿宋" w:eastAsia="仿宋"/>
                <w:color w:val="000000"/>
                <w:sz w:val="18"/>
                <w:szCs w:val="18"/>
              </w:rPr>
            </w:pPr>
            <w:r>
              <w:rPr>
                <w:rFonts w:ascii="仿宋" w:hAnsi="仿宋" w:eastAsia="仿宋"/>
                <w:color w:val="000000"/>
                <w:sz w:val="18"/>
                <w:szCs w:val="18"/>
              </w:rPr>
              <w:t>3.内  存：≥8G DDR4（支持升级）</w:t>
            </w:r>
          </w:p>
          <w:p w14:paraId="32E1C71B">
            <w:pPr>
              <w:rPr>
                <w:rFonts w:ascii="仿宋" w:hAnsi="仿宋" w:eastAsia="仿宋"/>
                <w:color w:val="000000"/>
                <w:sz w:val="18"/>
                <w:szCs w:val="18"/>
              </w:rPr>
            </w:pPr>
            <w:r>
              <w:rPr>
                <w:rFonts w:ascii="仿宋" w:hAnsi="仿宋" w:eastAsia="仿宋"/>
                <w:color w:val="000000"/>
                <w:sz w:val="18"/>
                <w:szCs w:val="18"/>
              </w:rPr>
              <w:t>4.硬  盘：≥256G（PCIE通道，支持升级）</w:t>
            </w:r>
          </w:p>
          <w:p w14:paraId="25D2E6CE">
            <w:pPr>
              <w:rPr>
                <w:rFonts w:ascii="仿宋" w:hAnsi="仿宋" w:eastAsia="仿宋"/>
                <w:color w:val="000000"/>
                <w:sz w:val="18"/>
                <w:szCs w:val="18"/>
              </w:rPr>
            </w:pPr>
            <w:r>
              <w:rPr>
                <w:rFonts w:ascii="仿宋" w:hAnsi="仿宋" w:eastAsia="仿宋"/>
                <w:color w:val="000000"/>
                <w:sz w:val="18"/>
                <w:szCs w:val="18"/>
              </w:rPr>
              <w:t>5.网  卡：≥10/100/1000Mbps，支持网络唤醒</w:t>
            </w:r>
          </w:p>
          <w:p w14:paraId="10AF47F3">
            <w:pPr>
              <w:rPr>
                <w:rFonts w:ascii="仿宋" w:hAnsi="仿宋" w:eastAsia="仿宋"/>
                <w:color w:val="000000"/>
                <w:sz w:val="18"/>
                <w:szCs w:val="18"/>
              </w:rPr>
            </w:pPr>
            <w:r>
              <w:rPr>
                <w:rFonts w:ascii="仿宋" w:hAnsi="仿宋" w:eastAsia="仿宋"/>
                <w:color w:val="000000"/>
                <w:sz w:val="18"/>
                <w:szCs w:val="18"/>
              </w:rPr>
              <w:t>6.显  卡：支持3D/4K，支持视频编解码硬件加速，OpenCL≥1.1，OpenGL≥3.2</w:t>
            </w:r>
          </w:p>
          <w:p w14:paraId="2171ED25">
            <w:pPr>
              <w:rPr>
                <w:rFonts w:ascii="仿宋" w:hAnsi="仿宋" w:eastAsia="仿宋"/>
                <w:color w:val="000000"/>
                <w:sz w:val="18"/>
                <w:szCs w:val="18"/>
              </w:rPr>
            </w:pPr>
            <w:r>
              <w:rPr>
                <w:rFonts w:ascii="仿宋" w:hAnsi="仿宋" w:eastAsia="仿宋"/>
                <w:color w:val="000000"/>
                <w:sz w:val="18"/>
                <w:szCs w:val="18"/>
              </w:rPr>
              <w:t>7.接  口：≥5个（需包含至少2个USB3.0，1个HDMI，1个VGA，1个RJ45）</w:t>
            </w:r>
          </w:p>
          <w:p w14:paraId="79F76D2F">
            <w:pPr>
              <w:rPr>
                <w:rFonts w:ascii="仿宋" w:hAnsi="仿宋" w:eastAsia="仿宋"/>
                <w:color w:val="000000"/>
                <w:sz w:val="18"/>
                <w:szCs w:val="18"/>
              </w:rPr>
            </w:pPr>
            <w:r>
              <w:rPr>
                <w:rFonts w:ascii="仿宋" w:hAnsi="仿宋" w:eastAsia="仿宋"/>
                <w:color w:val="000000"/>
                <w:sz w:val="18"/>
                <w:szCs w:val="18"/>
              </w:rPr>
              <w:t>8.操作系统：支持安装OpenSUSE或Ubuntu，统信OS或麒麟OS。</w:t>
            </w:r>
          </w:p>
          <w:p w14:paraId="7482E9B4">
            <w:pPr>
              <w:rPr>
                <w:rFonts w:ascii="仿宋" w:hAnsi="仿宋" w:eastAsia="仿宋"/>
                <w:color w:val="000000"/>
                <w:sz w:val="18"/>
                <w:szCs w:val="18"/>
              </w:rPr>
            </w:pPr>
            <w:r>
              <w:rPr>
                <w:rFonts w:ascii="仿宋" w:hAnsi="仿宋" w:eastAsia="仿宋"/>
                <w:color w:val="000000"/>
                <w:sz w:val="18"/>
                <w:szCs w:val="18"/>
              </w:rPr>
              <w:t>9.安装方式：支持桌面放置、壁挂</w:t>
            </w:r>
          </w:p>
          <w:p w14:paraId="42B0E225">
            <w:pPr>
              <w:rPr>
                <w:rFonts w:hint="eastAsia" w:ascii="仿宋" w:hAnsi="仿宋" w:eastAsia="仿宋"/>
                <w:color w:val="000000"/>
                <w:sz w:val="18"/>
                <w:szCs w:val="18"/>
              </w:rPr>
            </w:pPr>
            <w:r>
              <w:rPr>
                <w:rFonts w:ascii="仿宋" w:hAnsi="仿宋" w:eastAsia="仿宋"/>
                <w:color w:val="000000"/>
                <w:sz w:val="18"/>
                <w:szCs w:val="18"/>
              </w:rPr>
              <w:t>10.尺  寸：≤250*250*60mm</w:t>
            </w:r>
          </w:p>
        </w:tc>
        <w:tc>
          <w:tcPr>
            <w:tcW w:w="851" w:type="dxa"/>
            <w:tcBorders>
              <w:top w:val="nil"/>
              <w:left w:val="nil"/>
              <w:bottom w:val="single" w:color="auto" w:sz="4" w:space="0"/>
              <w:right w:val="single" w:color="auto" w:sz="4" w:space="0"/>
            </w:tcBorders>
            <w:noWrap w:val="0"/>
            <w:vAlign w:val="center"/>
          </w:tcPr>
          <w:p w14:paraId="70768CF1">
            <w:pPr>
              <w:jc w:val="center"/>
              <w:rPr>
                <w:rFonts w:hint="eastAsia" w:ascii="仿宋" w:hAnsi="仿宋" w:eastAsia="仿宋"/>
                <w:color w:val="000000"/>
                <w:sz w:val="18"/>
                <w:szCs w:val="18"/>
              </w:rPr>
            </w:pPr>
            <w:r>
              <w:rPr>
                <w:rFonts w:ascii="仿宋" w:hAnsi="仿宋" w:eastAsia="仿宋"/>
                <w:color w:val="000000"/>
                <w:sz w:val="18"/>
                <w:szCs w:val="18"/>
              </w:rPr>
              <w:t>2</w:t>
            </w:r>
          </w:p>
        </w:tc>
        <w:tc>
          <w:tcPr>
            <w:tcW w:w="1559" w:type="dxa"/>
            <w:tcBorders>
              <w:top w:val="nil"/>
              <w:left w:val="nil"/>
              <w:bottom w:val="single" w:color="auto" w:sz="4" w:space="0"/>
              <w:right w:val="single" w:color="auto" w:sz="4" w:space="0"/>
            </w:tcBorders>
            <w:noWrap w:val="0"/>
            <w:vAlign w:val="center"/>
          </w:tcPr>
          <w:p w14:paraId="5628C518">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航显系统</w:t>
            </w:r>
          </w:p>
        </w:tc>
      </w:tr>
      <w:tr w14:paraId="192C6A09">
        <w:tblPrEx>
          <w:tblCellMar>
            <w:top w:w="0" w:type="dxa"/>
            <w:left w:w="108" w:type="dxa"/>
            <w:bottom w:w="0" w:type="dxa"/>
            <w:right w:w="108" w:type="dxa"/>
          </w:tblCellMar>
        </w:tblPrEx>
        <w:trPr>
          <w:trHeight w:val="42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180FB16C">
            <w:pPr>
              <w:jc w:val="center"/>
              <w:rPr>
                <w:rFonts w:hint="eastAsia" w:ascii="仿宋" w:hAnsi="仿宋" w:eastAsia="仿宋"/>
                <w:color w:val="000000"/>
                <w:sz w:val="18"/>
                <w:szCs w:val="18"/>
              </w:rPr>
            </w:pPr>
            <w:r>
              <w:rPr>
                <w:rFonts w:ascii="仿宋" w:hAnsi="仿宋" w:eastAsia="仿宋"/>
                <w:color w:val="000000"/>
                <w:sz w:val="18"/>
                <w:szCs w:val="18"/>
              </w:rPr>
              <w:t>6</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31C210E">
            <w:pPr>
              <w:jc w:val="center"/>
              <w:rPr>
                <w:rFonts w:hint="eastAsia" w:ascii="仿宋" w:hAnsi="仿宋" w:eastAsia="仿宋"/>
                <w:color w:val="000000"/>
                <w:sz w:val="18"/>
                <w:szCs w:val="18"/>
              </w:rPr>
            </w:pPr>
            <w:r>
              <w:rPr>
                <w:rFonts w:hint="eastAsia" w:ascii="仿宋" w:hAnsi="仿宋" w:eastAsia="仿宋"/>
                <w:color w:val="000000"/>
                <w:sz w:val="18"/>
                <w:szCs w:val="18"/>
              </w:rPr>
              <w:t>网络交换机</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322B605">
            <w:pPr>
              <w:rPr>
                <w:rFonts w:ascii="仿宋" w:hAnsi="仿宋" w:eastAsia="仿宋"/>
                <w:color w:val="000000"/>
                <w:sz w:val="18"/>
                <w:szCs w:val="18"/>
              </w:rPr>
            </w:pPr>
            <w:r>
              <w:rPr>
                <w:rFonts w:hint="eastAsia" w:ascii="仿宋" w:hAnsi="仿宋" w:eastAsia="仿宋"/>
                <w:color w:val="000000"/>
                <w:sz w:val="18"/>
                <w:szCs w:val="18"/>
              </w:rPr>
              <w:t>包转发率：</w:t>
            </w:r>
            <w:r>
              <w:rPr>
                <w:rFonts w:ascii="仿宋" w:hAnsi="仿宋" w:eastAsia="仿宋"/>
                <w:color w:val="000000"/>
                <w:sz w:val="18"/>
                <w:szCs w:val="18"/>
              </w:rPr>
              <w:t>108/126Mpps</w:t>
            </w:r>
          </w:p>
          <w:p w14:paraId="27B522CD">
            <w:pPr>
              <w:rPr>
                <w:rFonts w:ascii="仿宋" w:hAnsi="仿宋" w:eastAsia="仿宋"/>
                <w:color w:val="000000"/>
                <w:sz w:val="18"/>
                <w:szCs w:val="18"/>
              </w:rPr>
            </w:pPr>
            <w:r>
              <w:rPr>
                <w:rFonts w:hint="eastAsia" w:ascii="仿宋" w:hAnsi="仿宋" w:eastAsia="仿宋"/>
                <w:color w:val="000000"/>
                <w:sz w:val="18"/>
                <w:szCs w:val="18"/>
              </w:rPr>
              <w:t>交换容量：</w:t>
            </w:r>
            <w:r>
              <w:rPr>
                <w:rFonts w:ascii="仿宋" w:hAnsi="仿宋" w:eastAsia="仿宋"/>
                <w:color w:val="000000"/>
                <w:sz w:val="18"/>
                <w:szCs w:val="18"/>
              </w:rPr>
              <w:t>336Gbps/3.36Tbps</w:t>
            </w:r>
          </w:p>
          <w:p w14:paraId="5C6DC17A">
            <w:pPr>
              <w:rPr>
                <w:rFonts w:ascii="仿宋" w:hAnsi="仿宋" w:eastAsia="仿宋"/>
                <w:color w:val="000000"/>
                <w:sz w:val="18"/>
                <w:szCs w:val="18"/>
              </w:rPr>
            </w:pPr>
            <w:r>
              <w:rPr>
                <w:rFonts w:hint="eastAsia" w:ascii="仿宋" w:hAnsi="仿宋" w:eastAsia="仿宋"/>
                <w:color w:val="000000"/>
                <w:sz w:val="18"/>
                <w:szCs w:val="18"/>
              </w:rPr>
              <w:t>接口数量：</w:t>
            </w:r>
            <w:r>
              <w:rPr>
                <w:rFonts w:ascii="仿宋" w:hAnsi="仿宋" w:eastAsia="仿宋"/>
                <w:color w:val="000000"/>
                <w:sz w:val="18"/>
                <w:szCs w:val="18"/>
              </w:rPr>
              <w:t>24个10/100/1000BASE-T以太网端口，4个万兆SFP+</w:t>
            </w:r>
          </w:p>
          <w:p w14:paraId="73DF6516">
            <w:pPr>
              <w:rPr>
                <w:rFonts w:ascii="仿宋" w:hAnsi="仿宋" w:eastAsia="仿宋"/>
                <w:color w:val="000000"/>
                <w:sz w:val="18"/>
                <w:szCs w:val="18"/>
              </w:rPr>
            </w:pPr>
            <w:r>
              <w:rPr>
                <w:rFonts w:hint="eastAsia" w:ascii="仿宋" w:hAnsi="仿宋" w:eastAsia="仿宋"/>
                <w:color w:val="000000"/>
                <w:sz w:val="18"/>
                <w:szCs w:val="18"/>
              </w:rPr>
              <w:t>支持</w:t>
            </w:r>
            <w:r>
              <w:rPr>
                <w:rFonts w:ascii="仿宋" w:hAnsi="仿宋" w:eastAsia="仿宋"/>
                <w:color w:val="000000"/>
                <w:sz w:val="18"/>
                <w:szCs w:val="18"/>
              </w:rPr>
              <w:t>POE供电</w:t>
            </w:r>
          </w:p>
          <w:p w14:paraId="4E08CEE0">
            <w:pPr>
              <w:rPr>
                <w:rFonts w:hint="eastAsia" w:ascii="仿宋" w:hAnsi="仿宋" w:eastAsia="仿宋"/>
                <w:color w:val="000000"/>
                <w:sz w:val="18"/>
                <w:szCs w:val="18"/>
              </w:rPr>
            </w:pPr>
            <w:r>
              <w:rPr>
                <w:rFonts w:hint="eastAsia" w:ascii="仿宋" w:hAnsi="仿宋" w:eastAsia="仿宋"/>
                <w:color w:val="000000"/>
                <w:sz w:val="18"/>
                <w:szCs w:val="18"/>
              </w:rPr>
              <w:t>标准机架式安装，含光模块</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616AD4E">
            <w:pPr>
              <w:jc w:val="center"/>
              <w:rPr>
                <w:rFonts w:hint="eastAsia" w:ascii="仿宋" w:hAnsi="仿宋" w:eastAsia="仿宋"/>
                <w:color w:val="000000"/>
                <w:sz w:val="18"/>
                <w:szCs w:val="18"/>
              </w:rPr>
            </w:pPr>
            <w:r>
              <w:rPr>
                <w:rFonts w:ascii="仿宋" w:hAnsi="仿宋" w:eastAsia="仿宋"/>
                <w:color w:val="000000"/>
                <w:sz w:val="18"/>
                <w:szCs w:val="18"/>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E01786E">
            <w:pPr>
              <w:jc w:val="center"/>
              <w:rPr>
                <w:rFonts w:hint="eastAsia" w:ascii="仿宋" w:hAnsi="仿宋" w:eastAsia="仿宋"/>
                <w:color w:val="000000"/>
                <w:sz w:val="18"/>
                <w:szCs w:val="18"/>
              </w:rPr>
            </w:pPr>
          </w:p>
        </w:tc>
      </w:tr>
      <w:tr w14:paraId="27601E2E">
        <w:tblPrEx>
          <w:tblCellMar>
            <w:top w:w="0" w:type="dxa"/>
            <w:left w:w="108" w:type="dxa"/>
            <w:bottom w:w="0" w:type="dxa"/>
            <w:right w:w="108" w:type="dxa"/>
          </w:tblCellMar>
        </w:tblPrEx>
        <w:trPr>
          <w:trHeight w:val="42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7248B8BB">
            <w:pPr>
              <w:jc w:val="center"/>
              <w:rPr>
                <w:rFonts w:ascii="仿宋" w:hAnsi="仿宋" w:eastAsia="仿宋"/>
                <w:color w:val="000000"/>
                <w:sz w:val="18"/>
                <w:szCs w:val="18"/>
              </w:rPr>
            </w:pPr>
            <w:r>
              <w:rPr>
                <w:rFonts w:hint="eastAsia" w:ascii="仿宋" w:hAnsi="仿宋" w:eastAsia="仿宋"/>
                <w:color w:val="000000"/>
                <w:sz w:val="18"/>
                <w:szCs w:val="18"/>
              </w:rPr>
              <w:t>7</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09D0F6A">
            <w:pPr>
              <w:jc w:val="center"/>
              <w:rPr>
                <w:rFonts w:hint="eastAsia" w:ascii="仿宋" w:hAnsi="仿宋" w:eastAsia="仿宋"/>
                <w:color w:val="000000"/>
                <w:sz w:val="18"/>
                <w:szCs w:val="18"/>
              </w:rPr>
            </w:pPr>
            <w:r>
              <w:rPr>
                <w:rFonts w:hint="eastAsia" w:ascii="仿宋" w:hAnsi="仿宋" w:eastAsia="仿宋"/>
                <w:color w:val="000000"/>
                <w:sz w:val="18"/>
                <w:szCs w:val="18"/>
              </w:rPr>
              <w:t>独立</w:t>
            </w:r>
            <w:r>
              <w:rPr>
                <w:rFonts w:ascii="仿宋" w:hAnsi="仿宋" w:eastAsia="仿宋"/>
                <w:color w:val="000000"/>
                <w:sz w:val="18"/>
                <w:szCs w:val="18"/>
              </w:rPr>
              <w:t>UPS供电系统</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05D1A24">
            <w:pPr>
              <w:rPr>
                <w:rFonts w:ascii="仿宋" w:hAnsi="仿宋" w:eastAsia="仿宋"/>
                <w:color w:val="000000"/>
                <w:sz w:val="18"/>
                <w:szCs w:val="18"/>
              </w:rPr>
            </w:pPr>
            <w:r>
              <w:rPr>
                <w:rFonts w:hint="eastAsia" w:ascii="仿宋" w:hAnsi="仿宋" w:eastAsia="仿宋"/>
                <w:color w:val="000000"/>
                <w:sz w:val="18"/>
                <w:szCs w:val="18"/>
              </w:rPr>
              <w:t>供电方式：主机</w:t>
            </w:r>
            <w:r>
              <w:rPr>
                <w:rFonts w:ascii="仿宋" w:hAnsi="仿宋" w:eastAsia="仿宋"/>
                <w:color w:val="000000"/>
                <w:sz w:val="18"/>
                <w:szCs w:val="18"/>
              </w:rPr>
              <w:t>+UPS电池包；</w:t>
            </w:r>
          </w:p>
          <w:p w14:paraId="6675BDC1">
            <w:pPr>
              <w:rPr>
                <w:rFonts w:ascii="仿宋" w:hAnsi="仿宋" w:eastAsia="仿宋"/>
                <w:color w:val="000000"/>
                <w:sz w:val="18"/>
                <w:szCs w:val="18"/>
              </w:rPr>
            </w:pPr>
            <w:r>
              <w:rPr>
                <w:rFonts w:hint="eastAsia" w:ascii="仿宋" w:hAnsi="仿宋" w:eastAsia="仿宋"/>
                <w:color w:val="000000"/>
                <w:sz w:val="18"/>
                <w:szCs w:val="18"/>
              </w:rPr>
              <w:t>安装方式：标准机架式安装或独立机柜；</w:t>
            </w:r>
          </w:p>
          <w:p w14:paraId="24D39820">
            <w:pPr>
              <w:rPr>
                <w:rFonts w:ascii="仿宋" w:hAnsi="仿宋" w:eastAsia="仿宋"/>
                <w:color w:val="000000"/>
                <w:sz w:val="18"/>
                <w:szCs w:val="18"/>
              </w:rPr>
            </w:pPr>
            <w:r>
              <w:rPr>
                <w:rFonts w:hint="eastAsia" w:ascii="仿宋" w:hAnsi="仿宋" w:eastAsia="仿宋"/>
                <w:color w:val="000000"/>
                <w:sz w:val="18"/>
                <w:szCs w:val="18"/>
              </w:rPr>
              <w:t>额定容量：不低于</w:t>
            </w:r>
            <w:r>
              <w:rPr>
                <w:rFonts w:ascii="仿宋" w:hAnsi="仿宋" w:eastAsia="仿宋"/>
                <w:color w:val="000000"/>
                <w:sz w:val="18"/>
                <w:szCs w:val="18"/>
              </w:rPr>
              <w:t>5KVA/5KW；</w:t>
            </w:r>
          </w:p>
          <w:p w14:paraId="2F0A9B6D">
            <w:pPr>
              <w:rPr>
                <w:rFonts w:ascii="仿宋" w:hAnsi="仿宋" w:eastAsia="仿宋"/>
                <w:color w:val="000000"/>
                <w:sz w:val="18"/>
                <w:szCs w:val="18"/>
              </w:rPr>
            </w:pPr>
            <w:r>
              <w:rPr>
                <w:rFonts w:hint="eastAsia" w:ascii="仿宋" w:hAnsi="仿宋" w:eastAsia="仿宋"/>
                <w:color w:val="000000"/>
                <w:sz w:val="18"/>
                <w:szCs w:val="18"/>
              </w:rPr>
              <w:t>电压范围：</w:t>
            </w:r>
            <w:r>
              <w:rPr>
                <w:rFonts w:ascii="仿宋" w:hAnsi="仿宋" w:eastAsia="仿宋"/>
                <w:color w:val="000000"/>
                <w:sz w:val="18"/>
                <w:szCs w:val="18"/>
              </w:rPr>
              <w:t>115-300V；</w:t>
            </w:r>
          </w:p>
          <w:p w14:paraId="3B1E3189">
            <w:pPr>
              <w:rPr>
                <w:rFonts w:hint="eastAsia" w:ascii="仿宋" w:hAnsi="仿宋" w:eastAsia="仿宋"/>
                <w:color w:val="000000"/>
                <w:sz w:val="18"/>
                <w:szCs w:val="18"/>
              </w:rPr>
            </w:pPr>
            <w:r>
              <w:rPr>
                <w:rFonts w:hint="eastAsia" w:ascii="仿宋" w:hAnsi="仿宋" w:eastAsia="仿宋"/>
                <w:color w:val="000000"/>
                <w:sz w:val="18"/>
                <w:szCs w:val="18"/>
              </w:rPr>
              <w:t>电池组总容量：≥</w:t>
            </w:r>
            <w:r>
              <w:rPr>
                <w:rFonts w:ascii="仿宋" w:hAnsi="仿宋" w:eastAsia="仿宋"/>
                <w:color w:val="000000"/>
                <w:sz w:val="18"/>
                <w:szCs w:val="18"/>
              </w:rPr>
              <w:t>100AH</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14C3A70">
            <w:pPr>
              <w:jc w:val="center"/>
              <w:rPr>
                <w:rFonts w:hint="eastAsia" w:ascii="仿宋" w:hAnsi="仿宋" w:eastAsia="仿宋"/>
                <w:color w:val="000000"/>
                <w:sz w:val="18"/>
                <w:szCs w:val="18"/>
              </w:rPr>
            </w:pPr>
            <w:r>
              <w:rPr>
                <w:rFonts w:hint="eastAsia" w:ascii="仿宋" w:hAnsi="仿宋" w:eastAsia="仿宋"/>
                <w:color w:val="000000"/>
                <w:sz w:val="18"/>
                <w:szCs w:val="18"/>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3846470">
            <w:pPr>
              <w:jc w:val="center"/>
              <w:rPr>
                <w:rFonts w:hint="eastAsia" w:ascii="仿宋" w:hAnsi="仿宋" w:eastAsia="仿宋"/>
                <w:color w:val="000000"/>
                <w:sz w:val="18"/>
                <w:szCs w:val="18"/>
              </w:rPr>
            </w:pPr>
          </w:p>
        </w:tc>
      </w:tr>
      <w:tr w14:paraId="0CB32F0E">
        <w:tblPrEx>
          <w:tblCellMar>
            <w:top w:w="0" w:type="dxa"/>
            <w:left w:w="108" w:type="dxa"/>
            <w:bottom w:w="0" w:type="dxa"/>
            <w:right w:w="108" w:type="dxa"/>
          </w:tblCellMar>
        </w:tblPrEx>
        <w:trPr>
          <w:trHeight w:val="42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4EBDA657">
            <w:pPr>
              <w:jc w:val="center"/>
              <w:rPr>
                <w:rFonts w:ascii="仿宋" w:hAnsi="仿宋" w:eastAsia="仿宋"/>
                <w:color w:val="000000"/>
                <w:sz w:val="18"/>
                <w:szCs w:val="18"/>
              </w:rPr>
            </w:pPr>
            <w:r>
              <w:rPr>
                <w:rFonts w:hint="eastAsia" w:ascii="仿宋" w:hAnsi="仿宋" w:eastAsia="仿宋"/>
                <w:color w:val="000000"/>
                <w:sz w:val="18"/>
                <w:szCs w:val="18"/>
              </w:rPr>
              <w:t>8</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1EFA2E28">
            <w:pPr>
              <w:jc w:val="center"/>
              <w:rPr>
                <w:rFonts w:hint="eastAsia" w:ascii="仿宋" w:hAnsi="仿宋" w:eastAsia="仿宋"/>
                <w:color w:val="000000"/>
                <w:sz w:val="18"/>
                <w:szCs w:val="18"/>
              </w:rPr>
            </w:pPr>
            <w:r>
              <w:rPr>
                <w:rFonts w:hint="eastAsia" w:ascii="仿宋" w:hAnsi="仿宋" w:eastAsia="仿宋"/>
                <w:color w:val="000000"/>
                <w:sz w:val="18"/>
                <w:szCs w:val="18"/>
              </w:rPr>
              <w:t>C</w:t>
            </w:r>
            <w:r>
              <w:rPr>
                <w:rFonts w:ascii="仿宋" w:hAnsi="仿宋" w:eastAsia="仿宋"/>
                <w:color w:val="000000"/>
                <w:sz w:val="18"/>
                <w:szCs w:val="18"/>
              </w:rPr>
              <w:t>USS</w:t>
            </w:r>
            <w:r>
              <w:rPr>
                <w:rFonts w:hint="eastAsia" w:ascii="仿宋" w:hAnsi="仿宋" w:eastAsia="仿宋"/>
                <w:color w:val="000000"/>
                <w:sz w:val="18"/>
                <w:szCs w:val="18"/>
              </w:rPr>
              <w:t>机设备更新</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60043D9">
            <w:pPr>
              <w:rPr>
                <w:rFonts w:ascii="仿宋" w:hAnsi="仿宋" w:eastAsia="仿宋"/>
                <w:color w:val="000000"/>
                <w:sz w:val="18"/>
                <w:szCs w:val="18"/>
              </w:rPr>
            </w:pPr>
            <w:r>
              <w:rPr>
                <w:rFonts w:hint="eastAsia" w:ascii="仿宋" w:hAnsi="仿宋" w:eastAsia="仿宋"/>
                <w:color w:val="000000"/>
                <w:sz w:val="18"/>
                <w:szCs w:val="18"/>
              </w:rPr>
              <w:t>一、硬件更新</w:t>
            </w:r>
            <w:r>
              <w:rPr>
                <w:rFonts w:ascii="仿宋" w:hAnsi="仿宋" w:eastAsia="仿宋"/>
                <w:color w:val="000000"/>
                <w:sz w:val="18"/>
                <w:szCs w:val="18"/>
              </w:rPr>
              <w:t>:</w:t>
            </w:r>
          </w:p>
          <w:p w14:paraId="532A0474">
            <w:pPr>
              <w:rPr>
                <w:rFonts w:ascii="仿宋" w:hAnsi="仿宋" w:eastAsia="仿宋"/>
                <w:color w:val="000000"/>
                <w:sz w:val="18"/>
                <w:szCs w:val="18"/>
              </w:rPr>
            </w:pPr>
            <w:r>
              <w:rPr>
                <w:rFonts w:ascii="仿宋" w:hAnsi="仿宋" w:eastAsia="仿宋"/>
                <w:color w:val="000000"/>
                <w:sz w:val="18"/>
                <w:szCs w:val="18"/>
              </w:rPr>
              <w:t>1、主机升级:</w:t>
            </w:r>
            <w:r>
              <w:rPr>
                <w:rFonts w:hint="eastAsia" w:ascii="仿宋" w:hAnsi="仿宋" w:eastAsia="仿宋"/>
                <w:color w:val="000000"/>
                <w:sz w:val="18"/>
                <w:szCs w:val="18"/>
              </w:rPr>
              <w:t>固</w:t>
            </w:r>
            <w:r>
              <w:rPr>
                <w:rFonts w:ascii="仿宋" w:hAnsi="仿宋" w:eastAsia="仿宋"/>
                <w:color w:val="000000"/>
                <w:sz w:val="18"/>
                <w:szCs w:val="18"/>
              </w:rPr>
              <w:t>态硬盘&gt;250G，内存&gt;8G，CPU不低于目前</w:t>
            </w:r>
            <w:r>
              <w:rPr>
                <w:rFonts w:hint="eastAsia" w:ascii="仿宋" w:hAnsi="仿宋" w:eastAsia="仿宋"/>
                <w:color w:val="000000"/>
                <w:sz w:val="18"/>
                <w:szCs w:val="18"/>
              </w:rPr>
              <w:t>主流</w:t>
            </w:r>
            <w:r>
              <w:rPr>
                <w:rFonts w:ascii="仿宋" w:hAnsi="仿宋" w:eastAsia="仿宋"/>
                <w:color w:val="000000"/>
                <w:sz w:val="18"/>
                <w:szCs w:val="18"/>
              </w:rPr>
              <w:t>高性能CPU，至少</w:t>
            </w:r>
            <w:r>
              <w:rPr>
                <w:rFonts w:hint="eastAsia" w:ascii="仿宋" w:hAnsi="仿宋" w:eastAsia="仿宋"/>
                <w:color w:val="000000"/>
                <w:sz w:val="18"/>
                <w:szCs w:val="18"/>
              </w:rPr>
              <w:t>含</w:t>
            </w:r>
            <w:r>
              <w:rPr>
                <w:rFonts w:ascii="仿宋" w:hAnsi="仿宋" w:eastAsia="仿宋"/>
                <w:color w:val="000000"/>
                <w:sz w:val="18"/>
                <w:szCs w:val="18"/>
              </w:rPr>
              <w:t>2个串口</w:t>
            </w:r>
          </w:p>
          <w:p w14:paraId="3BAAFED1">
            <w:pPr>
              <w:rPr>
                <w:rFonts w:ascii="仿宋" w:hAnsi="仿宋" w:eastAsia="仿宋"/>
                <w:color w:val="000000"/>
                <w:sz w:val="18"/>
                <w:szCs w:val="18"/>
              </w:rPr>
            </w:pPr>
            <w:r>
              <w:rPr>
                <w:rFonts w:ascii="仿宋" w:hAnsi="仿宋" w:eastAsia="仿宋"/>
                <w:color w:val="000000"/>
                <w:sz w:val="18"/>
                <w:szCs w:val="18"/>
              </w:rPr>
              <w:t>2、触摸屏升级:亮度&gt;350cd/m:尺寸21X43mm:</w:t>
            </w:r>
          </w:p>
          <w:p w14:paraId="003D3DEE">
            <w:pPr>
              <w:rPr>
                <w:rFonts w:ascii="仿宋" w:hAnsi="仿宋" w:eastAsia="仿宋"/>
                <w:color w:val="000000"/>
                <w:sz w:val="18"/>
                <w:szCs w:val="18"/>
              </w:rPr>
            </w:pPr>
            <w:r>
              <w:rPr>
                <w:rFonts w:hint="eastAsia" w:ascii="仿宋" w:hAnsi="仿宋" w:eastAsia="仿宋"/>
                <w:color w:val="000000"/>
                <w:sz w:val="18"/>
                <w:szCs w:val="18"/>
              </w:rPr>
              <w:t>二、</w:t>
            </w:r>
            <w:r>
              <w:rPr>
                <w:rFonts w:ascii="仿宋" w:hAnsi="仿宋" w:eastAsia="仿宋"/>
                <w:color w:val="000000"/>
                <w:sz w:val="18"/>
                <w:szCs w:val="18"/>
              </w:rPr>
              <w:t>外观翻新</w:t>
            </w:r>
          </w:p>
          <w:p w14:paraId="1C0B0E10">
            <w:pPr>
              <w:rPr>
                <w:rFonts w:ascii="仿宋" w:hAnsi="仿宋" w:eastAsia="仿宋"/>
                <w:color w:val="000000"/>
                <w:sz w:val="18"/>
                <w:szCs w:val="18"/>
              </w:rPr>
            </w:pPr>
            <w:r>
              <w:rPr>
                <w:rFonts w:ascii="仿宋" w:hAnsi="仿宋" w:eastAsia="仿宋"/>
                <w:color w:val="000000"/>
                <w:sz w:val="18"/>
                <w:szCs w:val="18"/>
              </w:rPr>
              <w:t>1.设备拆解与清洁</w:t>
            </w:r>
          </w:p>
          <w:p w14:paraId="5EDD62EA">
            <w:pPr>
              <w:rPr>
                <w:rFonts w:ascii="仿宋" w:hAnsi="仿宋" w:eastAsia="仿宋"/>
                <w:color w:val="000000"/>
                <w:sz w:val="18"/>
                <w:szCs w:val="18"/>
              </w:rPr>
            </w:pPr>
            <w:r>
              <w:rPr>
                <w:rFonts w:ascii="仿宋" w:hAnsi="仿宋" w:eastAsia="仿宋"/>
                <w:color w:val="000000"/>
                <w:sz w:val="18"/>
                <w:szCs w:val="18"/>
              </w:rPr>
              <w:t>2.表面修复：缝隙打磨、去毛刺及飞边；裂缝补焊，凹坑钣金修复平整;打磨</w:t>
            </w:r>
          </w:p>
          <w:p w14:paraId="264594C7">
            <w:pPr>
              <w:rPr>
                <w:rFonts w:ascii="仿宋" w:hAnsi="仿宋" w:eastAsia="仿宋"/>
                <w:color w:val="000000"/>
                <w:sz w:val="18"/>
                <w:szCs w:val="18"/>
              </w:rPr>
            </w:pPr>
            <w:r>
              <w:rPr>
                <w:rFonts w:ascii="仿宋" w:hAnsi="仿宋" w:eastAsia="仿宋"/>
                <w:color w:val="000000"/>
                <w:sz w:val="18"/>
                <w:szCs w:val="18"/>
              </w:rPr>
              <w:t>3.涂装施工：前处理、静电喷涂、固化（烘烤）、冷却下料</w:t>
            </w:r>
          </w:p>
          <w:p w14:paraId="00CD731D">
            <w:pPr>
              <w:rPr>
                <w:rFonts w:hint="eastAsia" w:ascii="仿宋" w:hAnsi="仿宋" w:eastAsia="仿宋"/>
                <w:color w:val="000000"/>
                <w:sz w:val="18"/>
                <w:szCs w:val="18"/>
              </w:rPr>
            </w:pPr>
            <w:r>
              <w:rPr>
                <w:rFonts w:ascii="仿宋" w:hAnsi="仿宋" w:eastAsia="仿宋"/>
                <w:color w:val="000000"/>
                <w:sz w:val="18"/>
                <w:szCs w:val="18"/>
              </w:rPr>
              <w:t>4.组装与调试：组装、检查缝隙、平整度、无松动异响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9050A07">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val="en-US" w:eastAsia="zh-CN"/>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158FEE9">
            <w:pPr>
              <w:jc w:val="center"/>
              <w:rPr>
                <w:rFonts w:hint="eastAsia" w:ascii="仿宋" w:hAnsi="仿宋" w:eastAsia="仿宋"/>
                <w:color w:val="000000"/>
                <w:sz w:val="18"/>
                <w:szCs w:val="18"/>
              </w:rPr>
            </w:pPr>
          </w:p>
        </w:tc>
      </w:tr>
    </w:tbl>
    <w:p w14:paraId="4E7432A1">
      <w:pPr>
        <w:rPr>
          <w:rFonts w:hint="eastAsia"/>
          <w:highlight w:val="none"/>
        </w:rPr>
      </w:pPr>
    </w:p>
    <w:p w14:paraId="6428640E">
      <w:pPr>
        <w:spacing w:line="360" w:lineRule="auto"/>
        <w:ind w:firstLine="480" w:firstLineChars="200"/>
        <w:rPr>
          <w:highlight w:val="none"/>
        </w:rPr>
      </w:pPr>
      <w:r>
        <w:rPr>
          <w:rFonts w:hint="eastAsia"/>
          <w:highlight w:val="none"/>
        </w:rPr>
        <w:t>采购预算</w:t>
      </w:r>
      <w:r>
        <w:rPr>
          <w:rFonts w:hint="eastAsia"/>
          <w:highlight w:val="none"/>
          <w:lang w:eastAsia="zh-CN"/>
        </w:rPr>
        <w:t>（</w:t>
      </w:r>
      <w:r>
        <w:rPr>
          <w:rFonts w:hint="eastAsia"/>
          <w:highlight w:val="none"/>
          <w:lang w:val="en-US" w:eastAsia="zh-CN"/>
        </w:rPr>
        <w:t>含税</w:t>
      </w:r>
      <w:r>
        <w:rPr>
          <w:rFonts w:hint="eastAsia"/>
          <w:highlight w:val="none"/>
          <w:lang w:eastAsia="zh-CN"/>
        </w:rPr>
        <w:t>）</w:t>
      </w:r>
      <w:r>
        <w:rPr>
          <w:rFonts w:hint="eastAsia"/>
          <w:highlight w:val="none"/>
        </w:rPr>
        <w:t>：</w:t>
      </w:r>
      <w:r>
        <w:rPr>
          <w:rFonts w:hint="eastAsia"/>
          <w:highlight w:val="none"/>
          <w:u w:val="single"/>
          <w:lang w:val="en-US" w:eastAsia="zh-CN"/>
        </w:rPr>
        <w:t>人民币陆万柒仟捌佰元整（￥67,800.00）</w:t>
      </w:r>
      <w:r>
        <w:rPr>
          <w:rFonts w:hint="eastAsia"/>
          <w:highlight w:val="none"/>
        </w:rPr>
        <w:t>，响应总报价超过采购预算金额的，其报价无效。总报价应包括本次采购所有设备的运输、安装、调试、卸货、保险、质保期售后服务、利润、保修等合同义务所有款项，并包含税金等全部费用，是按合同交货期交货的最终结算价，不受任何调价因素的影响，在整个履行合同期间有效。</w:t>
      </w:r>
    </w:p>
    <w:p w14:paraId="0C950B55">
      <w:pPr>
        <w:pStyle w:val="5"/>
        <w:spacing w:line="360" w:lineRule="auto"/>
        <w:ind w:firstLine="527"/>
        <w:rPr>
          <w:rFonts w:hint="eastAsia"/>
          <w:sz w:val="30"/>
          <w:highlight w:val="none"/>
        </w:rPr>
      </w:pPr>
      <w:bookmarkStart w:id="5" w:name="_Toc31458"/>
      <w:r>
        <w:rPr>
          <w:rFonts w:hint="eastAsia"/>
          <w:sz w:val="30"/>
          <w:highlight w:val="none"/>
        </w:rPr>
        <w:t>二、询价采购时间、地点</w:t>
      </w:r>
      <w:bookmarkEnd w:id="3"/>
      <w:bookmarkEnd w:id="4"/>
      <w:bookmarkEnd w:id="5"/>
    </w:p>
    <w:p w14:paraId="7185B0E1">
      <w:pPr>
        <w:tabs>
          <w:tab w:val="left" w:pos="378"/>
        </w:tabs>
        <w:snapToGrid w:val="0"/>
        <w:spacing w:line="360" w:lineRule="auto"/>
        <w:ind w:left="142"/>
        <w:rPr>
          <w:highlight w:val="none"/>
        </w:rPr>
      </w:pPr>
      <w:r>
        <w:rPr>
          <w:rFonts w:hint="eastAsia"/>
          <w:highlight w:val="none"/>
        </w:rPr>
        <w:t>1、询价采购文件获取</w:t>
      </w:r>
      <w:bookmarkStart w:id="6" w:name="_Hlk485112949"/>
    </w:p>
    <w:p w14:paraId="6724E2AB">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w:t>
      </w:r>
      <w:r>
        <w:rPr>
          <w:rFonts w:hint="eastAsia"/>
          <w:highlight w:val="none"/>
          <w:lang w:val="en-US" w:eastAsia="zh-CN"/>
        </w:rPr>
        <w:t>6</w:t>
      </w:r>
      <w:r>
        <w:rPr>
          <w:rFonts w:hint="eastAsia"/>
          <w:highlight w:val="none"/>
        </w:rPr>
        <w:t>年</w:t>
      </w:r>
      <w:r>
        <w:rPr>
          <w:rFonts w:hint="eastAsia"/>
          <w:highlight w:val="none"/>
          <w:lang w:val="en-US" w:eastAsia="zh-CN"/>
        </w:rPr>
        <w:t>4</w:t>
      </w:r>
      <w:r>
        <w:rPr>
          <w:rFonts w:hint="eastAsia"/>
          <w:highlight w:val="none"/>
        </w:rPr>
        <w:t xml:space="preserve"> 月 </w:t>
      </w:r>
      <w:r>
        <w:rPr>
          <w:rFonts w:hint="eastAsia"/>
          <w:highlight w:val="none"/>
          <w:lang w:val="en-US" w:eastAsia="zh-CN"/>
        </w:rPr>
        <w:t>17</w:t>
      </w:r>
      <w:r>
        <w:rPr>
          <w:rFonts w:hint="eastAsia"/>
          <w:highlight w:val="none"/>
        </w:rPr>
        <w:t xml:space="preserve">  日至</w:t>
      </w:r>
      <w:r>
        <w:rPr>
          <w:rFonts w:hint="eastAsia"/>
          <w:highlight w:val="none"/>
          <w:lang w:eastAsia="zh-CN"/>
        </w:rPr>
        <w:t>202</w:t>
      </w:r>
      <w:r>
        <w:rPr>
          <w:rFonts w:hint="eastAsia"/>
          <w:highlight w:val="none"/>
          <w:lang w:val="en-US" w:eastAsia="zh-CN"/>
        </w:rPr>
        <w:t>6</w:t>
      </w:r>
      <w:r>
        <w:rPr>
          <w:rFonts w:hint="eastAsia"/>
          <w:highlight w:val="none"/>
        </w:rPr>
        <w:t>年</w:t>
      </w:r>
      <w:r>
        <w:rPr>
          <w:rFonts w:hint="eastAsia"/>
          <w:highlight w:val="none"/>
          <w:lang w:val="en-US" w:eastAsia="zh-CN"/>
        </w:rPr>
        <w:t>4</w:t>
      </w:r>
      <w:r>
        <w:rPr>
          <w:rFonts w:hint="eastAsia"/>
          <w:highlight w:val="none"/>
        </w:rPr>
        <w:t xml:space="preserve"> 月 </w:t>
      </w:r>
      <w:r>
        <w:rPr>
          <w:rFonts w:hint="eastAsia"/>
          <w:highlight w:val="none"/>
          <w:lang w:val="en-US" w:eastAsia="zh-CN"/>
        </w:rPr>
        <w:t>23</w:t>
      </w:r>
      <w:r>
        <w:rPr>
          <w:rFonts w:hint="eastAsia"/>
          <w:highlight w:val="none"/>
        </w:rPr>
        <w:t xml:space="preserve">  日（北京时间每天上午9:30～11:30、下午14:00～16:00，法定节假日除外）。</w:t>
      </w:r>
    </w:p>
    <w:p w14:paraId="3A142B94">
      <w:pPr>
        <w:snapToGrid w:val="0"/>
        <w:spacing w:line="360" w:lineRule="auto"/>
        <w:ind w:firstLine="480" w:firstLineChars="200"/>
        <w:rPr>
          <w:rFonts w:hint="eastAsia"/>
          <w:highlight w:val="none"/>
        </w:rPr>
      </w:pPr>
      <w:r>
        <w:rPr>
          <w:rFonts w:hint="eastAsia"/>
          <w:highlight w:val="none"/>
        </w:rPr>
        <w:t>（2）地点：湖北机场集团公司综合楼C326。</w:t>
      </w:r>
    </w:p>
    <w:p w14:paraId="1F4F8E83">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511AAD73">
      <w:pPr>
        <w:snapToGrid w:val="0"/>
        <w:spacing w:line="360" w:lineRule="auto"/>
        <w:ind w:left="142" w:leftChars="59"/>
        <w:rPr>
          <w:rFonts w:hint="eastAsia"/>
          <w:highlight w:val="none"/>
        </w:rPr>
      </w:pPr>
      <w:r>
        <w:rPr>
          <w:rFonts w:hint="eastAsia"/>
          <w:highlight w:val="none"/>
        </w:rPr>
        <w:t>2、投递报价文件地点：</w:t>
      </w:r>
    </w:p>
    <w:p w14:paraId="04EAD97B">
      <w:pPr>
        <w:snapToGrid w:val="0"/>
        <w:spacing w:line="360" w:lineRule="auto"/>
        <w:ind w:firstLine="360" w:firstLineChars="150"/>
        <w:rPr>
          <w:highlight w:val="none"/>
        </w:rPr>
      </w:pPr>
      <w:r>
        <w:rPr>
          <w:rFonts w:hint="eastAsia"/>
          <w:highlight w:val="none"/>
        </w:rPr>
        <w:t xml:space="preserve"> 湖北机场集团公司综合楼C326</w:t>
      </w:r>
    </w:p>
    <w:p w14:paraId="5088C314">
      <w:pPr>
        <w:tabs>
          <w:tab w:val="left" w:pos="426"/>
          <w:tab w:val="left" w:pos="993"/>
        </w:tabs>
        <w:snapToGrid w:val="0"/>
        <w:spacing w:line="360" w:lineRule="auto"/>
        <w:ind w:left="142" w:leftChars="59"/>
        <w:rPr>
          <w:rFonts w:hint="eastAsia"/>
          <w:highlight w:val="none"/>
        </w:rPr>
      </w:pPr>
      <w:r>
        <w:rPr>
          <w:rFonts w:hint="eastAsia"/>
          <w:highlight w:val="none"/>
        </w:rPr>
        <w:t xml:space="preserve">3、投递报价文件截止时间： </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4</w:t>
      </w:r>
      <w:r>
        <w:rPr>
          <w:rFonts w:hint="eastAsia"/>
          <w:highlight w:val="none"/>
        </w:rPr>
        <w:t xml:space="preserve">月 </w:t>
      </w:r>
      <w:r>
        <w:rPr>
          <w:rFonts w:hint="eastAsia"/>
          <w:highlight w:val="none"/>
          <w:lang w:val="en-US" w:eastAsia="zh-CN"/>
        </w:rPr>
        <w:t>24</w:t>
      </w:r>
      <w:r>
        <w:rPr>
          <w:rFonts w:hint="eastAsia"/>
          <w:highlight w:val="none"/>
        </w:rPr>
        <w:t xml:space="preserve">日 </w:t>
      </w:r>
      <w:r>
        <w:rPr>
          <w:rFonts w:hint="eastAsia"/>
          <w:highlight w:val="none"/>
          <w:lang w:val="en-US" w:eastAsia="zh-CN"/>
        </w:rPr>
        <w:t>10</w:t>
      </w:r>
      <w:r>
        <w:rPr>
          <w:rFonts w:hint="eastAsia"/>
          <w:highlight w:val="none"/>
        </w:rPr>
        <w:t xml:space="preserve"> 时</w:t>
      </w:r>
    </w:p>
    <w:p w14:paraId="3AA0261E">
      <w:pPr>
        <w:tabs>
          <w:tab w:val="left" w:pos="993"/>
        </w:tabs>
        <w:snapToGrid w:val="0"/>
        <w:spacing w:line="360" w:lineRule="auto"/>
        <w:ind w:left="139" w:leftChars="58" w:firstLine="1"/>
        <w:rPr>
          <w:rFonts w:hint="eastAsia"/>
          <w:highlight w:val="none"/>
        </w:rPr>
      </w:pPr>
      <w:r>
        <w:rPr>
          <w:rFonts w:hint="eastAsia"/>
          <w:highlight w:val="none"/>
        </w:rPr>
        <w:t xml:space="preserve">4、询价采购评审时间： </w:t>
      </w:r>
      <w:r>
        <w:rPr>
          <w:rFonts w:hint="eastAsia"/>
          <w:highlight w:val="none"/>
          <w:lang w:eastAsia="zh-CN"/>
        </w:rPr>
        <w:t>202</w:t>
      </w:r>
      <w:r>
        <w:rPr>
          <w:rFonts w:hint="eastAsia"/>
          <w:highlight w:val="none"/>
          <w:lang w:val="en-US" w:eastAsia="zh-CN"/>
        </w:rPr>
        <w:t>6</w:t>
      </w:r>
      <w:r>
        <w:rPr>
          <w:rFonts w:hint="eastAsia"/>
          <w:highlight w:val="none"/>
        </w:rPr>
        <w:t>年</w:t>
      </w:r>
      <w:r>
        <w:rPr>
          <w:rFonts w:hint="eastAsia"/>
          <w:highlight w:val="none"/>
          <w:lang w:val="en-US" w:eastAsia="zh-CN"/>
        </w:rPr>
        <w:t>4</w:t>
      </w:r>
      <w:r>
        <w:rPr>
          <w:rFonts w:hint="eastAsia"/>
          <w:highlight w:val="none"/>
        </w:rPr>
        <w:t xml:space="preserve"> 月 </w:t>
      </w:r>
      <w:r>
        <w:rPr>
          <w:rFonts w:hint="eastAsia"/>
          <w:highlight w:val="none"/>
          <w:lang w:val="en-US" w:eastAsia="zh-CN"/>
        </w:rPr>
        <w:t>24</w:t>
      </w:r>
      <w:bookmarkStart w:id="20" w:name="_GoBack"/>
      <w:bookmarkEnd w:id="20"/>
      <w:r>
        <w:rPr>
          <w:rFonts w:hint="eastAsia"/>
          <w:highlight w:val="none"/>
        </w:rPr>
        <w:t>日（遇情况依次顺延）</w:t>
      </w:r>
    </w:p>
    <w:p w14:paraId="11462B68">
      <w:pPr>
        <w:tabs>
          <w:tab w:val="left" w:pos="378"/>
          <w:tab w:val="left" w:pos="993"/>
        </w:tabs>
        <w:snapToGrid w:val="0"/>
        <w:spacing w:line="360" w:lineRule="auto"/>
        <w:ind w:left="142" w:leftChars="59"/>
        <w:rPr>
          <w:highlight w:val="none"/>
        </w:rPr>
      </w:pPr>
      <w:r>
        <w:rPr>
          <w:rFonts w:hint="eastAsia"/>
          <w:highlight w:val="none"/>
        </w:rPr>
        <w:t>5、联系方式：027-85818211、027-65590286</w:t>
      </w:r>
    </w:p>
    <w:p w14:paraId="50B29B60">
      <w:pPr>
        <w:snapToGrid w:val="0"/>
        <w:spacing w:line="360" w:lineRule="auto"/>
        <w:ind w:firstLine="480" w:firstLineChars="200"/>
        <w:rPr>
          <w:rFonts w:hint="default" w:eastAsia="宋体"/>
          <w:highlight w:val="none"/>
          <w:lang w:val="en-US" w:eastAsia="zh-CN"/>
        </w:rPr>
      </w:pPr>
      <w:r>
        <w:rPr>
          <w:rFonts w:hint="eastAsia"/>
          <w:highlight w:val="none"/>
        </w:rPr>
        <w:t>联系人：韩硕、</w:t>
      </w:r>
      <w:r>
        <w:rPr>
          <w:rFonts w:hint="eastAsia"/>
          <w:highlight w:val="none"/>
          <w:lang w:val="en-US" w:eastAsia="zh-CN"/>
        </w:rPr>
        <w:t>郑卓</w:t>
      </w:r>
    </w:p>
    <w:p w14:paraId="17D8436B">
      <w:pPr>
        <w:pStyle w:val="5"/>
        <w:spacing w:line="360" w:lineRule="auto"/>
        <w:ind w:firstLine="527"/>
        <w:rPr>
          <w:rFonts w:hint="eastAsia"/>
          <w:sz w:val="30"/>
          <w:highlight w:val="none"/>
        </w:rPr>
      </w:pPr>
      <w:bookmarkStart w:id="7" w:name="_Toc16937"/>
      <w:bookmarkStart w:id="8" w:name="_Toc25725120"/>
      <w:bookmarkStart w:id="9" w:name="_Toc11641053"/>
      <w:r>
        <w:rPr>
          <w:rFonts w:hint="eastAsia"/>
          <w:sz w:val="30"/>
          <w:highlight w:val="none"/>
        </w:rPr>
        <w:t>三、供应商资质要求：</w:t>
      </w:r>
      <w:bookmarkEnd w:id="7"/>
    </w:p>
    <w:p w14:paraId="4DD442F4">
      <w:pPr>
        <w:snapToGrid w:val="0"/>
        <w:spacing w:line="360" w:lineRule="auto"/>
        <w:ind w:firstLine="480" w:firstLineChars="200"/>
        <w:rPr>
          <w:rFonts w:hint="eastAsia"/>
          <w:szCs w:val="28"/>
          <w:highlight w:val="none"/>
        </w:rPr>
      </w:pPr>
      <w:r>
        <w:rPr>
          <w:rFonts w:hint="eastAsia"/>
          <w:szCs w:val="28"/>
          <w:highlight w:val="none"/>
        </w:rPr>
        <w:t>（1）供应商应具有在中华人民共和国境内注册登记并取得有效营业执照。</w:t>
      </w:r>
    </w:p>
    <w:p w14:paraId="658FF8C8">
      <w:pPr>
        <w:snapToGrid w:val="0"/>
        <w:spacing w:line="360" w:lineRule="auto"/>
        <w:ind w:firstLine="480" w:firstLineChars="200"/>
        <w:rPr>
          <w:rFonts w:hint="eastAsia"/>
          <w:szCs w:val="28"/>
          <w:highlight w:val="none"/>
        </w:rPr>
      </w:pPr>
      <w:r>
        <w:rPr>
          <w:rFonts w:hint="eastAsia"/>
          <w:szCs w:val="28"/>
          <w:highlight w:val="none"/>
        </w:rPr>
        <w:t>（2）供应商未被列入“信用中国”网站(www.creditchina.gov.cn)或中国执行信息公开网（http://zxgk.court.gov.cn)失信被执行人名单。(提供网站查询截图）</w:t>
      </w:r>
    </w:p>
    <w:p w14:paraId="6F817722">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3</w:t>
      </w:r>
      <w:r>
        <w:rPr>
          <w:rFonts w:hint="eastAsia"/>
          <w:szCs w:val="28"/>
          <w:highlight w:val="none"/>
        </w:rPr>
        <w:t>）供应商须对关于《湖北机场集团有限公司“供应商不良行为”管理办法》在“询价采购报价文件格式”“承诺书”中做出承诺，格式详见采购文件格式。</w:t>
      </w:r>
    </w:p>
    <w:p w14:paraId="78104216">
      <w:pPr>
        <w:snapToGrid w:val="0"/>
        <w:spacing w:line="360" w:lineRule="auto"/>
        <w:ind w:firstLine="480" w:firstLineChars="200"/>
        <w:rPr>
          <w:rFonts w:hint="eastAsia"/>
          <w:szCs w:val="28"/>
          <w:highlight w:val="none"/>
        </w:rPr>
      </w:pPr>
      <w:r>
        <w:rPr>
          <w:rFonts w:hint="eastAsia"/>
          <w:szCs w:val="28"/>
          <w:highlight w:val="none"/>
        </w:rPr>
        <w:t>（5）本项目不接受联合体响应。</w:t>
      </w:r>
    </w:p>
    <w:p w14:paraId="19A38F92">
      <w:pPr>
        <w:pStyle w:val="63"/>
        <w:spacing w:line="360" w:lineRule="auto"/>
        <w:jc w:val="center"/>
        <w:rPr>
          <w:rFonts w:hint="eastAsia"/>
          <w:szCs w:val="21"/>
          <w:highlight w:val="none"/>
        </w:rPr>
      </w:pPr>
      <w:r>
        <w:rPr>
          <w:rFonts w:hint="eastAsia"/>
          <w:szCs w:val="28"/>
          <w:highlight w:val="none"/>
        </w:rPr>
        <w:t>以上资格要求为本次响应供应商应具备的基本条件，参加响应的供应商必须满足资格要求中的所有条款，并按照相关规定递交资格证明文件。</w:t>
      </w:r>
    </w:p>
    <w:p w14:paraId="5F7C4D7D">
      <w:pPr>
        <w:pStyle w:val="5"/>
        <w:spacing w:line="360" w:lineRule="auto"/>
        <w:ind w:firstLine="527"/>
        <w:rPr>
          <w:rFonts w:hint="eastAsia" w:eastAsia="宋体"/>
          <w:b/>
          <w:bCs/>
          <w:sz w:val="30"/>
          <w:highlight w:val="none"/>
        </w:rPr>
      </w:pPr>
      <w:bookmarkStart w:id="10" w:name="_Toc18653"/>
      <w:r>
        <w:rPr>
          <w:rFonts w:hint="eastAsia" w:eastAsia="宋体"/>
          <w:b/>
          <w:bCs/>
          <w:sz w:val="30"/>
          <w:highlight w:val="none"/>
        </w:rPr>
        <w:t>四、</w:t>
      </w:r>
      <w:bookmarkEnd w:id="8"/>
      <w:bookmarkEnd w:id="9"/>
      <w:r>
        <w:rPr>
          <w:rFonts w:hint="eastAsia" w:eastAsia="宋体"/>
          <w:b/>
          <w:bCs/>
          <w:sz w:val="30"/>
          <w:highlight w:val="none"/>
        </w:rPr>
        <w:t>询价采购须知</w:t>
      </w:r>
      <w:bookmarkEnd w:id="10"/>
    </w:p>
    <w:p w14:paraId="662F78A8">
      <w:pPr>
        <w:snapToGrid w:val="0"/>
        <w:spacing w:line="360" w:lineRule="auto"/>
        <w:ind w:firstLine="573"/>
        <w:rPr>
          <w:rFonts w:hint="eastAsia"/>
          <w:highlight w:val="none"/>
        </w:rPr>
      </w:pPr>
      <w:r>
        <w:rPr>
          <w:rFonts w:hint="eastAsia"/>
          <w:highlight w:val="none"/>
        </w:rPr>
        <w:t>1、报价文件须用信封</w:t>
      </w:r>
      <w:r>
        <w:rPr>
          <w:rFonts w:hint="eastAsia"/>
          <w:highlight w:val="none"/>
          <w:lang w:val="en-US" w:eastAsia="zh-CN"/>
        </w:rPr>
        <w:t>或</w:t>
      </w:r>
      <w:r>
        <w:rPr>
          <w:rFonts w:hint="eastAsia"/>
          <w:color w:val="auto"/>
          <w:lang w:val="en-US" w:eastAsia="zh-CN"/>
        </w:rPr>
        <w:t>文件袋密</w:t>
      </w:r>
      <w:r>
        <w:rPr>
          <w:rFonts w:hint="eastAsia"/>
          <w:highlight w:val="none"/>
        </w:rPr>
        <w:t>封，信封</w:t>
      </w:r>
      <w:r>
        <w:rPr>
          <w:rFonts w:hint="eastAsia"/>
          <w:highlight w:val="none"/>
          <w:lang w:val="en-US" w:eastAsia="zh-CN"/>
        </w:rPr>
        <w:t>或</w:t>
      </w:r>
      <w:r>
        <w:rPr>
          <w:rFonts w:hint="eastAsia"/>
          <w:color w:val="auto"/>
          <w:lang w:val="en-US" w:eastAsia="zh-CN"/>
        </w:rPr>
        <w:t>文件袋</w:t>
      </w:r>
      <w:r>
        <w:rPr>
          <w:rFonts w:hint="eastAsia"/>
          <w:highlight w:val="none"/>
        </w:rPr>
        <w:t>上注明询价采购项目名称、供应商名称、地址以及“不准提前启封”字样。信封所有有口、有缝的部位都要贴封条并加盖供应商公章。</w:t>
      </w:r>
    </w:p>
    <w:p w14:paraId="3EEB9659">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39DBA13C">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4AE3F7B5">
      <w:pPr>
        <w:snapToGrid w:val="0"/>
        <w:spacing w:line="360" w:lineRule="auto"/>
        <w:ind w:firstLine="573"/>
        <w:rPr>
          <w:rFonts w:hint="eastAsia"/>
          <w:highlight w:val="none"/>
        </w:rPr>
      </w:pPr>
      <w:r>
        <w:rPr>
          <w:rFonts w:hint="eastAsia"/>
          <w:highlight w:val="none"/>
        </w:rPr>
        <w:t>4、成交原则：本项目评审采用最低竞标标价</w:t>
      </w:r>
      <w:r>
        <w:rPr>
          <w:rFonts w:hint="eastAsia"/>
          <w:highlight w:val="none"/>
          <w:lang w:eastAsia="zh-CN"/>
        </w:rPr>
        <w:t>（</w:t>
      </w:r>
      <w:r>
        <w:rPr>
          <w:rFonts w:hint="eastAsia"/>
          <w:highlight w:val="none"/>
          <w:lang w:val="en-US" w:eastAsia="zh-CN"/>
        </w:rPr>
        <w:t>不含税</w:t>
      </w:r>
      <w:r>
        <w:rPr>
          <w:rFonts w:hint="eastAsia"/>
          <w:highlight w:val="none"/>
          <w:lang w:eastAsia="zh-CN"/>
        </w:rPr>
        <w:t>）</w:t>
      </w:r>
      <w:r>
        <w:rPr>
          <w:rFonts w:hint="eastAsia"/>
          <w:highlight w:val="none"/>
        </w:rPr>
        <w:t>进行评审。</w:t>
      </w:r>
    </w:p>
    <w:p w14:paraId="1135705C">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6"/>
    <w:p w14:paraId="276DC675">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18464575">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426E5485">
      <w:pPr>
        <w:snapToGrid w:val="0"/>
        <w:spacing w:line="360" w:lineRule="auto"/>
        <w:ind w:firstLine="573"/>
        <w:rPr>
          <w:rFonts w:hint="eastAsia"/>
          <w:highlight w:val="none"/>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r>
        <w:rPr>
          <w:rFonts w:hint="eastAsia"/>
          <w:highlight w:val="none"/>
          <w:lang w:val="en-US" w:eastAsia="zh-CN"/>
        </w:rPr>
        <w:t>骑缝章</w:t>
      </w:r>
      <w:r>
        <w:rPr>
          <w:rFonts w:hint="eastAsia"/>
          <w:highlight w:val="none"/>
        </w:rPr>
        <w:t>。</w:t>
      </w:r>
    </w:p>
    <w:p w14:paraId="3D232C0B">
      <w:pPr>
        <w:snapToGrid w:val="0"/>
        <w:spacing w:line="360" w:lineRule="auto"/>
        <w:ind w:firstLine="573"/>
        <w:rPr>
          <w:highlight w:val="none"/>
        </w:rPr>
      </w:pPr>
      <w:bookmarkStart w:id="11" w:name="_Toc12789055"/>
      <w:bookmarkStart w:id="12" w:name="_Toc122840226"/>
      <w:r>
        <w:rPr>
          <w:rFonts w:hint="eastAsia"/>
          <w:highlight w:val="none"/>
        </w:rPr>
        <w:t>6、文件无效</w:t>
      </w:r>
    </w:p>
    <w:p w14:paraId="52616D63">
      <w:pPr>
        <w:snapToGrid w:val="0"/>
        <w:spacing w:line="360" w:lineRule="auto"/>
        <w:ind w:firstLine="573"/>
        <w:rPr>
          <w:highlight w:val="none"/>
        </w:rPr>
      </w:pPr>
      <w:r>
        <w:rPr>
          <w:rFonts w:hint="eastAsia"/>
          <w:highlight w:val="none"/>
        </w:rPr>
        <w:t>竞标人发生以下条款情况之一者，其竞标文件将被拒绝：</w:t>
      </w:r>
    </w:p>
    <w:p w14:paraId="007368B0">
      <w:pPr>
        <w:snapToGrid w:val="0"/>
        <w:spacing w:line="360" w:lineRule="auto"/>
        <w:ind w:firstLine="573"/>
        <w:rPr>
          <w:highlight w:val="none"/>
        </w:rPr>
      </w:pPr>
      <w:r>
        <w:rPr>
          <w:rFonts w:hint="eastAsia"/>
          <w:highlight w:val="none"/>
        </w:rPr>
        <w:t>（1）竞标文件不按规定的格式、内容填写；</w:t>
      </w:r>
    </w:p>
    <w:p w14:paraId="153063E0">
      <w:pPr>
        <w:snapToGrid w:val="0"/>
        <w:spacing w:line="360" w:lineRule="auto"/>
        <w:ind w:firstLine="573"/>
        <w:rPr>
          <w:rFonts w:hint="eastAsia"/>
          <w:highlight w:val="none"/>
        </w:rPr>
      </w:pPr>
      <w:r>
        <w:rPr>
          <w:rFonts w:hint="eastAsia"/>
          <w:highlight w:val="none"/>
        </w:rPr>
        <w:t>（2）超出营业范围的报价；</w:t>
      </w:r>
    </w:p>
    <w:p w14:paraId="458A45E7">
      <w:pPr>
        <w:snapToGrid w:val="0"/>
        <w:spacing w:line="360" w:lineRule="auto"/>
        <w:ind w:firstLine="573"/>
        <w:rPr>
          <w:rFonts w:hint="eastAsia"/>
          <w:highlight w:val="none"/>
        </w:rPr>
      </w:pPr>
      <w:r>
        <w:rPr>
          <w:rFonts w:hint="eastAsia"/>
          <w:highlight w:val="none"/>
        </w:rPr>
        <w:t>（3）报价高于询价采购文件的最高限价；</w:t>
      </w:r>
    </w:p>
    <w:p w14:paraId="225273A8">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1C4A6A0A">
      <w:pPr>
        <w:snapToGrid w:val="0"/>
        <w:spacing w:line="360" w:lineRule="auto"/>
        <w:ind w:firstLine="573"/>
        <w:rPr>
          <w:rFonts w:hint="eastAsia"/>
          <w:highlight w:val="none"/>
        </w:rPr>
      </w:pPr>
      <w:r>
        <w:rPr>
          <w:rFonts w:hint="eastAsia"/>
          <w:highlight w:val="none"/>
        </w:rPr>
        <w:t>（5）竞标人的资质不符合采购文件资质要求的内容。</w:t>
      </w:r>
    </w:p>
    <w:p w14:paraId="51360C22">
      <w:pPr>
        <w:numPr>
          <w:ilvl w:val="0"/>
          <w:numId w:val="3"/>
        </w:numPr>
        <w:snapToGrid w:val="0"/>
        <w:spacing w:line="360" w:lineRule="auto"/>
        <w:rPr>
          <w:rFonts w:hint="eastAsia"/>
          <w:highlight w:val="none"/>
        </w:rPr>
      </w:pPr>
      <w:r>
        <w:rPr>
          <w:rFonts w:hint="eastAsia"/>
          <w:highlight w:val="none"/>
        </w:rPr>
        <w:t>竞标文件未按要求密封、未按时送到准确地点。</w:t>
      </w:r>
    </w:p>
    <w:p w14:paraId="0B13CC4A">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4B58A41F">
      <w:pPr>
        <w:snapToGrid w:val="0"/>
        <w:spacing w:line="360" w:lineRule="auto"/>
        <w:ind w:firstLine="480" w:firstLineChars="200"/>
        <w:rPr>
          <w:rFonts w:hint="eastAsia"/>
          <w:highlight w:val="none"/>
        </w:rPr>
      </w:pPr>
      <w:r>
        <w:rPr>
          <w:rFonts w:hint="eastAsia"/>
          <w:highlight w:val="none"/>
        </w:rPr>
        <w:t>（1）出现影响采购公正的违法、违规行为的；</w:t>
      </w:r>
    </w:p>
    <w:p w14:paraId="258D8B65">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3DD2C35C">
      <w:pPr>
        <w:snapToGrid w:val="0"/>
        <w:spacing w:line="360" w:lineRule="auto"/>
        <w:ind w:firstLine="480" w:firstLineChars="200"/>
        <w:rPr>
          <w:rFonts w:hint="eastAsia"/>
          <w:highlight w:val="none"/>
        </w:rPr>
      </w:pPr>
      <w:r>
        <w:rPr>
          <w:rFonts w:hint="eastAsia"/>
          <w:highlight w:val="none"/>
        </w:rPr>
        <w:t>（3）因重大变故，采购任务取消的；</w:t>
      </w:r>
    </w:p>
    <w:p w14:paraId="15E8ABB3">
      <w:pPr>
        <w:pStyle w:val="5"/>
        <w:spacing w:before="0" w:after="0" w:line="360" w:lineRule="auto"/>
        <w:ind w:firstLine="539" w:firstLineChars="179"/>
        <w:rPr>
          <w:rFonts w:hint="eastAsia"/>
          <w:sz w:val="30"/>
          <w:highlight w:val="none"/>
        </w:rPr>
      </w:pPr>
      <w:bookmarkStart w:id="13" w:name="_Toc26200"/>
      <w:r>
        <w:rPr>
          <w:rFonts w:hint="eastAsia"/>
          <w:sz w:val="30"/>
          <w:highlight w:val="none"/>
        </w:rPr>
        <w:t>五、询价保证金</w:t>
      </w:r>
      <w:bookmarkEnd w:id="11"/>
      <w:bookmarkEnd w:id="12"/>
      <w:bookmarkEnd w:id="13"/>
    </w:p>
    <w:p w14:paraId="49E069A1">
      <w:pPr>
        <w:snapToGrid w:val="0"/>
        <w:spacing w:line="360" w:lineRule="auto"/>
        <w:ind w:firstLine="573"/>
        <w:rPr>
          <w:rFonts w:hint="eastAsia"/>
          <w:highlight w:val="none"/>
        </w:rPr>
      </w:pPr>
      <w:r>
        <w:rPr>
          <w:rFonts w:hint="eastAsia"/>
          <w:highlight w:val="none"/>
        </w:rPr>
        <w:t>本项目无询价保证金要求。</w:t>
      </w:r>
    </w:p>
    <w:p w14:paraId="0602311A">
      <w:pPr>
        <w:pStyle w:val="5"/>
        <w:spacing w:before="0" w:after="0" w:line="360" w:lineRule="auto"/>
        <w:ind w:firstLine="539" w:firstLineChars="179"/>
        <w:rPr>
          <w:sz w:val="30"/>
          <w:highlight w:val="none"/>
        </w:rPr>
      </w:pPr>
      <w:bookmarkStart w:id="14" w:name="_Toc102227321"/>
      <w:bookmarkStart w:id="15" w:name="_Toc233445126"/>
      <w:bookmarkStart w:id="16" w:name="_Toc25489"/>
      <w:r>
        <w:rPr>
          <w:rFonts w:hint="eastAsia"/>
          <w:sz w:val="30"/>
          <w:highlight w:val="none"/>
        </w:rPr>
        <w:t>六、成交通知</w:t>
      </w:r>
      <w:bookmarkEnd w:id="14"/>
      <w:bookmarkEnd w:id="15"/>
      <w:bookmarkEnd w:id="16"/>
    </w:p>
    <w:p w14:paraId="75D3E3A1">
      <w:pPr>
        <w:snapToGrid w:val="0"/>
        <w:spacing w:line="360" w:lineRule="auto"/>
        <w:ind w:firstLine="480" w:firstLineChars="200"/>
        <w:rPr>
          <w:szCs w:val="28"/>
          <w:highlight w:val="none"/>
        </w:rPr>
      </w:pPr>
      <w:bookmarkStart w:id="17" w:name="_Toc102227322"/>
      <w:bookmarkStart w:id="18" w:name="_Toc233445127"/>
      <w:r>
        <w:rPr>
          <w:rFonts w:hint="eastAsia"/>
          <w:szCs w:val="28"/>
          <w:highlight w:val="none"/>
        </w:rPr>
        <w:t>成交公示期结束3个工作日内，我部将通知中标单位，进入合同签订流程。</w:t>
      </w:r>
    </w:p>
    <w:p w14:paraId="5F1C9513">
      <w:pPr>
        <w:pStyle w:val="5"/>
        <w:spacing w:before="0" w:after="0" w:line="360" w:lineRule="auto"/>
        <w:ind w:firstLine="539" w:firstLineChars="179"/>
        <w:rPr>
          <w:sz w:val="30"/>
          <w:highlight w:val="none"/>
        </w:rPr>
      </w:pPr>
      <w:bookmarkStart w:id="19" w:name="_Toc27549"/>
      <w:r>
        <w:rPr>
          <w:rFonts w:hint="eastAsia"/>
          <w:sz w:val="30"/>
          <w:highlight w:val="none"/>
        </w:rPr>
        <w:t>七、签订</w:t>
      </w:r>
      <w:bookmarkEnd w:id="17"/>
      <w:r>
        <w:rPr>
          <w:rFonts w:hint="eastAsia"/>
          <w:sz w:val="30"/>
          <w:highlight w:val="none"/>
        </w:rPr>
        <w:t>合同</w:t>
      </w:r>
      <w:bookmarkEnd w:id="18"/>
      <w:bookmarkEnd w:id="19"/>
    </w:p>
    <w:p w14:paraId="75F69C13">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56AAA655">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280AB548">
      <w:pPr>
        <w:snapToGrid w:val="0"/>
        <w:spacing w:line="360" w:lineRule="auto"/>
        <w:ind w:right="24" w:rightChars="10" w:firstLine="573"/>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E174F5-731D-41EC-B516-AE9473E159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72D9F367-916F-4FFF-BD03-B4BA5BB888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0D7A">
    <w:pPr>
      <w:pStyle w:val="22"/>
      <w:framePr w:wrap="around" w:vAnchor="text" w:hAnchor="page" w:x="5959" w:y="58"/>
      <w:rPr>
        <w:rStyle w:val="40"/>
        <w:rFonts w:hint="eastAsia"/>
        <w:sz w:val="28"/>
      </w:rPr>
    </w:pPr>
    <w:r>
      <w:fldChar w:fldCharType="begin"/>
    </w:r>
    <w:r>
      <w:rPr>
        <w:rStyle w:val="40"/>
      </w:rPr>
      <w:instrText xml:space="preserve"> PAGE </w:instrText>
    </w:r>
    <w:r>
      <w:fldChar w:fldCharType="separate"/>
    </w:r>
    <w:r>
      <w:rPr>
        <w:rStyle w:val="40"/>
      </w:rPr>
      <w:t>19</w:t>
    </w:r>
    <w:r>
      <w:fldChar w:fldCharType="end"/>
    </w:r>
  </w:p>
  <w:p w14:paraId="6FF0E9B8">
    <w:pPr>
      <w:pStyle w:val="22"/>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5133">
    <w:pPr>
      <w:pStyle w:val="23"/>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57"/>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5"/>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NjEwNWM3MjYyZmY0YTU4MWQ0NTkyYmJiYzdkNTM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2F0E57"/>
    <w:rsid w:val="01411C2E"/>
    <w:rsid w:val="020A1A37"/>
    <w:rsid w:val="02BD7392"/>
    <w:rsid w:val="02C42317"/>
    <w:rsid w:val="02D61D94"/>
    <w:rsid w:val="02F834AD"/>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C38649C"/>
    <w:rsid w:val="0C913FA4"/>
    <w:rsid w:val="0D246B24"/>
    <w:rsid w:val="0D4A1558"/>
    <w:rsid w:val="0D526D3D"/>
    <w:rsid w:val="0ED63E13"/>
    <w:rsid w:val="113C1D21"/>
    <w:rsid w:val="11510668"/>
    <w:rsid w:val="117C2228"/>
    <w:rsid w:val="11C84020"/>
    <w:rsid w:val="125A744D"/>
    <w:rsid w:val="12BC0408"/>
    <w:rsid w:val="1331700B"/>
    <w:rsid w:val="13477AFB"/>
    <w:rsid w:val="139E6D39"/>
    <w:rsid w:val="13AA7EAB"/>
    <w:rsid w:val="14902461"/>
    <w:rsid w:val="14AC54C9"/>
    <w:rsid w:val="14B939EA"/>
    <w:rsid w:val="15B02E28"/>
    <w:rsid w:val="16131E07"/>
    <w:rsid w:val="16AD6E91"/>
    <w:rsid w:val="1899108E"/>
    <w:rsid w:val="18CB78A2"/>
    <w:rsid w:val="1A0C7B42"/>
    <w:rsid w:val="1A7C4F16"/>
    <w:rsid w:val="1B553EF2"/>
    <w:rsid w:val="1BBF4480"/>
    <w:rsid w:val="1C685AC7"/>
    <w:rsid w:val="1E421409"/>
    <w:rsid w:val="1E6A12A3"/>
    <w:rsid w:val="1EBA4E0F"/>
    <w:rsid w:val="1F0575FF"/>
    <w:rsid w:val="1F3928BF"/>
    <w:rsid w:val="208859F7"/>
    <w:rsid w:val="219F69CD"/>
    <w:rsid w:val="21F562DA"/>
    <w:rsid w:val="21F80F4C"/>
    <w:rsid w:val="2363423E"/>
    <w:rsid w:val="23685BD8"/>
    <w:rsid w:val="23D779F5"/>
    <w:rsid w:val="24E55459"/>
    <w:rsid w:val="252A52DE"/>
    <w:rsid w:val="25C75127"/>
    <w:rsid w:val="26570B8B"/>
    <w:rsid w:val="26F87079"/>
    <w:rsid w:val="273A359F"/>
    <w:rsid w:val="27651240"/>
    <w:rsid w:val="278C46B7"/>
    <w:rsid w:val="27DB7C94"/>
    <w:rsid w:val="27E100E2"/>
    <w:rsid w:val="285C5EAD"/>
    <w:rsid w:val="28C50AAE"/>
    <w:rsid w:val="293C13A7"/>
    <w:rsid w:val="29693DC3"/>
    <w:rsid w:val="29BB2D3A"/>
    <w:rsid w:val="29C667C5"/>
    <w:rsid w:val="29D13E41"/>
    <w:rsid w:val="2A5A716F"/>
    <w:rsid w:val="2ADC6B3B"/>
    <w:rsid w:val="2B79079C"/>
    <w:rsid w:val="2BB54273"/>
    <w:rsid w:val="2C320458"/>
    <w:rsid w:val="2D716EAF"/>
    <w:rsid w:val="2DBB0F1A"/>
    <w:rsid w:val="2E2C3B97"/>
    <w:rsid w:val="2EB74EE6"/>
    <w:rsid w:val="2EE72408"/>
    <w:rsid w:val="2F176E80"/>
    <w:rsid w:val="2F9D6E1A"/>
    <w:rsid w:val="2FCF0F1F"/>
    <w:rsid w:val="2FE91756"/>
    <w:rsid w:val="2FF5429E"/>
    <w:rsid w:val="301C3479"/>
    <w:rsid w:val="31045E46"/>
    <w:rsid w:val="315C7E3B"/>
    <w:rsid w:val="317220B1"/>
    <w:rsid w:val="32000483"/>
    <w:rsid w:val="32135397"/>
    <w:rsid w:val="323A76CB"/>
    <w:rsid w:val="32C1089D"/>
    <w:rsid w:val="33056C12"/>
    <w:rsid w:val="33312A72"/>
    <w:rsid w:val="33BA01D3"/>
    <w:rsid w:val="33BA520D"/>
    <w:rsid w:val="33CB36DC"/>
    <w:rsid w:val="353419DD"/>
    <w:rsid w:val="353A0FEA"/>
    <w:rsid w:val="358442A0"/>
    <w:rsid w:val="365211A8"/>
    <w:rsid w:val="36543FF7"/>
    <w:rsid w:val="368D6292"/>
    <w:rsid w:val="36F078C2"/>
    <w:rsid w:val="381F3539"/>
    <w:rsid w:val="383E47E0"/>
    <w:rsid w:val="388749CB"/>
    <w:rsid w:val="38AE21DF"/>
    <w:rsid w:val="38E10001"/>
    <w:rsid w:val="38F503AC"/>
    <w:rsid w:val="392C6C96"/>
    <w:rsid w:val="3ACA5D8E"/>
    <w:rsid w:val="3B87057A"/>
    <w:rsid w:val="3C3A63C0"/>
    <w:rsid w:val="3D0174D7"/>
    <w:rsid w:val="3D295C5D"/>
    <w:rsid w:val="3F3D62BF"/>
    <w:rsid w:val="3F75300D"/>
    <w:rsid w:val="3F973136"/>
    <w:rsid w:val="3FCD7A4E"/>
    <w:rsid w:val="3FF05F77"/>
    <w:rsid w:val="4023499A"/>
    <w:rsid w:val="40D349DE"/>
    <w:rsid w:val="40D5397D"/>
    <w:rsid w:val="42113AC3"/>
    <w:rsid w:val="42293648"/>
    <w:rsid w:val="42903712"/>
    <w:rsid w:val="42B005BA"/>
    <w:rsid w:val="42B501FD"/>
    <w:rsid w:val="42FE2EDF"/>
    <w:rsid w:val="43910801"/>
    <w:rsid w:val="43B56C36"/>
    <w:rsid w:val="43D14E97"/>
    <w:rsid w:val="43EE1D29"/>
    <w:rsid w:val="453E3116"/>
    <w:rsid w:val="45B70290"/>
    <w:rsid w:val="45C87EC1"/>
    <w:rsid w:val="45D53A97"/>
    <w:rsid w:val="461B39BC"/>
    <w:rsid w:val="46653280"/>
    <w:rsid w:val="466D6C84"/>
    <w:rsid w:val="46D91D99"/>
    <w:rsid w:val="47DD344F"/>
    <w:rsid w:val="48555B1E"/>
    <w:rsid w:val="485C2E6F"/>
    <w:rsid w:val="486007E7"/>
    <w:rsid w:val="48DE671D"/>
    <w:rsid w:val="4AB41467"/>
    <w:rsid w:val="4C156088"/>
    <w:rsid w:val="4CCA2977"/>
    <w:rsid w:val="4D367204"/>
    <w:rsid w:val="4D95073F"/>
    <w:rsid w:val="4D96665A"/>
    <w:rsid w:val="4E0B0C8B"/>
    <w:rsid w:val="4E0B1509"/>
    <w:rsid w:val="4E651E82"/>
    <w:rsid w:val="4FA5289F"/>
    <w:rsid w:val="50261065"/>
    <w:rsid w:val="512B20E8"/>
    <w:rsid w:val="52295149"/>
    <w:rsid w:val="52947DF7"/>
    <w:rsid w:val="52DB0D4D"/>
    <w:rsid w:val="545D78E8"/>
    <w:rsid w:val="54730F05"/>
    <w:rsid w:val="54FC5883"/>
    <w:rsid w:val="5508745F"/>
    <w:rsid w:val="55DE3A30"/>
    <w:rsid w:val="568A061D"/>
    <w:rsid w:val="56C34358"/>
    <w:rsid w:val="56FA3AC9"/>
    <w:rsid w:val="584D1BA8"/>
    <w:rsid w:val="5A38410A"/>
    <w:rsid w:val="5AC822DF"/>
    <w:rsid w:val="5B5A3637"/>
    <w:rsid w:val="5B9A7831"/>
    <w:rsid w:val="5BEC1A3D"/>
    <w:rsid w:val="5C2B407B"/>
    <w:rsid w:val="5C462421"/>
    <w:rsid w:val="5CD21A5C"/>
    <w:rsid w:val="5CDD536F"/>
    <w:rsid w:val="5FB7486E"/>
    <w:rsid w:val="5FDD161E"/>
    <w:rsid w:val="5FF0455B"/>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F800AA"/>
    <w:rsid w:val="6A731156"/>
    <w:rsid w:val="6B9163A4"/>
    <w:rsid w:val="6BB2782C"/>
    <w:rsid w:val="6BBF1840"/>
    <w:rsid w:val="6BE925AA"/>
    <w:rsid w:val="6C1255B4"/>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30D1F05"/>
    <w:rsid w:val="7313657D"/>
    <w:rsid w:val="73A94B23"/>
    <w:rsid w:val="75965B44"/>
    <w:rsid w:val="75DA5A6C"/>
    <w:rsid w:val="761D41C0"/>
    <w:rsid w:val="76C14706"/>
    <w:rsid w:val="770A5F69"/>
    <w:rsid w:val="770E287F"/>
    <w:rsid w:val="77A03980"/>
    <w:rsid w:val="77EE7748"/>
    <w:rsid w:val="7890278C"/>
    <w:rsid w:val="78947FB0"/>
    <w:rsid w:val="78E67813"/>
    <w:rsid w:val="7A241698"/>
    <w:rsid w:val="7B0528C7"/>
    <w:rsid w:val="7C3362B8"/>
    <w:rsid w:val="7CCA4C96"/>
    <w:rsid w:val="7CE3002B"/>
    <w:rsid w:val="7CFA0F06"/>
    <w:rsid w:val="7D901A4B"/>
    <w:rsid w:val="7EA32687"/>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7">
    <w:name w:val="toc 7"/>
    <w:basedOn w:val="1"/>
    <w:next w:val="1"/>
    <w:semiHidden/>
    <w:qFormat/>
    <w:uiPriority w:val="0"/>
    <w:pPr>
      <w:ind w:left="1680"/>
      <w:jc w:val="left"/>
    </w:pPr>
    <w:rPr>
      <w:rFonts w:ascii="等线" w:eastAsia="等线"/>
      <w:sz w:val="20"/>
    </w:rPr>
  </w:style>
  <w:style w:type="paragraph" w:styleId="8">
    <w:name w:val="index 8"/>
    <w:basedOn w:val="1"/>
    <w:next w:val="1"/>
    <w:semiHidden/>
    <w:qFormat/>
    <w:uiPriority w:val="0"/>
    <w:pPr>
      <w:ind w:left="1400" w:leftChars="1400"/>
    </w:pPr>
  </w:style>
  <w:style w:type="paragraph" w:styleId="9">
    <w:name w:val="index 5"/>
    <w:basedOn w:val="1"/>
    <w:next w:val="1"/>
    <w:semiHidden/>
    <w:qFormat/>
    <w:uiPriority w:val="0"/>
    <w:pPr>
      <w:ind w:left="800" w:leftChars="800"/>
    </w:pPr>
  </w:style>
  <w:style w:type="paragraph" w:styleId="10">
    <w:name w:val="annotation text"/>
    <w:basedOn w:val="1"/>
    <w:link w:val="44"/>
    <w:qFormat/>
    <w:uiPriority w:val="0"/>
  </w:style>
  <w:style w:type="paragraph" w:styleId="11">
    <w:name w:val="index 6"/>
    <w:basedOn w:val="1"/>
    <w:next w:val="1"/>
    <w:semiHidden/>
    <w:qFormat/>
    <w:uiPriority w:val="0"/>
    <w:pPr>
      <w:ind w:left="1000" w:leftChars="1000"/>
    </w:pPr>
  </w:style>
  <w:style w:type="paragraph" w:styleId="12">
    <w:name w:val="Body Text"/>
    <w:basedOn w:val="1"/>
    <w:next w:val="1"/>
    <w:qFormat/>
    <w:uiPriority w:val="0"/>
    <w:pPr>
      <w:jc w:val="left"/>
    </w:pPr>
    <w:rPr>
      <w:rFonts w:ascii="宋体"/>
    </w:rPr>
  </w:style>
  <w:style w:type="paragraph" w:styleId="13">
    <w:name w:val="Body Text Indent"/>
    <w:basedOn w:val="1"/>
    <w:qFormat/>
    <w:uiPriority w:val="0"/>
    <w:pPr>
      <w:spacing w:line="700" w:lineRule="exact"/>
      <w:ind w:left="960"/>
    </w:pPr>
    <w:rPr>
      <w:sz w:val="44"/>
    </w:rPr>
  </w:style>
  <w:style w:type="paragraph" w:styleId="14">
    <w:name w:val="index 4"/>
    <w:basedOn w:val="1"/>
    <w:next w:val="1"/>
    <w:semiHidden/>
    <w:qFormat/>
    <w:uiPriority w:val="0"/>
    <w:pPr>
      <w:ind w:left="600" w:leftChars="600"/>
    </w:pPr>
  </w:style>
  <w:style w:type="paragraph" w:styleId="15">
    <w:name w:val="toc 5"/>
    <w:basedOn w:val="1"/>
    <w:next w:val="1"/>
    <w:semiHidden/>
    <w:qFormat/>
    <w:uiPriority w:val="0"/>
    <w:pPr>
      <w:ind w:left="1120"/>
      <w:jc w:val="left"/>
    </w:pPr>
    <w:rPr>
      <w:rFonts w:ascii="等线" w:eastAsia="等线"/>
      <w:sz w:val="20"/>
    </w:rPr>
  </w:style>
  <w:style w:type="paragraph" w:styleId="16">
    <w:name w:val="toc 3"/>
    <w:basedOn w:val="1"/>
    <w:next w:val="1"/>
    <w:qFormat/>
    <w:uiPriority w:val="39"/>
    <w:pPr>
      <w:ind w:left="560"/>
      <w:jc w:val="left"/>
    </w:pPr>
    <w:rPr>
      <w:rFonts w:ascii="等线" w:eastAsia="等线"/>
      <w:sz w:val="20"/>
    </w:rPr>
  </w:style>
  <w:style w:type="paragraph" w:styleId="17">
    <w:name w:val="toc 8"/>
    <w:basedOn w:val="1"/>
    <w:next w:val="1"/>
    <w:semiHidden/>
    <w:qFormat/>
    <w:uiPriority w:val="0"/>
    <w:pPr>
      <w:ind w:left="1960"/>
      <w:jc w:val="left"/>
    </w:pPr>
    <w:rPr>
      <w:rFonts w:ascii="等线" w:eastAsia="等线"/>
      <w:sz w:val="20"/>
    </w:rPr>
  </w:style>
  <w:style w:type="paragraph" w:styleId="18">
    <w:name w:val="index 3"/>
    <w:basedOn w:val="1"/>
    <w:next w:val="1"/>
    <w:semiHidden/>
    <w:qFormat/>
    <w:uiPriority w:val="0"/>
    <w:pPr>
      <w:ind w:left="400" w:leftChars="400"/>
    </w:pPr>
  </w:style>
  <w:style w:type="paragraph" w:styleId="19">
    <w:name w:val="Date"/>
    <w:basedOn w:val="1"/>
    <w:next w:val="1"/>
    <w:qFormat/>
    <w:uiPriority w:val="0"/>
  </w:style>
  <w:style w:type="paragraph" w:styleId="20">
    <w:name w:val="Body Text Indent 2"/>
    <w:basedOn w:val="1"/>
    <w:qFormat/>
    <w:uiPriority w:val="0"/>
    <w:pPr>
      <w:snapToGrid w:val="0"/>
      <w:spacing w:line="560" w:lineRule="atLeast"/>
      <w:ind w:firstLine="54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jc w:val="left"/>
    </w:pPr>
    <w:rPr>
      <w:rFonts w:ascii="等线" w:eastAsia="等线"/>
      <w:b/>
      <w:bCs/>
      <w:i/>
      <w:iCs/>
      <w:sz w:val="24"/>
      <w:szCs w:val="24"/>
    </w:rPr>
  </w:style>
  <w:style w:type="paragraph" w:styleId="25">
    <w:name w:val="toc 4"/>
    <w:basedOn w:val="1"/>
    <w:next w:val="1"/>
    <w:semiHidden/>
    <w:qFormat/>
    <w:uiPriority w:val="0"/>
    <w:pPr>
      <w:ind w:left="840"/>
      <w:jc w:val="left"/>
    </w:pPr>
    <w:rPr>
      <w:rFonts w:ascii="等线" w:eastAsia="等线"/>
      <w:sz w:val="20"/>
    </w:rPr>
  </w:style>
  <w:style w:type="paragraph" w:styleId="26">
    <w:name w:val="index heading"/>
    <w:basedOn w:val="1"/>
    <w:next w:val="27"/>
    <w:semiHidden/>
    <w:qFormat/>
    <w:uiPriority w:val="0"/>
  </w:style>
  <w:style w:type="paragraph" w:styleId="27">
    <w:name w:val="index 1"/>
    <w:basedOn w:val="1"/>
    <w:next w:val="1"/>
    <w:semiHidden/>
    <w:qFormat/>
    <w:uiPriority w:val="0"/>
  </w:style>
  <w:style w:type="paragraph" w:styleId="28">
    <w:name w:val="toc 6"/>
    <w:basedOn w:val="1"/>
    <w:next w:val="1"/>
    <w:semiHidden/>
    <w:qFormat/>
    <w:uiPriority w:val="0"/>
    <w:pPr>
      <w:ind w:left="1400"/>
      <w:jc w:val="left"/>
    </w:pPr>
    <w:rPr>
      <w:rFonts w:ascii="等线" w:eastAsia="等线"/>
      <w:sz w:val="20"/>
    </w:rPr>
  </w:style>
  <w:style w:type="paragraph" w:styleId="29">
    <w:name w:val="Body Text Indent 3"/>
    <w:basedOn w:val="1"/>
    <w:qFormat/>
    <w:uiPriority w:val="0"/>
    <w:pPr>
      <w:spacing w:after="120"/>
      <w:ind w:left="420" w:leftChars="200"/>
    </w:pPr>
    <w:rPr>
      <w:sz w:val="16"/>
      <w:szCs w:val="16"/>
    </w:rPr>
  </w:style>
  <w:style w:type="paragraph" w:styleId="30">
    <w:name w:val="index 7"/>
    <w:basedOn w:val="1"/>
    <w:next w:val="1"/>
    <w:semiHidden/>
    <w:qFormat/>
    <w:uiPriority w:val="0"/>
    <w:pPr>
      <w:ind w:left="1200" w:leftChars="1200"/>
    </w:pPr>
  </w:style>
  <w:style w:type="paragraph" w:styleId="31">
    <w:name w:val="index 9"/>
    <w:basedOn w:val="1"/>
    <w:next w:val="1"/>
    <w:semiHidden/>
    <w:qFormat/>
    <w:uiPriority w:val="0"/>
    <w:pPr>
      <w:ind w:left="1600" w:leftChars="1600"/>
    </w:pPr>
  </w:style>
  <w:style w:type="paragraph" w:styleId="32">
    <w:name w:val="toc 2"/>
    <w:basedOn w:val="1"/>
    <w:next w:val="1"/>
    <w:qFormat/>
    <w:uiPriority w:val="39"/>
    <w:pPr>
      <w:spacing w:before="120"/>
      <w:ind w:left="280"/>
      <w:jc w:val="left"/>
    </w:pPr>
    <w:rPr>
      <w:rFonts w:ascii="等线" w:eastAsia="等线"/>
      <w:b/>
      <w:bCs/>
      <w:sz w:val="22"/>
      <w:szCs w:val="22"/>
    </w:rPr>
  </w:style>
  <w:style w:type="paragraph" w:styleId="33">
    <w:name w:val="toc 9"/>
    <w:basedOn w:val="1"/>
    <w:next w:val="1"/>
    <w:semiHidden/>
    <w:qFormat/>
    <w:uiPriority w:val="0"/>
    <w:pPr>
      <w:ind w:left="2240"/>
      <w:jc w:val="left"/>
    </w:pPr>
    <w:rPr>
      <w:rFonts w:ascii="等线" w:eastAsia="等线"/>
      <w:sz w:val="20"/>
    </w:rPr>
  </w:style>
  <w:style w:type="paragraph" w:styleId="34">
    <w:name w:val="HTML Preformatted"/>
    <w:basedOn w:val="1"/>
    <w:link w:val="4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5">
    <w:name w:val="index 2"/>
    <w:basedOn w:val="1"/>
    <w:next w:val="1"/>
    <w:semiHidden/>
    <w:qFormat/>
    <w:uiPriority w:val="0"/>
    <w:pPr>
      <w:ind w:left="200" w:leftChars="200"/>
    </w:pPr>
  </w:style>
  <w:style w:type="paragraph" w:styleId="36">
    <w:name w:val="annotation subject"/>
    <w:basedOn w:val="10"/>
    <w:next w:val="10"/>
    <w:link w:val="4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批注文字 字符"/>
    <w:link w:val="10"/>
    <w:qFormat/>
    <w:uiPriority w:val="0"/>
    <w:rPr>
      <w:rFonts w:ascii="宋体" w:hAnsi="宋体" w:cs="宋体"/>
      <w:sz w:val="24"/>
      <w:szCs w:val="24"/>
    </w:rPr>
  </w:style>
  <w:style w:type="character" w:customStyle="1" w:styleId="45">
    <w:name w:val="HTML 预设格式 字符"/>
    <w:link w:val="34"/>
    <w:qFormat/>
    <w:uiPriority w:val="0"/>
    <w:rPr>
      <w:rFonts w:ascii="黑体" w:hAnsi="Courier New" w:eastAsia="黑体" w:cs="Courier New"/>
      <w:color w:val="000000"/>
    </w:rPr>
  </w:style>
  <w:style w:type="character" w:customStyle="1" w:styleId="46">
    <w:name w:val="批注主题 字符"/>
    <w:link w:val="36"/>
    <w:qFormat/>
    <w:uiPriority w:val="0"/>
    <w:rPr>
      <w:rFonts w:ascii="宋体" w:hAnsi="宋体" w:cs="宋体"/>
      <w:b/>
      <w:bCs/>
      <w:sz w:val="24"/>
      <w:szCs w:val="24"/>
    </w:rPr>
  </w:style>
  <w:style w:type="character" w:customStyle="1" w:styleId="47">
    <w:name w:val="HTML 预设格式 字符1"/>
    <w:qFormat/>
    <w:uiPriority w:val="0"/>
    <w:rPr>
      <w:rFonts w:ascii="Courier New" w:hAnsi="Courier New" w:cs="Courier New"/>
      <w:kern w:val="2"/>
    </w:rPr>
  </w:style>
  <w:style w:type="character" w:customStyle="1" w:styleId="48">
    <w:name w:val="表格 Char Char"/>
    <w:link w:val="49"/>
    <w:qFormat/>
    <w:uiPriority w:val="0"/>
    <w:rPr>
      <w:rFonts w:ascii="宋体" w:hAnsi="宋体"/>
    </w:rPr>
  </w:style>
  <w:style w:type="paragraph" w:customStyle="1" w:styleId="49">
    <w:name w:val="表格"/>
    <w:basedOn w:val="1"/>
    <w:link w:val="48"/>
    <w:qFormat/>
    <w:uiPriority w:val="0"/>
    <w:pPr>
      <w:widowControl/>
      <w:snapToGrid w:val="0"/>
      <w:jc w:val="left"/>
    </w:pPr>
    <w:rPr>
      <w:rFonts w:cs="Times New Roman"/>
      <w:sz w:val="20"/>
      <w:szCs w:val="20"/>
    </w:rPr>
  </w:style>
  <w:style w:type="character" w:customStyle="1" w:styleId="50">
    <w:name w:val="font01"/>
    <w:basedOn w:val="39"/>
    <w:qFormat/>
    <w:uiPriority w:val="0"/>
    <w:rPr>
      <w:rFonts w:hint="eastAsia" w:ascii="宋体" w:hAnsi="宋体" w:eastAsia="宋体" w:cs="宋体"/>
      <w:color w:val="000000"/>
      <w:sz w:val="22"/>
      <w:szCs w:val="22"/>
      <w:u w:val="none"/>
    </w:rPr>
  </w:style>
  <w:style w:type="character" w:customStyle="1" w:styleId="51">
    <w:name w:val="NormalCharacter"/>
    <w:qFormat/>
    <w:uiPriority w:val="0"/>
    <w:rPr>
      <w:rFonts w:ascii="Times New Roman" w:hAnsi="Times New Roman" w:eastAsia="宋体" w:cs="Times New Roman"/>
      <w:kern w:val="2"/>
      <w:sz w:val="21"/>
      <w:szCs w:val="22"/>
      <w:lang w:val="en-US" w:eastAsia="zh-CN" w:bidi="ar-SA"/>
    </w:rPr>
  </w:style>
  <w:style w:type="character" w:customStyle="1" w:styleId="52">
    <w:name w:val="font11"/>
    <w:basedOn w:val="39"/>
    <w:qFormat/>
    <w:uiPriority w:val="0"/>
    <w:rPr>
      <w:rFonts w:hint="default" w:ascii="Times New Roman" w:hAnsi="Times New Roman" w:cs="Times New Roman"/>
      <w:color w:val="000000"/>
      <w:sz w:val="22"/>
      <w:szCs w:val="22"/>
      <w:u w:val="none"/>
    </w:rPr>
  </w:style>
  <w:style w:type="paragraph" w:customStyle="1" w:styleId="53">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4">
    <w:name w:val="合同标题"/>
    <w:basedOn w:val="55"/>
    <w:next w:val="55"/>
    <w:qFormat/>
    <w:uiPriority w:val="0"/>
    <w:pPr>
      <w:numPr>
        <w:ilvl w:val="0"/>
        <w:numId w:val="0"/>
      </w:numPr>
      <w:tabs>
        <w:tab w:val="left" w:pos="0"/>
      </w:tabs>
      <w:jc w:val="center"/>
    </w:pPr>
    <w:rPr>
      <w:rFonts w:eastAsia="方正小标宋简体"/>
      <w:sz w:val="32"/>
      <w:szCs w:val="32"/>
    </w:rPr>
  </w:style>
  <w:style w:type="paragraph" w:customStyle="1" w:styleId="55">
    <w:name w:val="合同正文"/>
    <w:qFormat/>
    <w:uiPriority w:val="0"/>
    <w:pPr>
      <w:numPr>
        <w:ilvl w:val="0"/>
        <w:numId w:val="1"/>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6">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57">
    <w:name w:val="合同内一级标题"/>
    <w:qFormat/>
    <w:uiPriority w:val="0"/>
    <w:pPr>
      <w:numPr>
        <w:ilvl w:val="0"/>
        <w:numId w:val="2"/>
      </w:numPr>
    </w:pPr>
    <w:rPr>
      <w:rFonts w:ascii="Times New Roman" w:hAnsi="Times New Roman" w:eastAsia="黑体" w:cs="Times New Roman"/>
      <w:sz w:val="28"/>
      <w:szCs w:val="28"/>
      <w:lang w:val="en-US" w:eastAsia="zh-CN" w:bidi="ar-SA"/>
    </w:rPr>
  </w:style>
  <w:style w:type="paragraph" w:customStyle="1" w:styleId="58">
    <w:name w:val="_Style 57"/>
    <w:basedOn w:val="3"/>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59">
    <w:name w:val="Table Paragraph"/>
    <w:basedOn w:val="1"/>
    <w:qFormat/>
    <w:uiPriority w:val="1"/>
    <w:pPr>
      <w:spacing w:before="143"/>
    </w:pPr>
    <w:rPr>
      <w:rFonts w:ascii="宋体" w:hAnsi="宋体" w:eastAsia="宋体" w:cs="宋体"/>
    </w:rPr>
  </w:style>
  <w:style w:type="paragraph" w:customStyle="1" w:styleId="6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Char1 Char Char Char"/>
    <w:basedOn w:val="1"/>
    <w:qFormat/>
    <w:uiPriority w:val="0"/>
    <w:rPr>
      <w:rFonts w:ascii="Tahoma" w:hAnsi="Tahoma"/>
      <w:sz w:val="30"/>
      <w:szCs w:val="30"/>
    </w:rPr>
  </w:style>
  <w:style w:type="paragraph" w:customStyle="1" w:styleId="63">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列表内容"/>
    <w:basedOn w:val="1"/>
    <w:qFormat/>
    <w:uiPriority w:val="0"/>
    <w:pPr>
      <w:widowControl/>
      <w:spacing w:beforeLines="15" w:afterLines="15" w:line="260" w:lineRule="exact"/>
      <w:ind w:left="251"/>
      <w:jc w:val="left"/>
    </w:pPr>
    <w:rPr>
      <w:rFonts w:ascii="宋体" w:hAnsi="宋体"/>
      <w:kern w:val="0"/>
      <w:sz w:val="18"/>
      <w:szCs w:val="21"/>
    </w:rPr>
  </w:style>
  <w:style w:type="table" w:customStyle="1" w:styleId="6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2658</Words>
  <Characters>3120</Characters>
  <Lines>91</Lines>
  <Paragraphs>25</Paragraphs>
  <TotalTime>2</TotalTime>
  <ScaleCrop>false</ScaleCrop>
  <LinksUpToDate>false</LinksUpToDate>
  <CharactersWithSpaces>3153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2026-04-17T05:59:59Z</dcterms:modified>
  <dc:title>重庆市公检法系统公务用车议标项目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210A4423E85F4CCA85EE590B974F8D22_13</vt:lpwstr>
  </property>
  <property fmtid="{D5CDD505-2E9C-101B-9397-08002B2CF9AE}" pid="4" name="KSOTemplateDocerSaveRecord">
    <vt:lpwstr>eyJoZGlkIjoiZjk0MzBhOWQ1ZDJiOWMwZjUxOGI3ZmMzOTk1ZGI1ZGEiLCJ1c2VySWQiOiIxMTQ2NTc1NDM2In0=</vt:lpwstr>
  </property>
</Properties>
</file>