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AC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仿宋" w:hAnsi="仿宋" w:eastAsia="仿宋" w:cs="仿宋"/>
          <w:b/>
          <w:bCs/>
          <w:color w:val="333333"/>
          <w:sz w:val="30"/>
          <w:szCs w:val="30"/>
          <w:highlight w:val="none"/>
          <w:u w:val="none"/>
          <w:lang w:val="en-US"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highlight w:val="none"/>
          <w:u w:val="none"/>
          <w:lang w:val="en-US" w:eastAsia="zh-CN"/>
        </w:rPr>
        <w:t>武汉天河机场皇冠假日及假日酒店保安业务外包服务采购项目</w:t>
      </w: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highlight w:val="none"/>
          <w:u w:val="none"/>
          <w:lang w:val="en-US"/>
        </w:rPr>
        <w:t>成交结果</w:t>
      </w:r>
      <w:bookmarkEnd w:id="0"/>
      <w:bookmarkEnd w:id="1"/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highlight w:val="none"/>
          <w:u w:val="none"/>
          <w:lang w:val="en-US" w:eastAsia="zh-CN"/>
        </w:rPr>
        <w:t>公示</w:t>
      </w:r>
    </w:p>
    <w:p w14:paraId="57523B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一、中标人信息</w:t>
      </w:r>
    </w:p>
    <w:p w14:paraId="618F8D4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项目名称：武汉天河机场皇冠假日及假日酒店保安业务外包服务采购项目</w:t>
      </w:r>
    </w:p>
    <w:p w14:paraId="0F4900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中标人：武汉华盾保安服务有限公司</w:t>
      </w:r>
    </w:p>
    <w:p w14:paraId="7FBC21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中标金额：5380.00元/人/月</w:t>
      </w:r>
    </w:p>
    <w:p w14:paraId="26C665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二、其他</w:t>
      </w:r>
    </w:p>
    <w:p w14:paraId="2CBB45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10E12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highlight w:val="none"/>
        </w:rPr>
        <w:t>公示时间</w:t>
      </w:r>
    </w:p>
    <w:p w14:paraId="1EF1D82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公示期为202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日（北京时间）。</w:t>
      </w:r>
    </w:p>
    <w:p w14:paraId="691C6B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highlight w:val="none"/>
        </w:rPr>
        <w:t>、异议</w:t>
      </w:r>
    </w:p>
    <w:p w14:paraId="44232C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活动。</w:t>
      </w:r>
    </w:p>
    <w:p w14:paraId="4EC24D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3C0DB85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highlight w:val="none"/>
          <w:lang w:val="en-US" w:eastAsia="zh-CN"/>
        </w:rPr>
        <w:t>1、采购人信息</w:t>
      </w:r>
    </w:p>
    <w:p w14:paraId="3E0AC2B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名称：湖北机场集团酒店管理有限公司武汉天河机场假日酒店分公司</w:t>
      </w:r>
    </w:p>
    <w:p w14:paraId="26E3C6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地址：武汉市黄陂区天河镇</w:t>
      </w:r>
    </w:p>
    <w:p w14:paraId="0CFC9E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联系人：刘先生</w:t>
      </w:r>
      <w:bookmarkStart w:id="2" w:name="_GoBack"/>
      <w:bookmarkEnd w:id="2"/>
    </w:p>
    <w:p w14:paraId="6F3E15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联系方式：15902771757</w:t>
      </w:r>
    </w:p>
    <w:p w14:paraId="2622FA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2、采购代理机构信息</w:t>
      </w:r>
    </w:p>
    <w:p w14:paraId="205233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名称：公诚管理咨询有限公司</w:t>
      </w:r>
    </w:p>
    <w:p w14:paraId="51306B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地址：武汉市武昌区徐东二路2号东创创意园（中国农业科学院油料所内）2栋1楼</w:t>
      </w:r>
    </w:p>
    <w:p w14:paraId="3AAA25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项目联系人：钱建州、马驰成、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李百川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、乐皖鄂、徐茂盛、戚琳</w:t>
      </w:r>
    </w:p>
    <w:p w14:paraId="6B2064D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联系方式：13971819829/282657589@qq.com</w:t>
      </w:r>
    </w:p>
    <w:p w14:paraId="3AD48F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招标人/招标代理机构：公诚管理咨询有限公司</w:t>
      </w:r>
    </w:p>
    <w:p w14:paraId="4FBC39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7695BF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</w:p>
    <w:p w14:paraId="3B1CB2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  <w:t>附件</w:t>
      </w:r>
    </w:p>
    <w:p w14:paraId="31D730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一、招标概况</w:t>
      </w:r>
    </w:p>
    <w:p w14:paraId="64BCBC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武汉天河机场皇冠假日及假日酒店保安业务外包服务采购项目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武汉天河机场皇冠假日及假日酒店保安业务外包服务采购项目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（标段名称）招标于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non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non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</w:rPr>
        <w:t>武汉市武昌区徐东二路2号东创创意园（中国农业科学院油料所内）2栋1楼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结果予以公示。</w:t>
      </w:r>
    </w:p>
    <w:p w14:paraId="44C7D6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结果</w:t>
      </w:r>
    </w:p>
    <w:tbl>
      <w:tblPr>
        <w:tblStyle w:val="3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85"/>
        <w:gridCol w:w="2585"/>
        <w:gridCol w:w="2588"/>
      </w:tblGrid>
      <w:tr w14:paraId="10080D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071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名次</w:t>
            </w:r>
          </w:p>
        </w:tc>
        <w:tc>
          <w:tcPr>
            <w:tcW w:w="2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62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第一名</w:t>
            </w:r>
          </w:p>
        </w:tc>
        <w:tc>
          <w:tcPr>
            <w:tcW w:w="2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AC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第二名</w:t>
            </w:r>
          </w:p>
        </w:tc>
        <w:tc>
          <w:tcPr>
            <w:tcW w:w="2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E3A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第三名</w:t>
            </w:r>
          </w:p>
        </w:tc>
      </w:tr>
      <w:tr w14:paraId="334AB4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D3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中标候选人名称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F4C6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武汉华盾保安服务有限公司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AD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武汉时代警盛保安服务有限公司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D9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湖北兴安保安集团有限公司</w:t>
            </w:r>
          </w:p>
        </w:tc>
      </w:tr>
      <w:tr w14:paraId="129B1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BE8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90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5380元/人/月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B9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5490元/人/月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B88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5300元/人/月</w:t>
            </w:r>
          </w:p>
        </w:tc>
      </w:tr>
      <w:tr w14:paraId="43873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29D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E26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BF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7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</w:tr>
    </w:tbl>
    <w:p w14:paraId="0174FA9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</w:pPr>
    </w:p>
    <w:p w14:paraId="65DEE2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情况</w:t>
      </w:r>
    </w:p>
    <w:tbl>
      <w:tblPr>
        <w:tblStyle w:val="3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33"/>
        <w:gridCol w:w="5638"/>
      </w:tblGrid>
      <w:tr w14:paraId="25FBDA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24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B6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63013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B2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6EB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727C85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879EE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2879"/>
    <w:rsid w:val="2CDA4FEE"/>
    <w:rsid w:val="4E0B2F9B"/>
    <w:rsid w:val="60FD5A09"/>
    <w:rsid w:val="73C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781</Characters>
  <Lines>0</Lines>
  <Paragraphs>0</Paragraphs>
  <TotalTime>0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2025-12-25T08:52:00Z</dcterms:created>
  <dc:creator>Administrator</dc:creator>
  <cp:lastModifiedBy>Administrator</cp:lastModifiedBy>
  <dcterms:modified xsi:type="dcterms:W3CDTF">2026-01-06T02:34:34Z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eyJoZGlkIjoiYzUxZGQwODlkYmU4Y2Y5Nzk1YTZlODgzN2QyZDA5NDgiLCJ1c2VySWQiOiI0MTg5NjgyODAifQ==</vt:lpwstr>
  </property>
  <property fmtid="{D5CDD505-2E9C-101B-9397-08002B2CF9AE}" pid="4" name="ICV">
    <vt:lpwstr>CC421DBFDCB74144B6CC5AF0377C47A5_12</vt:lpwstr>
  </property>
</Properties>
</file>