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B990D">
      <w:pPr>
        <w:jc w:val="center"/>
        <w:rPr>
          <w:rFonts w:ascii="Calibri" w:hAnsi="Calibri" w:eastAsia="宋体" w:cs="Times New Roman"/>
          <w:b/>
          <w:color w:val="auto"/>
          <w:sz w:val="28"/>
          <w:szCs w:val="28"/>
          <w:highlight w:val="none"/>
        </w:rPr>
      </w:pPr>
      <w:r>
        <w:rPr>
          <w:rFonts w:hint="eastAsia" w:ascii="Calibri" w:hAnsi="Calibri" w:eastAsia="宋体" w:cs="Times New Roman"/>
          <w:b/>
          <w:color w:val="auto"/>
          <w:sz w:val="28"/>
          <w:szCs w:val="28"/>
          <w:highlight w:val="none"/>
          <w:u w:val="single"/>
        </w:rPr>
        <w:t xml:space="preserve"> </w:t>
      </w:r>
      <w:bookmarkStart w:id="16" w:name="_GoBack"/>
      <w:r>
        <w:rPr>
          <w:rFonts w:hint="eastAsia" w:ascii="Calibri" w:hAnsi="Calibri" w:eastAsia="宋体" w:cs="Times New Roman"/>
          <w:b/>
          <w:color w:val="auto"/>
          <w:sz w:val="28"/>
          <w:szCs w:val="28"/>
          <w:highlight w:val="none"/>
          <w:u w:val="single"/>
          <w:lang w:eastAsia="zh-CN"/>
        </w:rPr>
        <w:t>襄阳机场T2航站楼二楼南侧餐饮店商业用房招商项目</w:t>
      </w:r>
      <w:bookmarkEnd w:id="16"/>
      <w:r>
        <w:rPr>
          <w:rFonts w:ascii="Calibri" w:hAnsi="Calibri" w:eastAsia="宋体" w:cs="Times New Roman"/>
          <w:b/>
          <w:color w:val="auto"/>
          <w:sz w:val="28"/>
          <w:szCs w:val="28"/>
          <w:highlight w:val="none"/>
          <w:u w:val="single"/>
        </w:rPr>
        <w:t xml:space="preserve"> </w:t>
      </w:r>
      <w:r>
        <w:rPr>
          <w:rFonts w:hint="eastAsia" w:ascii="Calibri" w:hAnsi="Calibri" w:eastAsia="宋体" w:cs="Times New Roman"/>
          <w:b/>
          <w:color w:val="auto"/>
          <w:sz w:val="28"/>
          <w:szCs w:val="28"/>
          <w:highlight w:val="none"/>
        </w:rPr>
        <w:t>磋商公告</w:t>
      </w:r>
    </w:p>
    <w:p w14:paraId="11C4FD47">
      <w:pPr>
        <w:spacing w:line="400" w:lineRule="exact"/>
        <w:ind w:firstLine="480" w:firstLineChars="200"/>
        <w:rPr>
          <w:rFonts w:ascii="Calibri" w:hAnsi="Calibri" w:eastAsia="宋体" w:cs="Times New Roman"/>
          <w:color w:val="auto"/>
          <w:sz w:val="24"/>
          <w:szCs w:val="24"/>
          <w:highlight w:val="none"/>
          <w:u w:val="single"/>
        </w:rPr>
      </w:pPr>
    </w:p>
    <w:p w14:paraId="3634BC44">
      <w:pPr>
        <w:spacing w:line="360" w:lineRule="auto"/>
        <w:ind w:firstLine="420" w:firstLineChars="200"/>
        <w:rPr>
          <w:rFonts w:ascii="Times New Roman" w:hAnsi="Times New Roman" w:eastAsia="宋体" w:cs="Times New Roman"/>
          <w:color w:val="auto"/>
          <w:szCs w:val="21"/>
          <w:highlight w:val="none"/>
        </w:rPr>
      </w:pPr>
      <w:bookmarkStart w:id="0" w:name="_Toc72415540"/>
      <w:r>
        <w:rPr>
          <w:rFonts w:hint="eastAsia" w:ascii="Times New Roman" w:hAnsi="Times New Roman" w:eastAsia="宋体" w:cs="Times New Roman"/>
          <w:color w:val="auto"/>
          <w:szCs w:val="21"/>
          <w:highlight w:val="none"/>
          <w:lang w:eastAsia="zh-CN"/>
        </w:rPr>
        <w:t>湖北省成套招标股份有限公司</w:t>
      </w:r>
      <w:r>
        <w:rPr>
          <w:rFonts w:hint="eastAsia" w:ascii="Times New Roman" w:hAnsi="Times New Roman" w:eastAsia="宋体" w:cs="Times New Roman"/>
          <w:color w:val="auto"/>
          <w:szCs w:val="21"/>
          <w:highlight w:val="none"/>
        </w:rPr>
        <w:t>（以下简称“</w:t>
      </w:r>
      <w:r>
        <w:rPr>
          <w:rFonts w:hint="eastAsia" w:ascii="Times New Roman" w:hAnsi="Times New Roman" w:eastAsia="宋体" w:cs="Times New Roman"/>
          <w:color w:val="auto"/>
          <w:szCs w:val="21"/>
          <w:highlight w:val="none"/>
          <w:lang w:eastAsia="zh-CN"/>
        </w:rPr>
        <w:t>招商</w:t>
      </w:r>
      <w:r>
        <w:rPr>
          <w:rFonts w:hint="eastAsia" w:ascii="Times New Roman" w:hAnsi="Times New Roman" w:eastAsia="宋体" w:cs="Times New Roman"/>
          <w:color w:val="auto"/>
          <w:szCs w:val="21"/>
          <w:highlight w:val="none"/>
        </w:rPr>
        <w:t>代理机构”）受</w:t>
      </w:r>
      <w:r>
        <w:rPr>
          <w:rFonts w:ascii="Times New Roman" w:hAnsi="Times New Roman" w:eastAsia="宋体" w:cs="Times New Roman"/>
          <w:b/>
          <w:color w:val="auto"/>
          <w:szCs w:val="21"/>
          <w:highlight w:val="none"/>
          <w:u w:val="single"/>
        </w:rPr>
        <w:t xml:space="preserve"> </w:t>
      </w:r>
      <w:r>
        <w:rPr>
          <w:rFonts w:hint="eastAsia" w:ascii="Times New Roman" w:hAnsi="Times New Roman" w:eastAsia="宋体" w:cs="Times New Roman"/>
          <w:b/>
          <w:color w:val="auto"/>
          <w:szCs w:val="21"/>
          <w:highlight w:val="none"/>
          <w:u w:val="single"/>
        </w:rPr>
        <w:t>湖北机场集团襄阳机场有限责任公司</w:t>
      </w:r>
      <w:r>
        <w:rPr>
          <w:rFonts w:ascii="Times New Roman" w:hAnsi="Times New Roman" w:eastAsia="宋体" w:cs="Times New Roman"/>
          <w:b/>
          <w:color w:val="auto"/>
          <w:szCs w:val="21"/>
          <w:highlight w:val="none"/>
          <w:u w:val="single"/>
        </w:rPr>
        <w:t xml:space="preserve"> </w:t>
      </w:r>
      <w:r>
        <w:rPr>
          <w:rFonts w:hint="eastAsia" w:ascii="Times New Roman" w:hAnsi="Times New Roman" w:eastAsia="宋体" w:cs="Times New Roman"/>
          <w:color w:val="auto"/>
          <w:szCs w:val="21"/>
          <w:highlight w:val="none"/>
        </w:rPr>
        <w:t>（以下简称“</w:t>
      </w:r>
      <w:r>
        <w:rPr>
          <w:rFonts w:hint="eastAsia" w:ascii="Times New Roman" w:hAnsi="Times New Roman" w:eastAsia="宋体" w:cs="Times New Roman"/>
          <w:color w:val="auto"/>
          <w:szCs w:val="21"/>
          <w:highlight w:val="none"/>
          <w:lang w:eastAsia="zh-CN"/>
        </w:rPr>
        <w:t>招商人</w:t>
      </w:r>
      <w:r>
        <w:rPr>
          <w:rFonts w:hint="eastAsia" w:ascii="Times New Roman" w:hAnsi="Times New Roman" w:eastAsia="宋体" w:cs="Times New Roman"/>
          <w:color w:val="auto"/>
          <w:szCs w:val="21"/>
          <w:highlight w:val="none"/>
        </w:rPr>
        <w:t>”）的委托，对本项目组织磋商，现公开邀请潜在</w:t>
      </w:r>
      <w:r>
        <w:rPr>
          <w:rFonts w:hint="eastAsia" w:ascii="Times New Roman" w:hAnsi="Times New Roman" w:eastAsia="宋体" w:cs="Times New Roman"/>
          <w:color w:val="auto"/>
          <w:szCs w:val="21"/>
          <w:highlight w:val="none"/>
          <w:lang w:eastAsia="zh-CN"/>
        </w:rPr>
        <w:t>投标人</w:t>
      </w:r>
      <w:r>
        <w:rPr>
          <w:rFonts w:hint="eastAsia" w:ascii="Times New Roman" w:hAnsi="Times New Roman" w:eastAsia="宋体" w:cs="Times New Roman"/>
          <w:color w:val="auto"/>
          <w:szCs w:val="21"/>
          <w:highlight w:val="none"/>
        </w:rPr>
        <w:t>参加磋商活动。</w:t>
      </w:r>
    </w:p>
    <w:bookmarkEnd w:id="0"/>
    <w:p w14:paraId="28261892">
      <w:pPr>
        <w:keepNext/>
        <w:keepLines/>
        <w:widowControl w:val="0"/>
        <w:spacing w:before="260" w:after="260" w:line="300" w:lineRule="exact"/>
        <w:jc w:val="both"/>
        <w:outlineLvl w:val="1"/>
        <w:rPr>
          <w:rFonts w:ascii="宋体" w:hAnsi="宋体" w:eastAsia="宋体" w:cs="Times New Roman"/>
          <w:b/>
          <w:bCs/>
          <w:color w:val="auto"/>
          <w:kern w:val="2"/>
          <w:sz w:val="21"/>
          <w:szCs w:val="21"/>
          <w:highlight w:val="none"/>
          <w:lang w:val="en-US" w:eastAsia="zh-CN" w:bidi="ar-SA"/>
        </w:rPr>
      </w:pPr>
      <w:bookmarkStart w:id="1" w:name="_Toc21105"/>
      <w:r>
        <w:rPr>
          <w:rFonts w:ascii="宋体" w:hAnsi="宋体" w:eastAsia="宋体" w:cs="Times New Roman"/>
          <w:b/>
          <w:bCs/>
          <w:color w:val="auto"/>
          <w:kern w:val="2"/>
          <w:sz w:val="21"/>
          <w:szCs w:val="21"/>
          <w:highlight w:val="none"/>
          <w:lang w:val="en-US" w:eastAsia="zh-CN" w:bidi="ar-SA"/>
        </w:rPr>
        <w:t>1</w:t>
      </w:r>
      <w:r>
        <w:rPr>
          <w:rFonts w:hint="eastAsia" w:ascii="宋体" w:hAnsi="宋体" w:eastAsia="宋体" w:cs="Times New Roman"/>
          <w:b/>
          <w:bCs/>
          <w:color w:val="auto"/>
          <w:kern w:val="2"/>
          <w:sz w:val="21"/>
          <w:szCs w:val="21"/>
          <w:highlight w:val="none"/>
          <w:lang w:val="en-US" w:eastAsia="zh-CN" w:bidi="ar-SA"/>
        </w:rPr>
        <w:t>．项目概况及招商范围（</w:t>
      </w:r>
      <w:r>
        <w:rPr>
          <w:rFonts w:ascii="宋体" w:hAnsi="宋体" w:eastAsia="宋体" w:cs="Times New Roman"/>
          <w:b/>
          <w:bCs/>
          <w:color w:val="auto"/>
          <w:kern w:val="2"/>
          <w:sz w:val="21"/>
          <w:szCs w:val="21"/>
          <w:highlight w:val="none"/>
          <w:lang w:val="en-US" w:eastAsia="zh-CN" w:bidi="ar-SA"/>
        </w:rPr>
        <w:t>C</w:t>
      </w:r>
      <w:r>
        <w:rPr>
          <w:rFonts w:hint="eastAsia" w:ascii="宋体" w:hAnsi="宋体" w:eastAsia="宋体" w:cs="Times New Roman"/>
          <w:b/>
          <w:bCs/>
          <w:color w:val="auto"/>
          <w:kern w:val="2"/>
          <w:sz w:val="21"/>
          <w:szCs w:val="21"/>
          <w:highlight w:val="none"/>
          <w:lang w:val="en-US" w:eastAsia="zh-CN" w:bidi="ar-SA"/>
        </w:rPr>
        <w:t>-服务类）</w:t>
      </w:r>
      <w:bookmarkEnd w:id="1"/>
    </w:p>
    <w:p w14:paraId="05879FF9">
      <w:pPr>
        <w:spacing w:line="400" w:lineRule="exact"/>
        <w:rPr>
          <w:rFonts w:hint="default" w:ascii="宋体" w:hAnsi="宋体" w:eastAsia="宋体" w:cs="Times New Roman"/>
          <w:color w:val="auto"/>
          <w:szCs w:val="21"/>
          <w:highlight w:val="none"/>
          <w:u w:val="single"/>
          <w:lang w:val="en-US"/>
        </w:rPr>
      </w:pPr>
      <w:r>
        <w:rPr>
          <w:rFonts w:hint="eastAsia" w:ascii="宋体" w:hAnsi="宋体" w:eastAsia="宋体" w:cs="Times New Roman"/>
          <w:color w:val="auto"/>
          <w:szCs w:val="21"/>
          <w:highlight w:val="none"/>
        </w:rPr>
        <w:t>1.1项目名称</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u w:val="single"/>
          <w:lang w:eastAsia="zh-CN"/>
        </w:rPr>
        <w:t>襄阳机场T2航站楼二楼南侧餐饮店商业用房招商项目</w:t>
      </w:r>
    </w:p>
    <w:p w14:paraId="5FF95E79">
      <w:pPr>
        <w:spacing w:line="400" w:lineRule="exact"/>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1.2项目编号：</w:t>
      </w:r>
      <w:r>
        <w:rPr>
          <w:rFonts w:hint="eastAsia" w:ascii="宋体" w:hAnsi="宋体" w:eastAsia="宋体" w:cs="Times New Roman"/>
          <w:color w:val="auto"/>
          <w:szCs w:val="21"/>
          <w:highlight w:val="none"/>
          <w:u w:val="single"/>
          <w:lang w:eastAsia="zh-CN"/>
        </w:rPr>
        <w:t>HB</w:t>
      </w:r>
      <w:r>
        <w:rPr>
          <w:rFonts w:hint="eastAsia" w:ascii="宋体" w:hAnsi="宋体" w:eastAsia="宋体" w:cs="Times New Roman"/>
          <w:color w:val="auto"/>
          <w:szCs w:val="21"/>
          <w:highlight w:val="none"/>
          <w:u w:val="single"/>
          <w:lang w:val="en-US" w:eastAsia="zh-CN"/>
        </w:rPr>
        <w:t>CZ-2403020123-260034</w:t>
      </w:r>
    </w:p>
    <w:p w14:paraId="22254AD1">
      <w:pPr>
        <w:spacing w:line="440" w:lineRule="exac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1.3</w:t>
      </w:r>
      <w:r>
        <w:rPr>
          <w:rFonts w:hint="eastAsia" w:ascii="宋体" w:hAnsi="宋体" w:eastAsia="宋体" w:cs="Times New Roman"/>
          <w:color w:val="auto"/>
          <w:szCs w:val="21"/>
          <w:highlight w:val="none"/>
          <w:lang w:val="en-US" w:eastAsia="zh-CN"/>
        </w:rPr>
        <w:t>招商</w:t>
      </w:r>
      <w:r>
        <w:rPr>
          <w:rFonts w:hint="eastAsia" w:ascii="宋体" w:hAnsi="宋体" w:eastAsia="宋体" w:cs="Times New Roman"/>
          <w:color w:val="auto"/>
          <w:szCs w:val="21"/>
          <w:highlight w:val="none"/>
        </w:rPr>
        <w:t>内容及范围</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u w:val="single"/>
          <w:lang w:val="en-US" w:eastAsia="zh-CN"/>
        </w:rPr>
        <w:t>本次招商1个店铺，拟为1个标段进行招商。</w:t>
      </w:r>
      <w:r>
        <w:rPr>
          <w:rFonts w:hint="eastAsia" w:ascii="宋体" w:hAnsi="宋体" w:eastAsia="宋体" w:cs="Times New Roman"/>
          <w:color w:val="auto"/>
          <w:szCs w:val="21"/>
          <w:highlight w:val="none"/>
          <w:u w:val="single"/>
        </w:rPr>
        <w:t>（具体内容见本招商文件第五章“招商需求”）</w:t>
      </w:r>
    </w:p>
    <w:p w14:paraId="66F1EDCF">
      <w:pPr>
        <w:spacing w:line="440" w:lineRule="exact"/>
        <w:rPr>
          <w:rFonts w:hint="eastAsia" w:ascii="宋体" w:hAnsi="宋体" w:eastAsia="宋体" w:cs="Times New Roman"/>
          <w:color w:val="auto"/>
          <w:szCs w:val="21"/>
          <w:highlight w:val="none"/>
          <w:u w:val="single"/>
        </w:rPr>
      </w:pPr>
    </w:p>
    <w:tbl>
      <w:tblPr>
        <w:tblStyle w:val="2"/>
        <w:tblpPr w:vertAnchor="text" w:tblpXSpec="center"/>
        <w:tblW w:w="8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81"/>
        <w:gridCol w:w="2929"/>
        <w:gridCol w:w="2246"/>
        <w:gridCol w:w="2750"/>
      </w:tblGrid>
      <w:tr w14:paraId="5D6CF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5" w:hRule="atLeast"/>
          <w:jc w:val="center"/>
        </w:trPr>
        <w:tc>
          <w:tcPr>
            <w:tcW w:w="981" w:type="dxa"/>
            <w:noWrap w:val="0"/>
            <w:tcMar>
              <w:left w:w="108" w:type="dxa"/>
              <w:right w:w="108" w:type="dxa"/>
            </w:tcMar>
            <w:vAlign w:val="center"/>
          </w:tcPr>
          <w:p w14:paraId="1B98EA39">
            <w:pPr>
              <w:keepNext w:val="0"/>
              <w:keepLines w:val="0"/>
              <w:widowControl/>
              <w:suppressLineNumbers w:val="0"/>
              <w:spacing w:before="100" w:beforeAutospacing="1" w:after="100" w:afterAutospacing="1" w:line="360" w:lineRule="auto"/>
              <w:ind w:left="0" w:right="0"/>
              <w:jc w:val="center"/>
              <w:rPr>
                <w:rFonts w:ascii="Calibri" w:hAnsi="Calibri" w:eastAsia="宋体" w:cs="Times New Roman"/>
                <w:color w:val="auto"/>
                <w:sz w:val="21"/>
                <w:szCs w:val="21"/>
                <w:highlight w:val="none"/>
              </w:rPr>
            </w:pPr>
            <w:r>
              <w:rPr>
                <w:rFonts w:hint="eastAsia" w:ascii="宋体" w:hAnsi="宋体" w:eastAsia="宋体" w:cs="宋体"/>
                <w:b/>
                <w:color w:val="auto"/>
                <w:kern w:val="0"/>
                <w:sz w:val="21"/>
                <w:szCs w:val="21"/>
                <w:highlight w:val="none"/>
                <w:lang w:val="en-US" w:eastAsia="zh-CN" w:bidi="ar"/>
              </w:rPr>
              <w:t>标段</w:t>
            </w:r>
          </w:p>
        </w:tc>
        <w:tc>
          <w:tcPr>
            <w:tcW w:w="2929" w:type="dxa"/>
            <w:noWrap w:val="0"/>
            <w:tcMar>
              <w:left w:w="108" w:type="dxa"/>
              <w:right w:w="108" w:type="dxa"/>
            </w:tcMar>
            <w:vAlign w:val="center"/>
          </w:tcPr>
          <w:p w14:paraId="2063C30B">
            <w:pPr>
              <w:keepNext w:val="0"/>
              <w:keepLines w:val="0"/>
              <w:widowControl/>
              <w:suppressLineNumbers w:val="0"/>
              <w:spacing w:before="100" w:beforeAutospacing="1" w:after="100" w:afterAutospacing="1" w:line="360" w:lineRule="auto"/>
              <w:ind w:left="0" w:right="0"/>
              <w:jc w:val="center"/>
              <w:rPr>
                <w:rFonts w:ascii="Calibri" w:hAnsi="Calibri" w:eastAsia="宋体" w:cs="Times New Roman"/>
                <w:color w:val="auto"/>
                <w:sz w:val="21"/>
                <w:szCs w:val="21"/>
                <w:highlight w:val="none"/>
              </w:rPr>
            </w:pPr>
            <w:r>
              <w:rPr>
                <w:rFonts w:hint="eastAsia" w:ascii="宋体" w:hAnsi="宋体" w:eastAsia="宋体" w:cs="宋体"/>
                <w:b/>
                <w:color w:val="auto"/>
                <w:kern w:val="0"/>
                <w:sz w:val="21"/>
                <w:szCs w:val="21"/>
                <w:highlight w:val="none"/>
                <w:lang w:val="en-US" w:eastAsia="zh-CN" w:bidi="ar"/>
              </w:rPr>
              <w:t>点位</w:t>
            </w:r>
          </w:p>
        </w:tc>
        <w:tc>
          <w:tcPr>
            <w:tcW w:w="2246" w:type="dxa"/>
            <w:noWrap w:val="0"/>
            <w:tcMar>
              <w:left w:w="108" w:type="dxa"/>
              <w:right w:w="108" w:type="dxa"/>
            </w:tcMar>
            <w:vAlign w:val="center"/>
          </w:tcPr>
          <w:p w14:paraId="31991126">
            <w:pPr>
              <w:keepNext w:val="0"/>
              <w:keepLines w:val="0"/>
              <w:widowControl/>
              <w:suppressLineNumbers w:val="0"/>
              <w:spacing w:before="100" w:beforeAutospacing="1" w:after="100" w:afterAutospacing="1" w:line="360" w:lineRule="auto"/>
              <w:ind w:left="0" w:right="0"/>
              <w:jc w:val="center"/>
              <w:rPr>
                <w:rFonts w:ascii="Calibri" w:hAnsi="Calibri" w:eastAsia="宋体" w:cs="Times New Roman"/>
                <w:color w:val="auto"/>
                <w:sz w:val="21"/>
                <w:szCs w:val="21"/>
                <w:highlight w:val="none"/>
              </w:rPr>
            </w:pPr>
            <w:r>
              <w:rPr>
                <w:rFonts w:hint="eastAsia" w:ascii="宋体" w:hAnsi="宋体" w:eastAsia="宋体" w:cs="宋体"/>
                <w:b/>
                <w:color w:val="auto"/>
                <w:kern w:val="0"/>
                <w:sz w:val="21"/>
                <w:szCs w:val="21"/>
                <w:highlight w:val="none"/>
                <w:lang w:val="en-US" w:eastAsia="zh-CN" w:bidi="ar"/>
              </w:rPr>
              <w:t>招商面积（平方米）</w:t>
            </w:r>
          </w:p>
        </w:tc>
        <w:tc>
          <w:tcPr>
            <w:tcW w:w="2750" w:type="dxa"/>
            <w:noWrap w:val="0"/>
            <w:tcMar>
              <w:left w:w="108" w:type="dxa"/>
              <w:right w:w="108" w:type="dxa"/>
            </w:tcMar>
            <w:vAlign w:val="center"/>
          </w:tcPr>
          <w:p w14:paraId="3D2040C5">
            <w:pPr>
              <w:keepNext w:val="0"/>
              <w:keepLines w:val="0"/>
              <w:widowControl/>
              <w:suppressLineNumbers w:val="0"/>
              <w:spacing w:before="100" w:beforeAutospacing="1" w:after="100" w:afterAutospacing="1" w:line="360" w:lineRule="auto"/>
              <w:ind w:left="0" w:right="0"/>
              <w:jc w:val="center"/>
              <w:rPr>
                <w:rFonts w:hint="eastAsia" w:ascii="宋体" w:hAnsi="宋体" w:eastAsia="宋体" w:cs="宋体"/>
                <w:b/>
                <w:color w:val="auto"/>
                <w:kern w:val="0"/>
                <w:sz w:val="21"/>
                <w:szCs w:val="21"/>
                <w:highlight w:val="none"/>
                <w:lang w:val="en-US" w:eastAsia="zh-CN" w:bidi="ar"/>
              </w:rPr>
            </w:pPr>
            <w:r>
              <w:rPr>
                <w:rFonts w:hint="eastAsia" w:ascii="宋体" w:hAnsi="宋体" w:eastAsia="宋体" w:cs="宋体"/>
                <w:b/>
                <w:color w:val="auto"/>
                <w:kern w:val="0"/>
                <w:sz w:val="21"/>
                <w:szCs w:val="21"/>
                <w:highlight w:val="none"/>
                <w:lang w:val="en-US" w:eastAsia="zh-CN" w:bidi="ar"/>
              </w:rPr>
              <w:t>经营范围</w:t>
            </w:r>
          </w:p>
        </w:tc>
      </w:tr>
      <w:tr w14:paraId="5079C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0" w:hRule="atLeast"/>
          <w:jc w:val="center"/>
        </w:trPr>
        <w:tc>
          <w:tcPr>
            <w:tcW w:w="981" w:type="dxa"/>
            <w:noWrap w:val="0"/>
            <w:tcMar>
              <w:left w:w="108" w:type="dxa"/>
              <w:right w:w="108" w:type="dxa"/>
            </w:tcMar>
            <w:vAlign w:val="center"/>
          </w:tcPr>
          <w:p w14:paraId="4B3DD165">
            <w:pPr>
              <w:keepNext w:val="0"/>
              <w:keepLines w:val="0"/>
              <w:widowControl/>
              <w:suppressLineNumbers w:val="0"/>
              <w:spacing w:before="100" w:beforeAutospacing="1" w:after="100" w:afterAutospacing="1" w:line="240" w:lineRule="auto"/>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2929" w:type="dxa"/>
            <w:noWrap w:val="0"/>
            <w:tcMar>
              <w:left w:w="108" w:type="dxa"/>
              <w:right w:w="108" w:type="dxa"/>
            </w:tcMar>
            <w:vAlign w:val="center"/>
          </w:tcPr>
          <w:p w14:paraId="7D16186B">
            <w:pPr>
              <w:keepNext w:val="0"/>
              <w:keepLines w:val="0"/>
              <w:widowControl/>
              <w:suppressLineNumbers w:val="0"/>
              <w:spacing w:before="100" w:beforeAutospacing="1" w:after="100" w:afterAutospacing="1" w:line="240" w:lineRule="auto"/>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二楼南侧电梯口餐饮店商业点位</w:t>
            </w:r>
          </w:p>
        </w:tc>
        <w:tc>
          <w:tcPr>
            <w:tcW w:w="2246" w:type="dxa"/>
            <w:noWrap w:val="0"/>
            <w:tcMar>
              <w:left w:w="108" w:type="dxa"/>
              <w:right w:w="108" w:type="dxa"/>
            </w:tcMar>
            <w:vAlign w:val="center"/>
          </w:tcPr>
          <w:p w14:paraId="7E66EB8A">
            <w:pPr>
              <w:keepNext w:val="0"/>
              <w:keepLines w:val="0"/>
              <w:widowControl/>
              <w:suppressLineNumbers w:val="0"/>
              <w:spacing w:before="100" w:beforeAutospacing="1" w:after="100" w:afterAutospacing="1" w:line="240" w:lineRule="auto"/>
              <w:ind w:left="0" w:right="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140</w:t>
            </w:r>
          </w:p>
        </w:tc>
        <w:tc>
          <w:tcPr>
            <w:tcW w:w="2750" w:type="dxa"/>
            <w:noWrap w:val="0"/>
            <w:tcMar>
              <w:left w:w="108" w:type="dxa"/>
              <w:right w:w="108" w:type="dxa"/>
            </w:tcMar>
            <w:vAlign w:val="center"/>
          </w:tcPr>
          <w:p w14:paraId="67FE2046">
            <w:pPr>
              <w:keepNext w:val="0"/>
              <w:keepLines w:val="0"/>
              <w:widowControl/>
              <w:suppressLineNumbers w:val="0"/>
              <w:spacing w:before="100" w:beforeAutospacing="1" w:after="100" w:afterAutospacing="1" w:line="240" w:lineRule="auto"/>
              <w:ind w:left="0" w:right="0"/>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简餐（快便餐）、饮品（咖啡、奶茶）</w:t>
            </w:r>
          </w:p>
        </w:tc>
      </w:tr>
    </w:tbl>
    <w:p w14:paraId="55635715">
      <w:pPr>
        <w:rPr>
          <w:rFonts w:ascii="Calibri" w:hAnsi="Calibri" w:eastAsia="宋体" w:cs="Times New Roman"/>
          <w:color w:val="auto"/>
          <w:szCs w:val="22"/>
        </w:rPr>
      </w:pPr>
    </w:p>
    <w:p w14:paraId="1E1530FE">
      <w:pPr>
        <w:spacing w:line="44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ascii="宋体" w:hAnsi="宋体" w:eastAsia="宋体" w:cs="Times New Roman"/>
          <w:color w:val="auto"/>
          <w:szCs w:val="21"/>
          <w:highlight w:val="none"/>
        </w:rPr>
        <w:t>4</w:t>
      </w:r>
      <w:r>
        <w:rPr>
          <w:rFonts w:hint="eastAsia" w:ascii="宋体" w:hAnsi="宋体" w:eastAsia="宋体" w:cs="Times New Roman"/>
          <w:color w:val="auto"/>
          <w:szCs w:val="21"/>
          <w:highlight w:val="none"/>
          <w:lang w:val="en-US" w:eastAsia="zh-CN"/>
        </w:rPr>
        <w:t>合同</w:t>
      </w:r>
      <w:r>
        <w:rPr>
          <w:rFonts w:hint="eastAsia" w:ascii="宋体" w:hAnsi="宋体" w:eastAsia="宋体" w:cs="Times New Roman"/>
          <w:color w:val="auto"/>
          <w:szCs w:val="21"/>
          <w:highlight w:val="none"/>
        </w:rPr>
        <w:t>期限：签订合同期限为3年。商铺按照区域划分，需要自行装修，装修方案经招商人审批通过，给予40天的免租装修期，须于商铺接手后半年内完成。</w:t>
      </w:r>
    </w:p>
    <w:p w14:paraId="5A634BD4">
      <w:pPr>
        <w:widowControl w:val="0"/>
        <w:spacing w:line="440" w:lineRule="exact"/>
        <w:ind w:firstLine="0" w:firstLineChars="0"/>
        <w:jc w:val="both"/>
        <w:rPr>
          <w:rFonts w:ascii="宋体" w:hAnsi="宋体" w:eastAsia="宋体" w:cs="Times New Roman"/>
          <w:color w:val="auto"/>
          <w:kern w:val="2"/>
          <w:sz w:val="21"/>
          <w:szCs w:val="21"/>
          <w:highlight w:val="none"/>
          <w:u w:val="single"/>
          <w:lang w:val="en-US" w:eastAsia="zh-CN" w:bidi="ar-SA"/>
        </w:rPr>
      </w:pPr>
      <w:r>
        <w:rPr>
          <w:rFonts w:hint="eastAsia" w:ascii="宋体" w:hAnsi="宋体" w:eastAsia="宋体" w:cs="Times New Roman"/>
          <w:color w:val="auto"/>
          <w:kern w:val="2"/>
          <w:sz w:val="21"/>
          <w:szCs w:val="21"/>
          <w:highlight w:val="none"/>
          <w:lang w:val="en-US" w:eastAsia="zh-CN" w:bidi="ar-SA"/>
        </w:rPr>
        <w:t>1.5其他</w:t>
      </w:r>
      <w:r>
        <w:rPr>
          <w:rFonts w:ascii="宋体" w:hAnsi="宋体" w:eastAsia="宋体" w:cs="Times New Roman"/>
          <w:color w:val="auto"/>
          <w:kern w:val="2"/>
          <w:sz w:val="21"/>
          <w:szCs w:val="21"/>
          <w:highlight w:val="none"/>
          <w:lang w:val="en-US" w:eastAsia="zh-CN" w:bidi="ar-SA"/>
        </w:rPr>
        <w:t>：</w:t>
      </w:r>
      <w:r>
        <w:rPr>
          <w:rFonts w:hint="eastAsia" w:ascii="宋体" w:hAnsi="宋体" w:eastAsia="宋体" w:cs="Times New Roman"/>
          <w:color w:val="auto"/>
          <w:kern w:val="2"/>
          <w:sz w:val="21"/>
          <w:szCs w:val="21"/>
          <w:highlight w:val="none"/>
          <w:u w:val="single"/>
          <w:lang w:val="en-US" w:eastAsia="zh-CN" w:bidi="ar-SA"/>
        </w:rPr>
        <w:t xml:space="preserve">  无</w:t>
      </w:r>
      <w:r>
        <w:rPr>
          <w:rFonts w:ascii="宋体" w:hAnsi="宋体" w:eastAsia="宋体" w:cs="Times New Roman"/>
          <w:color w:val="auto"/>
          <w:kern w:val="2"/>
          <w:sz w:val="21"/>
          <w:szCs w:val="21"/>
          <w:highlight w:val="none"/>
          <w:u w:val="single"/>
          <w:lang w:val="en-US" w:eastAsia="zh-CN" w:bidi="ar-SA"/>
        </w:rPr>
        <w:t xml:space="preserve">   </w:t>
      </w:r>
    </w:p>
    <w:p w14:paraId="5CC2E4CC">
      <w:pPr>
        <w:keepNext/>
        <w:keepLines/>
        <w:widowControl w:val="0"/>
        <w:spacing w:before="260" w:after="260" w:line="360" w:lineRule="exact"/>
        <w:jc w:val="both"/>
        <w:outlineLvl w:val="1"/>
        <w:rPr>
          <w:rFonts w:ascii="Calibri Light" w:hAnsi="Calibri Light" w:eastAsia="宋体" w:cs="Times New Roman"/>
          <w:b/>
          <w:bCs/>
          <w:color w:val="auto"/>
          <w:kern w:val="2"/>
          <w:sz w:val="21"/>
          <w:szCs w:val="21"/>
          <w:highlight w:val="none"/>
          <w:lang w:val="en-US" w:eastAsia="zh-CN" w:bidi="ar-SA"/>
        </w:rPr>
      </w:pPr>
      <w:bookmarkStart w:id="2" w:name="_Toc8165"/>
      <w:r>
        <w:rPr>
          <w:rFonts w:ascii="Calibri Light" w:hAnsi="Calibri Light" w:eastAsia="宋体" w:cs="Times New Roman"/>
          <w:b/>
          <w:bCs/>
          <w:color w:val="auto"/>
          <w:kern w:val="2"/>
          <w:sz w:val="21"/>
          <w:szCs w:val="21"/>
          <w:highlight w:val="none"/>
          <w:lang w:val="en-US" w:eastAsia="zh-CN" w:bidi="ar-SA"/>
        </w:rPr>
        <w:t>2</w:t>
      </w:r>
      <w:r>
        <w:rPr>
          <w:rFonts w:hint="eastAsia" w:ascii="Calibri Light" w:hAnsi="Calibri Light" w:eastAsia="宋体" w:cs="Times New Roman"/>
          <w:b/>
          <w:bCs/>
          <w:color w:val="auto"/>
          <w:kern w:val="2"/>
          <w:sz w:val="21"/>
          <w:szCs w:val="21"/>
          <w:highlight w:val="none"/>
          <w:lang w:val="en-US" w:eastAsia="zh-CN" w:bidi="ar-SA"/>
        </w:rPr>
        <w:t>．投标人资格要求</w:t>
      </w:r>
      <w:bookmarkEnd w:id="2"/>
    </w:p>
    <w:p w14:paraId="15FDFEAC">
      <w:pPr>
        <w:spacing w:line="440" w:lineRule="exact"/>
        <w:rPr>
          <w:rFonts w:ascii="宋体" w:hAnsi="宋体" w:eastAsia="宋体" w:cs="Times New Roman"/>
          <w:color w:val="auto"/>
          <w:szCs w:val="21"/>
          <w:highlight w:val="none"/>
        </w:rPr>
      </w:pP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rPr>
        <w:t xml:space="preserve">.1 </w:t>
      </w:r>
      <w:r>
        <w:rPr>
          <w:rFonts w:hint="eastAsia" w:ascii="宋体" w:hAnsi="宋体" w:eastAsia="宋体" w:cs="Times New Roman"/>
          <w:color w:val="auto"/>
          <w:szCs w:val="21"/>
          <w:highlight w:val="none"/>
          <w:lang w:eastAsia="zh-CN"/>
        </w:rPr>
        <w:t>投标人</w:t>
      </w:r>
      <w:r>
        <w:rPr>
          <w:rFonts w:hint="eastAsia" w:ascii="宋体" w:hAnsi="宋体" w:eastAsia="宋体" w:cs="Times New Roman"/>
          <w:color w:val="auto"/>
          <w:szCs w:val="21"/>
          <w:highlight w:val="none"/>
        </w:rPr>
        <w:t>须具备:</w:t>
      </w:r>
    </w:p>
    <w:p w14:paraId="3F0721C7">
      <w:pPr>
        <w:spacing w:line="440" w:lineRule="exact"/>
        <w:rPr>
          <w:rFonts w:hint="eastAsia" w:ascii="宋体" w:hAnsi="宋体" w:eastAsia="宋体" w:cs="Times New Roman"/>
          <w:color w:val="auto"/>
          <w:szCs w:val="21"/>
          <w:highlight w:val="none"/>
          <w:u w:val="single"/>
        </w:rPr>
      </w:pPr>
      <w:bookmarkStart w:id="3" w:name="_Hlk120086776"/>
      <w:r>
        <w:rPr>
          <w:rFonts w:hint="eastAsia" w:ascii="宋体" w:hAnsi="宋体" w:eastAsia="宋体" w:cs="Times New Roman"/>
          <w:color w:val="auto"/>
          <w:szCs w:val="21"/>
          <w:highlight w:val="none"/>
          <w:u w:val="single"/>
        </w:rPr>
        <w:t>1.符合运营投标项目所需的国家规定的相关资质条件（三证合一的营业执照；供应商还应具备有效的含食品或饮品制售类经营许可证等相关销售许可证）；</w:t>
      </w:r>
    </w:p>
    <w:p w14:paraId="4DA46921">
      <w:pPr>
        <w:spacing w:line="440" w:lineRule="exact"/>
        <w:rPr>
          <w:rFonts w:hint="eastAsia" w:ascii="宋体" w:hAnsi="宋体" w:eastAsia="宋体" w:cs="Times New Roman"/>
          <w:color w:val="auto"/>
          <w:szCs w:val="21"/>
          <w:highlight w:val="none"/>
          <w:u w:val="single"/>
          <w:lang w:val="en-US" w:eastAsia="zh-CN"/>
        </w:rPr>
      </w:pPr>
      <w:r>
        <w:rPr>
          <w:rFonts w:hint="eastAsia" w:ascii="宋体" w:hAnsi="宋体" w:eastAsia="宋体" w:cs="Times New Roman"/>
          <w:color w:val="auto"/>
          <w:szCs w:val="21"/>
          <w:highlight w:val="none"/>
          <w:u w:val="single"/>
        </w:rPr>
        <w:t>2.财务要求：财务状况良好，具备履行合同的能力，提供近两年（202</w:t>
      </w:r>
      <w:r>
        <w:rPr>
          <w:rFonts w:hint="eastAsia" w:ascii="宋体" w:hAnsi="宋体" w:eastAsia="宋体" w:cs="Times New Roman"/>
          <w:color w:val="auto"/>
          <w:szCs w:val="21"/>
          <w:highlight w:val="none"/>
          <w:u w:val="single"/>
          <w:lang w:val="en-US" w:eastAsia="zh-CN"/>
        </w:rPr>
        <w:t>3</w:t>
      </w:r>
      <w:r>
        <w:rPr>
          <w:rFonts w:hint="eastAsia" w:ascii="宋体" w:hAnsi="宋体" w:eastAsia="宋体" w:cs="Times New Roman"/>
          <w:color w:val="auto"/>
          <w:szCs w:val="21"/>
          <w:highlight w:val="none"/>
          <w:u w:val="single"/>
        </w:rPr>
        <w:t>年、202</w:t>
      </w:r>
      <w:r>
        <w:rPr>
          <w:rFonts w:hint="eastAsia" w:ascii="宋体" w:hAnsi="宋体" w:eastAsia="宋体" w:cs="Times New Roman"/>
          <w:color w:val="auto"/>
          <w:szCs w:val="21"/>
          <w:highlight w:val="none"/>
          <w:u w:val="single"/>
          <w:lang w:val="en-US" w:eastAsia="zh-CN"/>
        </w:rPr>
        <w:t>4</w:t>
      </w:r>
      <w:r>
        <w:rPr>
          <w:rFonts w:hint="eastAsia" w:ascii="宋体" w:hAnsi="宋体" w:eastAsia="宋体" w:cs="Times New Roman"/>
          <w:color w:val="auto"/>
          <w:szCs w:val="21"/>
          <w:highlight w:val="none"/>
          <w:u w:val="single"/>
        </w:rPr>
        <w:t>年）的财务报表（成立未满两年的，提供自成立之日起至今的财务审计报告；成立未满一年的，提供银行资信证明）。</w:t>
      </w:r>
    </w:p>
    <w:p w14:paraId="50586FC4">
      <w:pPr>
        <w:spacing w:line="440" w:lineRule="exac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3.信誉要求：</w:t>
      </w:r>
    </w:p>
    <w:p w14:paraId="3863F6C4">
      <w:pPr>
        <w:spacing w:line="440" w:lineRule="exac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（1）投标人未被“信用中国”网站(www.creditchina.gov.cn) 列入失信被执行人、</w:t>
      </w:r>
      <w:r>
        <w:rPr>
          <w:rFonts w:hint="eastAsia" w:ascii="宋体" w:hAnsi="宋体" w:eastAsia="宋体" w:cs="Times New Roman"/>
          <w:color w:val="auto"/>
          <w:szCs w:val="21"/>
          <w:highlight w:val="none"/>
          <w:u w:val="single"/>
          <w:lang w:eastAsia="zh-CN"/>
        </w:rPr>
        <w:t>重大税收违法失信主体</w:t>
      </w:r>
      <w:r>
        <w:rPr>
          <w:rFonts w:hint="eastAsia" w:ascii="宋体" w:hAnsi="宋体" w:eastAsia="宋体" w:cs="Times New Roman"/>
          <w:color w:val="auto"/>
          <w:szCs w:val="21"/>
          <w:highlight w:val="none"/>
          <w:u w:val="single"/>
        </w:rPr>
        <w:t>、政府</w:t>
      </w:r>
      <w:r>
        <w:rPr>
          <w:rFonts w:hint="eastAsia" w:ascii="宋体" w:hAnsi="宋体" w:eastAsia="宋体" w:cs="Times New Roman"/>
          <w:color w:val="auto"/>
          <w:szCs w:val="21"/>
          <w:highlight w:val="none"/>
          <w:u w:val="single"/>
          <w:lang w:val="en-US" w:eastAsia="zh-CN"/>
        </w:rPr>
        <w:t>采购</w:t>
      </w:r>
      <w:r>
        <w:rPr>
          <w:rFonts w:hint="eastAsia" w:ascii="宋体" w:hAnsi="宋体" w:eastAsia="宋体" w:cs="Times New Roman"/>
          <w:color w:val="auto"/>
          <w:szCs w:val="21"/>
          <w:highlight w:val="none"/>
          <w:u w:val="single"/>
        </w:rPr>
        <w:t>严重违法失信行为记录名单及中国政府</w:t>
      </w:r>
      <w:r>
        <w:rPr>
          <w:rFonts w:hint="eastAsia" w:ascii="宋体" w:hAnsi="宋体" w:eastAsia="宋体" w:cs="Times New Roman"/>
          <w:color w:val="auto"/>
          <w:szCs w:val="21"/>
          <w:highlight w:val="none"/>
          <w:u w:val="single"/>
          <w:lang w:val="en-US" w:eastAsia="zh-CN"/>
        </w:rPr>
        <w:t>采购</w:t>
      </w:r>
      <w:r>
        <w:rPr>
          <w:rFonts w:hint="eastAsia" w:ascii="宋体" w:hAnsi="宋体" w:eastAsia="宋体" w:cs="Times New Roman"/>
          <w:color w:val="auto"/>
          <w:szCs w:val="21"/>
          <w:highlight w:val="none"/>
          <w:u w:val="single"/>
        </w:rPr>
        <w:t>网(www.ccgp.gov.cn)政府</w:t>
      </w:r>
      <w:r>
        <w:rPr>
          <w:rFonts w:hint="eastAsia" w:ascii="宋体" w:hAnsi="宋体" w:eastAsia="宋体" w:cs="Times New Roman"/>
          <w:color w:val="auto"/>
          <w:szCs w:val="21"/>
          <w:highlight w:val="none"/>
          <w:u w:val="single"/>
          <w:lang w:val="en-US" w:eastAsia="zh-CN"/>
        </w:rPr>
        <w:t>采购</w:t>
      </w:r>
      <w:r>
        <w:rPr>
          <w:rFonts w:hint="eastAsia" w:ascii="宋体" w:hAnsi="宋体" w:eastAsia="宋体" w:cs="Times New Roman"/>
          <w:color w:val="auto"/>
          <w:szCs w:val="21"/>
          <w:highlight w:val="none"/>
          <w:u w:val="single"/>
        </w:rPr>
        <w:t>严重违法失信行为记录名单（提供信用记录查询截图及承诺函加盖公章）。</w:t>
      </w:r>
    </w:p>
    <w:p w14:paraId="112C9536">
      <w:pPr>
        <w:spacing w:line="440" w:lineRule="exac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（2）在以前的经营活动中未出现过以商业贿赂等不正当竞争手段取得经营权的记录、无违法记录、无商标侵权行为、无虚假广告行为、无不正当竞争行为（提供承诺书，格式自拟）。</w:t>
      </w:r>
    </w:p>
    <w:p w14:paraId="42D5B169">
      <w:pPr>
        <w:spacing w:line="440" w:lineRule="exac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（3）投标人应针对《湖北机场集团“投标人不良行为”管理暂行办法（试行）》在投标文件中出示承诺书。（提供承诺函）</w:t>
      </w:r>
    </w:p>
    <w:p w14:paraId="26A50220">
      <w:pPr>
        <w:spacing w:line="440" w:lineRule="exact"/>
        <w:rPr>
          <w:rFonts w:hint="eastAsia" w:ascii="宋体" w:hAnsi="宋体" w:eastAsia="宋体" w:cs="Times New Roman"/>
          <w:color w:val="auto"/>
          <w:szCs w:val="21"/>
          <w:highlight w:val="none"/>
          <w:u w:val="single"/>
          <w:lang w:eastAsia="zh-CN"/>
        </w:rPr>
      </w:pPr>
      <w:r>
        <w:rPr>
          <w:rFonts w:hint="eastAsia" w:ascii="宋体" w:hAnsi="宋体" w:eastAsia="宋体" w:cs="Times New Roman"/>
          <w:color w:val="auto"/>
          <w:szCs w:val="21"/>
          <w:highlight w:val="none"/>
          <w:u w:val="single"/>
          <w:lang w:eastAsia="zh-CN"/>
        </w:rPr>
        <w:t>（</w:t>
      </w:r>
      <w:r>
        <w:rPr>
          <w:rFonts w:hint="eastAsia" w:ascii="宋体" w:hAnsi="宋体" w:eastAsia="宋体" w:cs="Times New Roman"/>
          <w:color w:val="auto"/>
          <w:szCs w:val="21"/>
          <w:highlight w:val="none"/>
          <w:u w:val="single"/>
          <w:lang w:val="en-US" w:eastAsia="zh-CN"/>
        </w:rPr>
        <w:t>4</w:t>
      </w:r>
      <w:r>
        <w:rPr>
          <w:rFonts w:hint="eastAsia" w:ascii="宋体" w:hAnsi="宋体" w:eastAsia="宋体" w:cs="Times New Roman"/>
          <w:color w:val="auto"/>
          <w:szCs w:val="21"/>
          <w:highlight w:val="none"/>
          <w:u w:val="single"/>
          <w:lang w:eastAsia="zh-CN"/>
        </w:rPr>
        <w:t>）</w:t>
      </w:r>
      <w:r>
        <w:rPr>
          <w:rFonts w:hint="eastAsia" w:ascii="宋体" w:hAnsi="宋体" w:eastAsia="宋体" w:cs="Times New Roman"/>
          <w:color w:val="auto"/>
          <w:szCs w:val="21"/>
          <w:highlight w:val="none"/>
          <w:u w:val="single"/>
        </w:rPr>
        <w:t>投标人</w:t>
      </w:r>
      <w:r>
        <w:rPr>
          <w:rFonts w:hint="eastAsia" w:ascii="宋体" w:hAnsi="宋体" w:eastAsia="宋体" w:cs="Times New Roman"/>
          <w:color w:val="auto"/>
          <w:szCs w:val="21"/>
          <w:highlight w:val="none"/>
          <w:u w:val="single"/>
          <w:lang w:eastAsia="zh-CN"/>
        </w:rPr>
        <w:t>须承诺所售品牌商品要保持同城同质同价或与就近区域价格相当。（投标人自行提供</w:t>
      </w:r>
      <w:r>
        <w:rPr>
          <w:rFonts w:hint="eastAsia" w:ascii="宋体" w:hAnsi="宋体" w:eastAsia="宋体" w:cs="Times New Roman"/>
          <w:color w:val="auto"/>
          <w:szCs w:val="21"/>
          <w:highlight w:val="none"/>
          <w:u w:val="single"/>
        </w:rPr>
        <w:t>承诺函</w:t>
      </w:r>
      <w:r>
        <w:rPr>
          <w:rFonts w:hint="eastAsia" w:ascii="宋体" w:hAnsi="宋体" w:eastAsia="宋体" w:cs="Times New Roman"/>
          <w:color w:val="auto"/>
          <w:szCs w:val="21"/>
          <w:highlight w:val="none"/>
          <w:u w:val="single"/>
          <w:lang w:eastAsia="zh-CN"/>
        </w:rPr>
        <w:t>）</w:t>
      </w:r>
    </w:p>
    <w:bookmarkEnd w:id="3"/>
    <w:p w14:paraId="3DEB4CDA">
      <w:pPr>
        <w:spacing w:line="440" w:lineRule="exact"/>
        <w:rPr>
          <w:rFonts w:ascii="宋体" w:hAnsi="宋体" w:eastAsia="宋体" w:cs="Times New Roman"/>
          <w:color w:val="auto"/>
          <w:szCs w:val="21"/>
          <w:highlight w:val="none"/>
        </w:rPr>
      </w:pP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rPr>
        <w:t>.2本次</w:t>
      </w:r>
      <w:r>
        <w:rPr>
          <w:rFonts w:hint="eastAsia" w:ascii="宋体" w:hAnsi="宋体" w:eastAsia="宋体" w:cs="Times New Roman"/>
          <w:color w:val="auto"/>
          <w:szCs w:val="21"/>
          <w:highlight w:val="none"/>
          <w:lang w:eastAsia="zh-CN"/>
        </w:rPr>
        <w:t>招商</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rPr>
        <w:t>不接受</w:t>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Times New Roman"/>
          <w:color w:val="auto"/>
          <w:szCs w:val="21"/>
          <w:highlight w:val="none"/>
        </w:rPr>
        <w:t>联合体。</w:t>
      </w:r>
    </w:p>
    <w:p w14:paraId="448603F9">
      <w:pPr>
        <w:keepNext/>
        <w:keepLines/>
        <w:widowControl w:val="0"/>
        <w:spacing w:before="260" w:after="260" w:line="360" w:lineRule="exact"/>
        <w:jc w:val="both"/>
        <w:outlineLvl w:val="1"/>
        <w:rPr>
          <w:rFonts w:ascii="Calibri Light" w:hAnsi="Calibri Light" w:eastAsia="宋体" w:cs="Times New Roman"/>
          <w:b/>
          <w:bCs/>
          <w:color w:val="auto"/>
          <w:kern w:val="2"/>
          <w:sz w:val="21"/>
          <w:szCs w:val="21"/>
          <w:highlight w:val="none"/>
          <w:lang w:val="en-US" w:eastAsia="zh-CN" w:bidi="ar-SA"/>
        </w:rPr>
      </w:pPr>
      <w:bookmarkStart w:id="4" w:name="_Toc23551"/>
      <w:r>
        <w:rPr>
          <w:rFonts w:hint="eastAsia" w:ascii="Calibri Light" w:hAnsi="Calibri Light" w:eastAsia="宋体" w:cs="Times New Roman"/>
          <w:b/>
          <w:bCs/>
          <w:color w:val="auto"/>
          <w:kern w:val="2"/>
          <w:sz w:val="21"/>
          <w:szCs w:val="21"/>
          <w:highlight w:val="none"/>
          <w:lang w:val="en-US" w:eastAsia="zh-CN" w:bidi="ar-SA"/>
        </w:rPr>
        <w:t>3．招商文件的获取</w:t>
      </w:r>
      <w:bookmarkEnd w:id="4"/>
    </w:p>
    <w:p w14:paraId="5786B7F0">
      <w:pPr>
        <w:tabs>
          <w:tab w:val="left" w:pos="0"/>
        </w:tabs>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rPr>
        <w:t xml:space="preserve">1 </w:t>
      </w:r>
      <w:r>
        <w:rPr>
          <w:rFonts w:hint="eastAsia" w:ascii="宋体" w:hAnsi="宋体" w:eastAsia="宋体" w:cs="Times New Roman"/>
          <w:color w:val="auto"/>
          <w:szCs w:val="21"/>
          <w:highlight w:val="none"/>
        </w:rPr>
        <w:t>文件获取开始时间：</w:t>
      </w:r>
      <w:r>
        <w:rPr>
          <w:rFonts w:hint="eastAsia" w:ascii="宋体" w:hAnsi="宋体" w:eastAsia="宋体" w:cs="Times New Roman"/>
          <w:color w:val="auto"/>
          <w:szCs w:val="21"/>
          <w:highlight w:val="none"/>
          <w:u w:val="single"/>
          <w:lang w:val="en-US" w:eastAsia="zh-CN"/>
        </w:rPr>
        <w:t>2026</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lang w:val="en-US" w:eastAsia="zh-CN"/>
        </w:rPr>
        <w:t>01</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lang w:val="en-US" w:eastAsia="zh-CN"/>
        </w:rPr>
        <w:t>09</w:t>
      </w:r>
      <w:r>
        <w:rPr>
          <w:rFonts w:hint="eastAsia" w:ascii="宋体" w:hAnsi="宋体" w:eastAsia="宋体" w:cs="Times New Roman"/>
          <w:color w:val="auto"/>
          <w:szCs w:val="21"/>
          <w:highlight w:val="none"/>
        </w:rPr>
        <w:t>日</w:t>
      </w:r>
      <w:r>
        <w:rPr>
          <w:rFonts w:hint="eastAsia" w:ascii="宋体" w:hAnsi="宋体" w:eastAsia="宋体" w:cs="Times New Roman"/>
          <w:color w:val="auto"/>
          <w:szCs w:val="21"/>
          <w:highlight w:val="none"/>
          <w:u w:val="single"/>
          <w:lang w:val="en-US" w:eastAsia="zh-CN"/>
        </w:rPr>
        <w:t>08</w:t>
      </w:r>
      <w:r>
        <w:rPr>
          <w:rFonts w:hint="eastAsia" w:ascii="宋体" w:hAnsi="宋体" w:eastAsia="宋体" w:cs="Times New Roman"/>
          <w:color w:val="auto"/>
          <w:szCs w:val="21"/>
          <w:highlight w:val="none"/>
        </w:rPr>
        <w:t>时</w:t>
      </w:r>
      <w:r>
        <w:rPr>
          <w:rFonts w:hint="eastAsia" w:ascii="宋体" w:hAnsi="宋体" w:eastAsia="宋体" w:cs="Times New Roman"/>
          <w:color w:val="auto"/>
          <w:szCs w:val="21"/>
          <w:highlight w:val="none"/>
          <w:u w:val="single"/>
          <w:lang w:val="en-US" w:eastAsia="zh-CN"/>
        </w:rPr>
        <w:t>30</w:t>
      </w:r>
      <w:r>
        <w:rPr>
          <w:rFonts w:hint="eastAsia" w:ascii="宋体" w:hAnsi="宋体" w:eastAsia="宋体" w:cs="Times New Roman"/>
          <w:color w:val="auto"/>
          <w:szCs w:val="21"/>
          <w:highlight w:val="none"/>
        </w:rPr>
        <w:t>分（北京时间）</w:t>
      </w:r>
    </w:p>
    <w:p w14:paraId="0C940A1E">
      <w:pPr>
        <w:tabs>
          <w:tab w:val="left" w:pos="0"/>
        </w:tabs>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文件获取截止时间：</w:t>
      </w:r>
      <w:r>
        <w:rPr>
          <w:rFonts w:hint="eastAsia" w:ascii="宋体" w:hAnsi="宋体" w:eastAsia="宋体" w:cs="Times New Roman"/>
          <w:color w:val="auto"/>
          <w:szCs w:val="21"/>
          <w:highlight w:val="none"/>
          <w:u w:val="single"/>
          <w:lang w:val="en-US" w:eastAsia="zh-CN"/>
        </w:rPr>
        <w:t>2026</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lang w:val="en-US" w:eastAsia="zh-CN"/>
        </w:rPr>
        <w:t>01</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lang w:val="en-US" w:eastAsia="zh-CN"/>
        </w:rPr>
        <w:t>15</w:t>
      </w:r>
      <w:r>
        <w:rPr>
          <w:rFonts w:hint="eastAsia" w:ascii="宋体" w:hAnsi="宋体" w:eastAsia="宋体" w:cs="Times New Roman"/>
          <w:color w:val="auto"/>
          <w:szCs w:val="21"/>
          <w:highlight w:val="none"/>
        </w:rPr>
        <w:t>日</w:t>
      </w:r>
      <w:r>
        <w:rPr>
          <w:rFonts w:hint="eastAsia" w:ascii="宋体" w:hAnsi="宋体" w:eastAsia="宋体" w:cs="Times New Roman"/>
          <w:color w:val="auto"/>
          <w:szCs w:val="21"/>
          <w:highlight w:val="none"/>
          <w:u w:val="single"/>
          <w:lang w:val="en-US" w:eastAsia="zh-CN"/>
        </w:rPr>
        <w:t>17</w:t>
      </w:r>
      <w:r>
        <w:rPr>
          <w:rFonts w:hint="eastAsia" w:ascii="宋体" w:hAnsi="宋体" w:eastAsia="宋体" w:cs="Times New Roman"/>
          <w:color w:val="auto"/>
          <w:szCs w:val="21"/>
          <w:highlight w:val="none"/>
        </w:rPr>
        <w:t>时</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color w:val="auto"/>
          <w:szCs w:val="21"/>
          <w:highlight w:val="none"/>
        </w:rPr>
        <w:t>分（北京时间）</w:t>
      </w:r>
    </w:p>
    <w:p w14:paraId="0D0A8D8F">
      <w:pPr>
        <w:tabs>
          <w:tab w:val="left" w:pos="0"/>
        </w:tabs>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rPr>
        <w:t>获取方式：</w:t>
      </w:r>
      <w:r>
        <w:rPr>
          <w:rFonts w:ascii="宋体" w:hAnsi="宋体" w:eastAsia="宋体" w:cs="Times New Roman"/>
          <w:color w:val="auto"/>
          <w:szCs w:val="21"/>
          <w:highlight w:val="none"/>
        </w:rPr>
        <w:t xml:space="preserve"> </w:t>
      </w:r>
    </w:p>
    <w:p w14:paraId="60720ED7">
      <w:pPr>
        <w:tabs>
          <w:tab w:val="left" w:pos="0"/>
        </w:tabs>
        <w:spacing w:line="360" w:lineRule="auto"/>
        <w:rPr>
          <w:rFonts w:hint="eastAsia" w:ascii="宋体" w:hAnsi="宋体" w:eastAsia="宋体" w:cs="宋体"/>
          <w:color w:val="auto"/>
          <w:szCs w:val="21"/>
          <w:highlight w:val="none"/>
        </w:rPr>
      </w:pPr>
      <w:bookmarkStart w:id="5" w:name="_Toc23366"/>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现场获取：供应商的委托代理人携带法定代表人授权委托书（如是法定代表人本人，则凭法定代表人身份证明书）、本人身份证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供应商对委托代理人缴纳社会保障资金记录的</w:t>
      </w:r>
      <w:r>
        <w:rPr>
          <w:rFonts w:hint="eastAsia" w:ascii="宋体" w:hAnsi="宋体" w:eastAsia="宋体" w:cs="宋体"/>
          <w:color w:val="auto"/>
          <w:szCs w:val="21"/>
          <w:highlight w:val="none"/>
        </w:rPr>
        <w:t>原件于工作时间到</w:t>
      </w:r>
      <w:r>
        <w:rPr>
          <w:rFonts w:hint="eastAsia" w:ascii="宋体" w:hAnsi="宋体" w:eastAsia="宋体" w:cs="宋体"/>
          <w:color w:val="auto"/>
          <w:szCs w:val="21"/>
          <w:highlight w:val="none"/>
          <w:u w:val="single"/>
        </w:rPr>
        <w:t>襄阳市樊城区邓侯路与航天路交叉口西100米（湖北省成套招标股份有限公司襄阳分公司二楼办公室一）</w:t>
      </w:r>
      <w:r>
        <w:rPr>
          <w:rFonts w:hint="eastAsia" w:ascii="宋体" w:hAnsi="宋体" w:eastAsia="宋体" w:cs="宋体"/>
          <w:color w:val="auto"/>
          <w:szCs w:val="21"/>
          <w:highlight w:val="none"/>
        </w:rPr>
        <w:t>现场获取。</w:t>
      </w:r>
    </w:p>
    <w:p w14:paraId="7890B166">
      <w:pPr>
        <w:tabs>
          <w:tab w:val="left" w:pos="0"/>
        </w:tabs>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3.3信息费：人民币</w:t>
      </w:r>
      <w:r>
        <w:rPr>
          <w:rFonts w:hint="eastAsia" w:ascii="宋体" w:hAnsi="宋体" w:eastAsia="宋体" w:cs="宋体"/>
          <w:color w:val="auto"/>
          <w:szCs w:val="21"/>
          <w:highlight w:val="none"/>
          <w:u w:val="single"/>
          <w:lang w:val="en-US" w:eastAsia="zh-CN"/>
        </w:rPr>
        <w:t>200</w:t>
      </w:r>
      <w:r>
        <w:rPr>
          <w:rFonts w:hint="eastAsia" w:ascii="宋体" w:hAnsi="宋体" w:eastAsia="宋体" w:cs="宋体"/>
          <w:color w:val="auto"/>
          <w:szCs w:val="21"/>
          <w:highlight w:val="none"/>
        </w:rPr>
        <w:t>元/包，售后不退。</w:t>
      </w:r>
    </w:p>
    <w:p w14:paraId="31097236">
      <w:pPr>
        <w:keepNext/>
        <w:keepLines/>
        <w:widowControl w:val="0"/>
        <w:spacing w:before="260" w:after="260" w:line="360" w:lineRule="exact"/>
        <w:jc w:val="both"/>
        <w:outlineLvl w:val="1"/>
        <w:rPr>
          <w:rFonts w:ascii="Calibri Light" w:hAnsi="Calibri Light" w:eastAsia="宋体" w:cs="Times New Roman"/>
          <w:b/>
          <w:bCs/>
          <w:color w:val="auto"/>
          <w:kern w:val="2"/>
          <w:sz w:val="21"/>
          <w:szCs w:val="21"/>
          <w:highlight w:val="none"/>
          <w:lang w:val="en-US" w:eastAsia="zh-CN" w:bidi="ar-SA"/>
        </w:rPr>
      </w:pPr>
      <w:r>
        <w:rPr>
          <w:rFonts w:hint="eastAsia" w:ascii="Calibri Light" w:hAnsi="Calibri Light" w:eastAsia="宋体" w:cs="Times New Roman"/>
          <w:b/>
          <w:bCs/>
          <w:color w:val="auto"/>
          <w:kern w:val="2"/>
          <w:sz w:val="21"/>
          <w:szCs w:val="21"/>
          <w:highlight w:val="none"/>
          <w:lang w:val="en-US" w:eastAsia="zh-CN" w:bidi="ar-SA"/>
        </w:rPr>
        <w:t>4．响应文件的递交</w:t>
      </w:r>
      <w:bookmarkEnd w:id="5"/>
    </w:p>
    <w:p w14:paraId="0BB5B541">
      <w:pPr>
        <w:rPr>
          <w:rFonts w:ascii="Calibri" w:hAnsi="Calibri" w:eastAsia="宋体" w:cs="Times New Roman"/>
          <w:color w:val="auto"/>
          <w:szCs w:val="21"/>
          <w:highlight w:val="none"/>
        </w:rPr>
      </w:pPr>
      <w:r>
        <w:rPr>
          <w:rFonts w:ascii="宋体" w:hAnsi="宋体" w:eastAsia="宋体" w:cs="Times New Roman"/>
          <w:color w:val="auto"/>
          <w:szCs w:val="21"/>
          <w:highlight w:val="none"/>
        </w:rPr>
        <w:t>4</w:t>
      </w:r>
      <w:r>
        <w:rPr>
          <w:rFonts w:hint="eastAsia" w:ascii="宋体" w:hAnsi="宋体" w:eastAsia="宋体" w:cs="Times New Roman"/>
          <w:color w:val="auto"/>
          <w:szCs w:val="21"/>
          <w:highlight w:val="none"/>
        </w:rPr>
        <w:t>.1</w:t>
      </w:r>
      <w:bookmarkStart w:id="6" w:name="_Hlk129264066"/>
      <w:r>
        <w:rPr>
          <w:rFonts w:hint="eastAsia" w:ascii="宋体" w:hAnsi="宋体" w:eastAsia="宋体" w:cs="Times New Roman"/>
          <w:color w:val="auto"/>
          <w:szCs w:val="21"/>
          <w:highlight w:val="none"/>
        </w:rPr>
        <w:t>响应文件递交的</w:t>
      </w:r>
      <w:r>
        <w:rPr>
          <w:rFonts w:hint="eastAsia" w:ascii="Calibri" w:hAnsi="Calibri" w:eastAsia="宋体" w:cs="Times New Roman"/>
          <w:color w:val="auto"/>
          <w:szCs w:val="21"/>
          <w:highlight w:val="none"/>
        </w:rPr>
        <w:t>开始</w:t>
      </w:r>
      <w:r>
        <w:rPr>
          <w:rFonts w:hint="eastAsia" w:ascii="宋体" w:hAnsi="宋体" w:eastAsia="宋体" w:cs="Times New Roman"/>
          <w:color w:val="auto"/>
          <w:szCs w:val="21"/>
          <w:highlight w:val="none"/>
        </w:rPr>
        <w:t>时间：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lang w:val="en-US" w:eastAsia="zh-CN"/>
        </w:rPr>
        <w:t>2026</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lang w:val="en-US" w:eastAsia="zh-CN"/>
        </w:rPr>
        <w:t>01</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lang w:val="en-US" w:eastAsia="zh-CN"/>
        </w:rPr>
        <w:t>21</w:t>
      </w:r>
      <w:r>
        <w:rPr>
          <w:rFonts w:hint="eastAsia" w:ascii="宋体" w:hAnsi="宋体" w:eastAsia="宋体" w:cs="Times New Roman"/>
          <w:color w:val="auto"/>
          <w:szCs w:val="21"/>
          <w:highlight w:val="none"/>
        </w:rPr>
        <w:t>日</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color w:val="auto"/>
          <w:szCs w:val="21"/>
          <w:highlight w:val="none"/>
        </w:rPr>
        <w:t>时</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color w:val="auto"/>
          <w:szCs w:val="21"/>
          <w:highlight w:val="none"/>
        </w:rPr>
        <w:t>分</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color w:val="auto"/>
          <w:szCs w:val="21"/>
          <w:highlight w:val="none"/>
        </w:rPr>
        <w:t>秒</w:t>
      </w:r>
      <w:bookmarkEnd w:id="6"/>
    </w:p>
    <w:p w14:paraId="12012029">
      <w:pPr>
        <w:widowControl w:val="0"/>
        <w:spacing w:line="440" w:lineRule="exact"/>
        <w:ind w:firstLine="0" w:firstLineChars="0"/>
        <w:jc w:val="both"/>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val="en-US" w:eastAsia="zh-CN" w:bidi="ar-SA"/>
        </w:rPr>
        <w:t>4</w:t>
      </w:r>
      <w:r>
        <w:rPr>
          <w:rFonts w:hint="eastAsia" w:ascii="宋体" w:hAnsi="宋体" w:eastAsia="宋体" w:cs="Times New Roman"/>
          <w:color w:val="auto"/>
          <w:kern w:val="2"/>
          <w:sz w:val="21"/>
          <w:szCs w:val="21"/>
          <w:highlight w:val="none"/>
          <w:lang w:val="en-US" w:eastAsia="zh-CN" w:bidi="ar-SA"/>
        </w:rPr>
        <w:t>.2响应文件递交的截止时间：</w:t>
      </w:r>
      <w:r>
        <w:rPr>
          <w:rFonts w:hint="eastAsia" w:ascii="宋体" w:hAnsi="宋体" w:eastAsia="宋体" w:cs="Times New Roman"/>
          <w:color w:val="auto"/>
          <w:kern w:val="2"/>
          <w:sz w:val="21"/>
          <w:szCs w:val="21"/>
          <w:highlight w:val="none"/>
          <w:u w:val="single"/>
          <w:lang w:val="en-US" w:eastAsia="zh-CN" w:bidi="ar-SA"/>
        </w:rPr>
        <w:t xml:space="preserve"> 2026 </w:t>
      </w:r>
      <w:r>
        <w:rPr>
          <w:rFonts w:hint="eastAsia" w:ascii="宋体" w:hAnsi="宋体" w:eastAsia="宋体" w:cs="Times New Roman"/>
          <w:color w:val="auto"/>
          <w:kern w:val="2"/>
          <w:sz w:val="21"/>
          <w:szCs w:val="21"/>
          <w:highlight w:val="none"/>
          <w:lang w:val="en-US" w:eastAsia="zh-CN" w:bidi="ar-SA"/>
        </w:rPr>
        <w:t>年</w:t>
      </w:r>
      <w:r>
        <w:rPr>
          <w:rFonts w:hint="eastAsia" w:ascii="宋体" w:hAnsi="宋体" w:eastAsia="宋体" w:cs="Times New Roman"/>
          <w:color w:val="auto"/>
          <w:kern w:val="2"/>
          <w:sz w:val="21"/>
          <w:szCs w:val="21"/>
          <w:highlight w:val="none"/>
          <w:u w:val="single"/>
          <w:lang w:val="en-US" w:eastAsia="zh-CN" w:bidi="ar-SA"/>
        </w:rPr>
        <w:t>01</w:t>
      </w:r>
      <w:r>
        <w:rPr>
          <w:rFonts w:hint="eastAsia" w:ascii="宋体" w:hAnsi="宋体" w:eastAsia="宋体" w:cs="Times New Roman"/>
          <w:color w:val="auto"/>
          <w:kern w:val="2"/>
          <w:sz w:val="21"/>
          <w:szCs w:val="21"/>
          <w:highlight w:val="none"/>
          <w:lang w:val="en-US" w:eastAsia="zh-CN" w:bidi="ar-SA"/>
        </w:rPr>
        <w:t>月</w:t>
      </w:r>
      <w:r>
        <w:rPr>
          <w:rFonts w:hint="eastAsia" w:ascii="宋体" w:hAnsi="宋体" w:eastAsia="宋体" w:cs="Times New Roman"/>
          <w:color w:val="auto"/>
          <w:kern w:val="2"/>
          <w:sz w:val="21"/>
          <w:szCs w:val="21"/>
          <w:highlight w:val="none"/>
          <w:u w:val="single"/>
          <w:lang w:val="en-US" w:eastAsia="zh-CN" w:bidi="ar-SA"/>
        </w:rPr>
        <w:t>21</w:t>
      </w:r>
      <w:r>
        <w:rPr>
          <w:rFonts w:hint="eastAsia" w:ascii="宋体" w:hAnsi="宋体" w:eastAsia="宋体" w:cs="Times New Roman"/>
          <w:color w:val="auto"/>
          <w:kern w:val="2"/>
          <w:sz w:val="21"/>
          <w:szCs w:val="21"/>
          <w:highlight w:val="none"/>
          <w:lang w:val="en-US" w:eastAsia="zh-CN" w:bidi="ar-SA"/>
        </w:rPr>
        <w:t>日</w:t>
      </w:r>
      <w:r>
        <w:rPr>
          <w:rFonts w:hint="eastAsia" w:ascii="宋体" w:hAnsi="宋体" w:eastAsia="宋体" w:cs="Times New Roman"/>
          <w:color w:val="auto"/>
          <w:kern w:val="2"/>
          <w:sz w:val="21"/>
          <w:szCs w:val="21"/>
          <w:highlight w:val="none"/>
          <w:u w:val="single"/>
          <w:lang w:val="en-US" w:eastAsia="zh-CN" w:bidi="ar-SA"/>
        </w:rPr>
        <w:t>14</w:t>
      </w:r>
      <w:r>
        <w:rPr>
          <w:rFonts w:hint="eastAsia" w:ascii="宋体" w:hAnsi="宋体" w:eastAsia="宋体" w:cs="Times New Roman"/>
          <w:color w:val="auto"/>
          <w:kern w:val="2"/>
          <w:sz w:val="21"/>
          <w:szCs w:val="21"/>
          <w:highlight w:val="none"/>
          <w:lang w:val="en-US" w:eastAsia="zh-CN" w:bidi="ar-SA"/>
        </w:rPr>
        <w:t>时</w:t>
      </w:r>
      <w:r>
        <w:rPr>
          <w:rFonts w:hint="eastAsia" w:ascii="宋体" w:hAnsi="宋体" w:eastAsia="宋体" w:cs="Times New Roman"/>
          <w:color w:val="auto"/>
          <w:kern w:val="2"/>
          <w:sz w:val="21"/>
          <w:szCs w:val="21"/>
          <w:highlight w:val="none"/>
          <w:u w:val="single"/>
          <w:lang w:val="en-US" w:eastAsia="zh-CN" w:bidi="ar-SA"/>
        </w:rPr>
        <w:t>30</w:t>
      </w:r>
      <w:r>
        <w:rPr>
          <w:rFonts w:hint="eastAsia" w:ascii="宋体" w:hAnsi="宋体" w:eastAsia="宋体" w:cs="Times New Roman"/>
          <w:color w:val="auto"/>
          <w:kern w:val="2"/>
          <w:sz w:val="21"/>
          <w:szCs w:val="21"/>
          <w:highlight w:val="none"/>
          <w:lang w:val="en-US" w:eastAsia="zh-CN" w:bidi="ar-SA"/>
        </w:rPr>
        <w:t>分</w:t>
      </w:r>
      <w:r>
        <w:rPr>
          <w:rFonts w:hint="eastAsia" w:ascii="宋体" w:hAnsi="宋体" w:eastAsia="宋体" w:cs="Times New Roman"/>
          <w:color w:val="auto"/>
          <w:kern w:val="2"/>
          <w:sz w:val="21"/>
          <w:szCs w:val="21"/>
          <w:highlight w:val="none"/>
          <w:u w:val="single"/>
          <w:lang w:val="en-US" w:eastAsia="zh-CN" w:bidi="ar-SA"/>
        </w:rPr>
        <w:t>00</w:t>
      </w:r>
      <w:r>
        <w:rPr>
          <w:rFonts w:hint="eastAsia" w:ascii="宋体" w:hAnsi="宋体" w:eastAsia="宋体" w:cs="Times New Roman"/>
          <w:color w:val="auto"/>
          <w:kern w:val="2"/>
          <w:sz w:val="21"/>
          <w:szCs w:val="21"/>
          <w:highlight w:val="none"/>
          <w:lang w:val="en-US" w:eastAsia="zh-CN" w:bidi="ar-SA"/>
        </w:rPr>
        <w:t>秒</w:t>
      </w:r>
    </w:p>
    <w:p w14:paraId="204E16BE">
      <w:pPr>
        <w:widowControl w:val="0"/>
        <w:spacing w:line="440" w:lineRule="exact"/>
        <w:ind w:firstLine="0" w:firstLineChars="0"/>
        <w:jc w:val="both"/>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val="en-US" w:eastAsia="zh-CN" w:bidi="ar-SA"/>
        </w:rPr>
        <w:t>4</w:t>
      </w:r>
      <w:r>
        <w:rPr>
          <w:rFonts w:hint="eastAsia" w:ascii="宋体" w:hAnsi="宋体" w:eastAsia="宋体" w:cs="Times New Roman"/>
          <w:color w:val="auto"/>
          <w:kern w:val="2"/>
          <w:sz w:val="21"/>
          <w:szCs w:val="21"/>
          <w:highlight w:val="none"/>
          <w:lang w:val="en-US" w:eastAsia="zh-CN" w:bidi="ar-SA"/>
        </w:rPr>
        <w:t>.3响应文件递交</w:t>
      </w:r>
      <w:r>
        <w:rPr>
          <w:rFonts w:ascii="宋体" w:hAnsi="宋体" w:eastAsia="宋体" w:cs="Times New Roman"/>
          <w:color w:val="auto"/>
          <w:kern w:val="2"/>
          <w:sz w:val="21"/>
          <w:szCs w:val="21"/>
          <w:highlight w:val="none"/>
          <w:lang w:val="en-US" w:eastAsia="zh-CN" w:bidi="ar-SA"/>
        </w:rPr>
        <w:t>地点</w:t>
      </w:r>
      <w:r>
        <w:rPr>
          <w:rFonts w:hint="eastAsia" w:ascii="宋体" w:hAnsi="宋体" w:eastAsia="宋体" w:cs="Times New Roman"/>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u w:val="single"/>
          <w:lang w:val="en-US" w:eastAsia="zh-CN" w:bidi="ar-SA"/>
        </w:rPr>
        <w:t>襄阳市樊城区邓侯路与航天路交叉口西100米（湖北省成套招标股份有限公司襄阳分公司二楼开标室一）</w:t>
      </w:r>
    </w:p>
    <w:p w14:paraId="423198A0">
      <w:pPr>
        <w:widowControl w:val="0"/>
        <w:spacing w:line="440" w:lineRule="exact"/>
        <w:ind w:firstLine="0" w:firstLineChars="0"/>
        <w:jc w:val="both"/>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val="en-US" w:eastAsia="zh-CN" w:bidi="ar-SA"/>
        </w:rPr>
        <w:t>4</w:t>
      </w:r>
      <w:r>
        <w:rPr>
          <w:rFonts w:hint="eastAsia" w:ascii="宋体" w:hAnsi="宋体" w:eastAsia="宋体" w:cs="Times New Roman"/>
          <w:color w:val="auto"/>
          <w:kern w:val="2"/>
          <w:sz w:val="21"/>
          <w:szCs w:val="21"/>
          <w:highlight w:val="none"/>
          <w:lang w:val="en-US" w:eastAsia="zh-CN" w:bidi="ar-SA"/>
        </w:rPr>
        <w:t>.4其他要求 ：</w:t>
      </w:r>
      <w:r>
        <w:rPr>
          <w:rFonts w:ascii="宋体" w:hAnsi="宋体" w:eastAsia="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u w:val="single"/>
          <w:lang w:val="en-US" w:eastAsia="zh-CN" w:bidi="ar-SA"/>
        </w:rPr>
        <w:t>无</w:t>
      </w:r>
      <w:r>
        <w:rPr>
          <w:rFonts w:ascii="宋体" w:hAnsi="宋体" w:eastAsia="宋体" w:cs="Times New Roman"/>
          <w:color w:val="auto"/>
          <w:kern w:val="2"/>
          <w:sz w:val="21"/>
          <w:szCs w:val="21"/>
          <w:highlight w:val="none"/>
          <w:u w:val="single"/>
          <w:lang w:val="en-US" w:eastAsia="zh-CN" w:bidi="ar-SA"/>
        </w:rPr>
        <w:t xml:space="preserve">       </w:t>
      </w:r>
      <w:r>
        <w:rPr>
          <w:rFonts w:ascii="宋体" w:hAnsi="宋体" w:eastAsia="宋体" w:cs="Times New Roman"/>
          <w:color w:val="auto"/>
          <w:kern w:val="2"/>
          <w:sz w:val="21"/>
          <w:szCs w:val="21"/>
          <w:highlight w:val="none"/>
          <w:lang w:val="en-US" w:eastAsia="zh-CN" w:bidi="ar-SA"/>
        </w:rPr>
        <w:t xml:space="preserve">  </w:t>
      </w:r>
    </w:p>
    <w:p w14:paraId="45CB4849">
      <w:pPr>
        <w:keepNext/>
        <w:keepLines/>
        <w:widowControl w:val="0"/>
        <w:spacing w:before="260" w:after="260" w:line="340" w:lineRule="exact"/>
        <w:jc w:val="both"/>
        <w:outlineLvl w:val="1"/>
        <w:rPr>
          <w:rFonts w:ascii="Calibri Light" w:hAnsi="Calibri Light" w:eastAsia="宋体" w:cs="Times New Roman"/>
          <w:b/>
          <w:bCs/>
          <w:color w:val="auto"/>
          <w:kern w:val="2"/>
          <w:sz w:val="21"/>
          <w:szCs w:val="21"/>
          <w:highlight w:val="none"/>
          <w:lang w:val="en-US" w:eastAsia="zh-CN" w:bidi="ar-SA"/>
        </w:rPr>
      </w:pPr>
      <w:bookmarkStart w:id="7" w:name="_Toc8158"/>
      <w:r>
        <w:rPr>
          <w:rFonts w:hint="eastAsia" w:ascii="Calibri Light" w:hAnsi="Calibri Light" w:eastAsia="宋体" w:cs="Times New Roman"/>
          <w:b/>
          <w:bCs/>
          <w:color w:val="auto"/>
          <w:kern w:val="2"/>
          <w:sz w:val="21"/>
          <w:szCs w:val="21"/>
          <w:highlight w:val="none"/>
          <w:lang w:val="en-US" w:eastAsia="zh-CN" w:bidi="ar-SA"/>
        </w:rPr>
        <w:t>5．开启</w:t>
      </w:r>
      <w:bookmarkEnd w:id="7"/>
    </w:p>
    <w:p w14:paraId="644E8524">
      <w:pPr>
        <w:rPr>
          <w:rFonts w:ascii="Calibri" w:hAnsi="Calibri" w:eastAsia="宋体" w:cs="Times New Roman"/>
          <w:color w:val="auto"/>
          <w:szCs w:val="21"/>
          <w:highlight w:val="none"/>
        </w:rPr>
      </w:pPr>
      <w:r>
        <w:rPr>
          <w:rFonts w:ascii="宋体" w:hAnsi="宋体" w:eastAsia="宋体" w:cs="Times New Roman"/>
          <w:color w:val="auto"/>
          <w:szCs w:val="21"/>
          <w:highlight w:val="none"/>
        </w:rPr>
        <w:t>5</w:t>
      </w:r>
      <w:r>
        <w:rPr>
          <w:rFonts w:hint="eastAsia" w:ascii="宋体" w:hAnsi="宋体" w:eastAsia="宋体" w:cs="Times New Roman"/>
          <w:color w:val="auto"/>
          <w:szCs w:val="21"/>
          <w:highlight w:val="none"/>
        </w:rPr>
        <w:t>.1</w:t>
      </w:r>
      <w:r>
        <w:rPr>
          <w:rFonts w:ascii="宋体" w:hAnsi="宋体" w:eastAsia="宋体" w:cs="Times New Roman"/>
          <w:color w:val="auto"/>
          <w:szCs w:val="21"/>
          <w:highlight w:val="none"/>
        </w:rPr>
        <w:t>时间</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u w:val="single"/>
          <w:lang w:val="en-US" w:eastAsia="zh-CN"/>
        </w:rPr>
        <w:t>2026</w:t>
      </w:r>
      <w:r>
        <w:rPr>
          <w:rFonts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lang w:val="en-US" w:eastAsia="zh-CN"/>
        </w:rPr>
        <w:t>01</w:t>
      </w:r>
      <w:r>
        <w:rPr>
          <w:rFonts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lang w:val="en-US" w:eastAsia="zh-CN"/>
        </w:rPr>
        <w:t>21</w:t>
      </w:r>
      <w:r>
        <w:rPr>
          <w:rFonts w:ascii="宋体" w:hAnsi="宋体" w:eastAsia="宋体" w:cs="Times New Roman"/>
          <w:color w:val="auto"/>
          <w:szCs w:val="21"/>
          <w:highlight w:val="none"/>
        </w:rPr>
        <w:t>日</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rPr>
        <w:t>时</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lang w:val="en-US" w:eastAsia="zh-CN"/>
        </w:rPr>
        <w:t>30</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rPr>
        <w:t>分</w:t>
      </w:r>
      <w:r>
        <w:rPr>
          <w:rFonts w:ascii="宋体" w:hAnsi="宋体" w:eastAsia="宋体" w:cs="Times New Roman"/>
          <w:color w:val="auto"/>
          <w:szCs w:val="21"/>
          <w:highlight w:val="none"/>
          <w:u w:val="single"/>
        </w:rPr>
        <w:t xml:space="preserve">00 </w:t>
      </w:r>
      <w:r>
        <w:rPr>
          <w:rFonts w:hint="eastAsia" w:ascii="宋体" w:hAnsi="宋体" w:eastAsia="宋体" w:cs="Times New Roman"/>
          <w:color w:val="auto"/>
          <w:szCs w:val="21"/>
          <w:highlight w:val="none"/>
        </w:rPr>
        <w:t>秒</w:t>
      </w:r>
    </w:p>
    <w:p w14:paraId="601537F8">
      <w:pPr>
        <w:widowControl w:val="0"/>
        <w:spacing w:line="440" w:lineRule="exact"/>
        <w:ind w:firstLine="0" w:firstLineChars="0"/>
        <w:jc w:val="both"/>
        <w:rPr>
          <w:rFonts w:hint="eastAsia" w:ascii="宋体" w:hAnsi="宋体" w:eastAsia="宋体" w:cs="宋体"/>
          <w:color w:val="auto"/>
          <w:kern w:val="2"/>
          <w:sz w:val="21"/>
          <w:szCs w:val="21"/>
          <w:highlight w:val="none"/>
          <w:u w:val="single"/>
          <w:lang w:val="en-US" w:eastAsia="zh-CN" w:bidi="ar-SA"/>
        </w:rPr>
      </w:pPr>
      <w:r>
        <w:rPr>
          <w:rFonts w:ascii="宋体" w:hAnsi="宋体" w:eastAsia="宋体" w:cs="Times New Roman"/>
          <w:color w:val="auto"/>
          <w:kern w:val="2"/>
          <w:sz w:val="21"/>
          <w:szCs w:val="21"/>
          <w:highlight w:val="none"/>
          <w:lang w:val="en-US" w:eastAsia="zh-CN" w:bidi="ar-SA"/>
        </w:rPr>
        <w:t>5</w:t>
      </w:r>
      <w:r>
        <w:rPr>
          <w:rFonts w:hint="eastAsia" w:ascii="宋体" w:hAnsi="宋体" w:eastAsia="宋体" w:cs="Times New Roman"/>
          <w:color w:val="auto"/>
          <w:kern w:val="2"/>
          <w:sz w:val="21"/>
          <w:szCs w:val="21"/>
          <w:highlight w:val="none"/>
          <w:lang w:val="en-US" w:eastAsia="zh-CN" w:bidi="ar-SA"/>
        </w:rPr>
        <w:t>.2地点：</w:t>
      </w:r>
      <w:r>
        <w:rPr>
          <w:rFonts w:hint="eastAsia" w:ascii="宋体" w:hAnsi="宋体" w:eastAsia="宋体" w:cs="宋体"/>
          <w:color w:val="auto"/>
          <w:kern w:val="2"/>
          <w:sz w:val="21"/>
          <w:szCs w:val="21"/>
          <w:highlight w:val="none"/>
          <w:u w:val="single"/>
          <w:lang w:val="en-US" w:eastAsia="zh-CN" w:bidi="ar-SA"/>
        </w:rPr>
        <w:t>襄阳市樊城区邓侯路与航天路交叉口西100米（湖北省成套招标股份有限公司襄阳分公司二楼开标室一）</w:t>
      </w:r>
    </w:p>
    <w:p w14:paraId="6DF69595">
      <w:pPr>
        <w:widowControl w:val="0"/>
        <w:spacing w:line="440" w:lineRule="exact"/>
        <w:ind w:firstLine="0" w:firstLineChars="0"/>
        <w:jc w:val="both"/>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val="en-US" w:eastAsia="zh-CN" w:bidi="ar-SA"/>
        </w:rPr>
        <w:t>5</w:t>
      </w:r>
      <w:r>
        <w:rPr>
          <w:rFonts w:hint="eastAsia" w:ascii="宋体" w:hAnsi="宋体" w:eastAsia="宋体" w:cs="Times New Roman"/>
          <w:color w:val="auto"/>
          <w:kern w:val="2"/>
          <w:sz w:val="21"/>
          <w:szCs w:val="21"/>
          <w:highlight w:val="none"/>
          <w:lang w:val="en-US" w:eastAsia="zh-CN" w:bidi="ar-SA"/>
        </w:rPr>
        <w:t xml:space="preserve">.3其他要求： </w:t>
      </w:r>
      <w:r>
        <w:rPr>
          <w:rFonts w:ascii="宋体" w:hAnsi="宋体" w:eastAsia="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u w:val="single"/>
          <w:lang w:val="en-US" w:eastAsia="zh-CN" w:bidi="ar-SA"/>
        </w:rPr>
        <w:t>无</w:t>
      </w:r>
      <w:r>
        <w:rPr>
          <w:rFonts w:ascii="宋体" w:hAnsi="宋体" w:eastAsia="宋体" w:cs="Times New Roman"/>
          <w:color w:val="auto"/>
          <w:kern w:val="2"/>
          <w:sz w:val="21"/>
          <w:szCs w:val="21"/>
          <w:highlight w:val="none"/>
          <w:u w:val="single"/>
          <w:lang w:val="en-US" w:eastAsia="zh-CN" w:bidi="ar-SA"/>
        </w:rPr>
        <w:t xml:space="preserve">    </w:t>
      </w:r>
    </w:p>
    <w:p w14:paraId="543F076A">
      <w:pPr>
        <w:keepNext/>
        <w:keepLines/>
        <w:widowControl w:val="0"/>
        <w:spacing w:before="260" w:after="260" w:line="340" w:lineRule="exact"/>
        <w:jc w:val="both"/>
        <w:outlineLvl w:val="1"/>
        <w:rPr>
          <w:rFonts w:ascii="Calibri Light" w:hAnsi="Calibri Light" w:eastAsia="宋体" w:cs="Times New Roman"/>
          <w:b/>
          <w:bCs/>
          <w:color w:val="auto"/>
          <w:kern w:val="2"/>
          <w:sz w:val="21"/>
          <w:szCs w:val="21"/>
          <w:highlight w:val="none"/>
          <w:lang w:val="en-US" w:eastAsia="zh-CN" w:bidi="ar-SA"/>
        </w:rPr>
      </w:pPr>
      <w:bookmarkStart w:id="8" w:name="_Toc13112"/>
      <w:r>
        <w:rPr>
          <w:rFonts w:hint="eastAsia" w:ascii="Calibri Light" w:hAnsi="Calibri Light" w:eastAsia="宋体" w:cs="Times New Roman"/>
          <w:b/>
          <w:bCs/>
          <w:color w:val="auto"/>
          <w:kern w:val="2"/>
          <w:sz w:val="21"/>
          <w:szCs w:val="21"/>
          <w:highlight w:val="none"/>
          <w:lang w:val="en-US" w:eastAsia="zh-CN" w:bidi="ar-SA"/>
        </w:rPr>
        <w:t>6．发布公告</w:t>
      </w:r>
      <w:r>
        <w:rPr>
          <w:rFonts w:ascii="Calibri Light" w:hAnsi="Calibri Light" w:eastAsia="宋体" w:cs="Times New Roman"/>
          <w:b/>
          <w:bCs/>
          <w:color w:val="auto"/>
          <w:kern w:val="2"/>
          <w:sz w:val="21"/>
          <w:szCs w:val="21"/>
          <w:highlight w:val="none"/>
          <w:lang w:val="en-US" w:eastAsia="zh-CN" w:bidi="ar-SA"/>
        </w:rPr>
        <w:t>的媒介</w:t>
      </w:r>
      <w:bookmarkEnd w:id="8"/>
    </w:p>
    <w:p w14:paraId="732A5742">
      <w:pPr>
        <w:spacing w:line="276" w:lineRule="auto"/>
        <w:ind w:firstLine="420" w:firstLineChars="200"/>
        <w:rPr>
          <w:rFonts w:ascii="Calibri" w:hAnsi="Calibri" w:eastAsia="宋体" w:cs="Times New Roman"/>
          <w:color w:val="auto"/>
          <w:szCs w:val="21"/>
          <w:highlight w:val="none"/>
        </w:rPr>
      </w:pPr>
      <w:r>
        <w:rPr>
          <w:rFonts w:hint="eastAsia" w:ascii="Calibri" w:hAnsi="Calibri" w:eastAsia="宋体" w:cs="Times New Roman"/>
          <w:color w:val="auto"/>
          <w:szCs w:val="21"/>
          <w:highlight w:val="none"/>
          <w:lang w:eastAsia="zh-CN"/>
        </w:rPr>
        <w:t>招商</w:t>
      </w:r>
      <w:r>
        <w:rPr>
          <w:rFonts w:ascii="Calibri" w:hAnsi="Calibri" w:eastAsia="宋体" w:cs="Times New Roman"/>
          <w:color w:val="auto"/>
          <w:szCs w:val="21"/>
          <w:highlight w:val="none"/>
        </w:rPr>
        <w:t>公告在</w:t>
      </w:r>
      <w:r>
        <w:rPr>
          <w:rFonts w:hint="eastAsia" w:ascii="宋体" w:hAnsi="宋体" w:eastAsia="宋体" w:cs="宋体"/>
          <w:color w:val="auto"/>
          <w:szCs w:val="21"/>
          <w:highlight w:val="none"/>
          <w:u w:val="single"/>
        </w:rPr>
        <w:t>湖北机场集团有限公司官网（http://www.hbairport.com）、湖北机场集团襄阳机场有限责任公司官网（http://www.hbxyairport.com）、中国招标投标公共服务平台（网址：http://www.cebpubservice.com/）</w:t>
      </w:r>
      <w:r>
        <w:rPr>
          <w:rFonts w:hint="eastAsia" w:ascii="宋体" w:hAnsi="宋体" w:eastAsia="宋体" w:cs="宋体"/>
          <w:color w:val="auto"/>
          <w:szCs w:val="21"/>
          <w:highlight w:val="none"/>
          <w:u w:val="single"/>
          <w:lang w:eastAsia="zh"/>
        </w:rPr>
        <w:t>、湖北省成套招标有限公司</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eastAsia="zh"/>
        </w:rPr>
        <w:t>https://hubeibidding.com</w:t>
      </w:r>
      <w:r>
        <w:rPr>
          <w:rFonts w:hint="eastAsia" w:ascii="宋体" w:hAnsi="宋体" w:eastAsia="宋体" w:cs="宋体"/>
          <w:color w:val="auto"/>
          <w:szCs w:val="21"/>
          <w:highlight w:val="none"/>
          <w:u w:val="single"/>
          <w:lang w:eastAsia="zh-CN"/>
        </w:rPr>
        <w:t>）</w:t>
      </w:r>
      <w:r>
        <w:rPr>
          <w:rFonts w:hint="eastAsia" w:ascii="Calibri" w:hAnsi="Calibri" w:eastAsia="宋体" w:cs="Times New Roman"/>
          <w:color w:val="auto"/>
          <w:szCs w:val="21"/>
          <w:highlight w:val="none"/>
        </w:rPr>
        <w:t>上</w:t>
      </w:r>
      <w:r>
        <w:rPr>
          <w:rFonts w:ascii="Calibri" w:hAnsi="Calibri" w:eastAsia="宋体" w:cs="Times New Roman"/>
          <w:color w:val="auto"/>
          <w:szCs w:val="21"/>
          <w:highlight w:val="none"/>
        </w:rPr>
        <w:t>发布。</w:t>
      </w:r>
    </w:p>
    <w:p w14:paraId="7F4D8DF0">
      <w:pPr>
        <w:keepNext/>
        <w:keepLines/>
        <w:widowControl w:val="0"/>
        <w:spacing w:before="260" w:after="260" w:line="340" w:lineRule="exact"/>
        <w:jc w:val="both"/>
        <w:outlineLvl w:val="1"/>
        <w:rPr>
          <w:rFonts w:hint="eastAsia" w:ascii="Calibri Light" w:hAnsi="Calibri Light" w:eastAsia="宋体" w:cs="Times New Roman"/>
          <w:b/>
          <w:bCs/>
          <w:color w:val="auto"/>
          <w:kern w:val="2"/>
          <w:sz w:val="21"/>
          <w:szCs w:val="21"/>
          <w:highlight w:val="none"/>
          <w:lang w:val="en-US" w:eastAsia="zh-CN" w:bidi="ar-SA"/>
        </w:rPr>
      </w:pPr>
      <w:bookmarkStart w:id="9" w:name="_Toc7286"/>
      <w:r>
        <w:rPr>
          <w:rFonts w:hint="eastAsia" w:ascii="Calibri Light" w:hAnsi="Calibri Light" w:eastAsia="宋体" w:cs="Times New Roman"/>
          <w:b/>
          <w:bCs/>
          <w:color w:val="auto"/>
          <w:kern w:val="2"/>
          <w:sz w:val="21"/>
          <w:szCs w:val="21"/>
          <w:highlight w:val="none"/>
          <w:lang w:val="en-US" w:eastAsia="zh-CN" w:bidi="ar-SA"/>
        </w:rPr>
        <w:t>7、监督部门</w:t>
      </w:r>
      <w:bookmarkEnd w:id="9"/>
    </w:p>
    <w:p w14:paraId="55BAA987">
      <w:pPr>
        <w:keepNext/>
        <w:keepLines/>
        <w:pageBreakBefore w:val="0"/>
        <w:widowControl w:val="0"/>
        <w:kinsoku/>
        <w:wordWrap/>
        <w:overflowPunct/>
        <w:topLinePunct w:val="0"/>
        <w:autoSpaceDE/>
        <w:autoSpaceDN/>
        <w:bidi w:val="0"/>
        <w:adjustRightInd/>
        <w:snapToGrid/>
        <w:spacing w:before="260" w:after="260" w:line="340" w:lineRule="exact"/>
        <w:ind w:firstLine="420" w:firstLineChars="200"/>
        <w:jc w:val="both"/>
        <w:textAlignment w:val="auto"/>
        <w:outlineLvl w:val="1"/>
        <w:rPr>
          <w:rFonts w:hint="eastAsia" w:ascii="Calibri Light" w:hAnsi="Calibri Light" w:eastAsia="宋体" w:cs="Times New Roman"/>
          <w:b/>
          <w:bCs/>
          <w:color w:val="auto"/>
          <w:kern w:val="2"/>
          <w:sz w:val="21"/>
          <w:szCs w:val="21"/>
          <w:highlight w:val="none"/>
          <w:lang w:val="en-US" w:eastAsia="zh-CN" w:bidi="ar-SA"/>
        </w:rPr>
      </w:pPr>
      <w:bookmarkStart w:id="10" w:name="_Toc30621"/>
      <w:bookmarkStart w:id="11" w:name="_Toc32127"/>
      <w:bookmarkStart w:id="12" w:name="_Toc25293"/>
      <w:r>
        <w:rPr>
          <w:rFonts w:hint="eastAsia" w:ascii="Calibri" w:hAnsi="Calibri" w:eastAsia="宋体" w:cs="Times New Roman"/>
          <w:b w:val="0"/>
          <w:bCs w:val="0"/>
          <w:color w:val="auto"/>
          <w:kern w:val="2"/>
          <w:sz w:val="21"/>
          <w:szCs w:val="21"/>
          <w:highlight w:val="none"/>
          <w:lang w:val="en-US" w:eastAsia="zh-CN" w:bidi="ar-SA"/>
        </w:rPr>
        <w:t>本招标项目的监督部门为湖北机场集团襄阳机场有限责任公司纪检工作部。</w:t>
      </w:r>
      <w:bookmarkEnd w:id="10"/>
      <w:bookmarkEnd w:id="11"/>
      <w:bookmarkEnd w:id="12"/>
    </w:p>
    <w:p w14:paraId="04E7A25B">
      <w:pPr>
        <w:keepNext/>
        <w:keepLines/>
        <w:widowControl w:val="0"/>
        <w:spacing w:before="260" w:after="260" w:line="340" w:lineRule="exact"/>
        <w:jc w:val="both"/>
        <w:outlineLvl w:val="1"/>
        <w:rPr>
          <w:rFonts w:hint="eastAsia" w:ascii="Calibri" w:hAnsi="Calibri" w:eastAsia="宋体" w:cs="Times New Roman"/>
          <w:b w:val="0"/>
          <w:bCs w:val="0"/>
          <w:color w:val="auto"/>
          <w:kern w:val="2"/>
          <w:sz w:val="21"/>
          <w:szCs w:val="21"/>
          <w:highlight w:val="none"/>
          <w:lang w:val="en-US" w:eastAsia="zh-CN" w:bidi="ar-SA"/>
        </w:rPr>
      </w:pPr>
      <w:bookmarkStart w:id="13" w:name="_Toc1474"/>
      <w:r>
        <w:rPr>
          <w:rFonts w:hint="eastAsia" w:ascii="Calibri Light" w:hAnsi="Calibri Light" w:eastAsia="宋体" w:cs="Times New Roman"/>
          <w:b/>
          <w:bCs/>
          <w:color w:val="auto"/>
          <w:kern w:val="2"/>
          <w:sz w:val="21"/>
          <w:szCs w:val="21"/>
          <w:highlight w:val="none"/>
          <w:lang w:val="en-US" w:eastAsia="zh-CN" w:bidi="ar-SA"/>
        </w:rPr>
        <w:t>8．其他</w:t>
      </w:r>
      <w:bookmarkEnd w:id="13"/>
    </w:p>
    <w:p w14:paraId="06DB5563">
      <w:pPr>
        <w:keepNext/>
        <w:keepLines/>
        <w:pageBreakBefore w:val="0"/>
        <w:widowControl w:val="0"/>
        <w:kinsoku/>
        <w:wordWrap/>
        <w:overflowPunct/>
        <w:topLinePunct w:val="0"/>
        <w:autoSpaceDE/>
        <w:autoSpaceDN/>
        <w:bidi w:val="0"/>
        <w:adjustRightInd/>
        <w:snapToGrid/>
        <w:spacing w:before="260" w:after="260" w:line="340" w:lineRule="exact"/>
        <w:ind w:firstLine="420" w:firstLineChars="200"/>
        <w:jc w:val="both"/>
        <w:textAlignment w:val="auto"/>
        <w:outlineLvl w:val="1"/>
        <w:rPr>
          <w:rFonts w:hint="eastAsia" w:ascii="Calibri" w:hAnsi="Calibri" w:eastAsia="宋体" w:cs="Times New Roman"/>
          <w:b w:val="0"/>
          <w:bCs w:val="0"/>
          <w:color w:val="auto"/>
          <w:kern w:val="2"/>
          <w:sz w:val="21"/>
          <w:szCs w:val="21"/>
          <w:highlight w:val="none"/>
          <w:lang w:val="en-US" w:eastAsia="zh-CN" w:bidi="ar-SA"/>
        </w:rPr>
      </w:pPr>
      <w:bookmarkStart w:id="14" w:name="_Toc1631"/>
      <w:r>
        <w:rPr>
          <w:rFonts w:hint="eastAsia" w:ascii="Calibri" w:hAnsi="Calibri" w:eastAsia="宋体" w:cs="Times New Roman"/>
          <w:b w:val="0"/>
          <w:bCs w:val="0"/>
          <w:color w:val="auto"/>
          <w:kern w:val="2"/>
          <w:sz w:val="21"/>
          <w:szCs w:val="21"/>
          <w:highlight w:val="none"/>
          <w:lang w:val="en-US" w:eastAsia="zh-CN" w:bidi="ar-SA"/>
        </w:rPr>
        <w:t>无</w:t>
      </w:r>
      <w:bookmarkEnd w:id="14"/>
    </w:p>
    <w:p w14:paraId="4A493243">
      <w:pPr>
        <w:keepNext/>
        <w:keepLines/>
        <w:widowControl w:val="0"/>
        <w:spacing w:before="260" w:after="260" w:line="340" w:lineRule="exact"/>
        <w:jc w:val="both"/>
        <w:outlineLvl w:val="1"/>
        <w:rPr>
          <w:rFonts w:ascii="Calibri Light" w:hAnsi="Calibri Light" w:eastAsia="宋体" w:cs="Times New Roman"/>
          <w:b/>
          <w:bCs/>
          <w:color w:val="auto"/>
          <w:kern w:val="2"/>
          <w:sz w:val="21"/>
          <w:szCs w:val="21"/>
          <w:highlight w:val="none"/>
          <w:lang w:val="en-US" w:eastAsia="zh-CN" w:bidi="ar-SA"/>
        </w:rPr>
      </w:pPr>
      <w:bookmarkStart w:id="15" w:name="_Toc9670"/>
      <w:r>
        <w:rPr>
          <w:rFonts w:hint="eastAsia" w:ascii="Calibri Light" w:hAnsi="Calibri Light" w:eastAsia="宋体" w:cs="Times New Roman"/>
          <w:b/>
          <w:bCs/>
          <w:color w:val="auto"/>
          <w:kern w:val="2"/>
          <w:sz w:val="21"/>
          <w:szCs w:val="21"/>
          <w:highlight w:val="none"/>
          <w:lang w:val="en-US" w:eastAsia="zh-CN" w:bidi="ar-SA"/>
        </w:rPr>
        <w:t>9．联系方式</w:t>
      </w:r>
      <w:bookmarkEnd w:id="15"/>
    </w:p>
    <w:p w14:paraId="2B1532C7">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招 商</w:t>
      </w:r>
      <w:r>
        <w:rPr>
          <w:rFonts w:hint="eastAsia" w:ascii="宋体" w:hAnsi="宋体" w:eastAsia="宋体" w:cs="Times New Roman"/>
          <w:color w:val="auto"/>
          <w:szCs w:val="21"/>
          <w:highlight w:val="none"/>
        </w:rPr>
        <w:t xml:space="preserve"> 人：</w:t>
      </w:r>
      <w:r>
        <w:rPr>
          <w:rFonts w:hint="eastAsia" w:ascii="宋体" w:hAnsi="宋体" w:eastAsia="宋体" w:cs="Times New Roman"/>
          <w:color w:val="auto"/>
          <w:szCs w:val="21"/>
          <w:highlight w:val="none"/>
          <w:u w:val="single"/>
        </w:rPr>
        <w:t xml:space="preserve"> </w:t>
      </w:r>
      <w:r>
        <w:rPr>
          <w:rFonts w:hint="eastAsia" w:ascii="宋体" w:hAnsi="宋体" w:eastAsia="宋体" w:cs="宋体"/>
          <w:color w:val="auto"/>
          <w:szCs w:val="21"/>
          <w:highlight w:val="none"/>
          <w:u w:val="single"/>
        </w:rPr>
        <w:t>湖北机场集团襄阳机场有限责任公司</w:t>
      </w:r>
      <w:r>
        <w:rPr>
          <w:rFonts w:hint="eastAsia" w:ascii="宋体" w:hAnsi="宋体" w:eastAsia="宋体" w:cs="Times New Roman"/>
          <w:color w:val="auto"/>
          <w:szCs w:val="21"/>
          <w:highlight w:val="none"/>
          <w:u w:val="single"/>
        </w:rPr>
        <w:t xml:space="preserve"> </w:t>
      </w:r>
    </w:p>
    <w:p w14:paraId="1675EDD5">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地    址：</w:t>
      </w:r>
      <w:r>
        <w:rPr>
          <w:rFonts w:hint="eastAsia" w:ascii="宋体" w:hAnsi="宋体" w:eastAsia="宋体" w:cs="Times New Roman"/>
          <w:color w:val="auto"/>
          <w:szCs w:val="21"/>
          <w:highlight w:val="none"/>
          <w:u w:val="single"/>
        </w:rPr>
        <w:t xml:space="preserve"> 襄阳市高新区刘集机场 </w:t>
      </w:r>
    </w:p>
    <w:p w14:paraId="13CBF1C9">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联 系 人：</w:t>
      </w:r>
      <w:r>
        <w:rPr>
          <w:rFonts w:hint="eastAsia" w:ascii="宋体" w:hAnsi="宋体" w:eastAsia="宋体" w:cs="Times New Roman"/>
          <w:color w:val="auto"/>
          <w:szCs w:val="21"/>
          <w:highlight w:val="none"/>
          <w:u w:val="single"/>
        </w:rPr>
        <w:t xml:space="preserve"> 杨</w:t>
      </w:r>
      <w:r>
        <w:rPr>
          <w:rFonts w:hint="eastAsia" w:ascii="宋体" w:hAnsi="宋体" w:eastAsia="宋体" w:cs="Times New Roman"/>
          <w:color w:val="auto"/>
          <w:szCs w:val="21"/>
          <w:highlight w:val="none"/>
          <w:u w:val="single"/>
          <w:lang w:val="en-US" w:eastAsia="zh-CN"/>
        </w:rPr>
        <w:t xml:space="preserve">工 </w:t>
      </w:r>
    </w:p>
    <w:p w14:paraId="2849E8FD">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联系方式：</w:t>
      </w:r>
      <w:r>
        <w:rPr>
          <w:rFonts w:hint="eastAsia" w:ascii="宋体" w:hAnsi="宋体" w:eastAsia="宋体" w:cs="Times New Roman"/>
          <w:color w:val="auto"/>
          <w:szCs w:val="21"/>
          <w:highlight w:val="none"/>
          <w:u w:val="single"/>
        </w:rPr>
        <w:t xml:space="preserve"> </w:t>
      </w:r>
      <w:r>
        <w:rPr>
          <w:rFonts w:hint="eastAsia" w:ascii="宋体" w:hAnsi="宋体" w:eastAsia="宋体" w:cs="宋体"/>
          <w:color w:val="auto"/>
          <w:szCs w:val="21"/>
          <w:highlight w:val="none"/>
          <w:u w:val="single"/>
        </w:rPr>
        <w:t>0710-3337732</w:t>
      </w:r>
      <w:r>
        <w:rPr>
          <w:rFonts w:hint="eastAsia" w:ascii="宋体" w:hAnsi="宋体" w:eastAsia="宋体" w:cs="宋体"/>
          <w:color w:val="auto"/>
          <w:szCs w:val="21"/>
          <w:highlight w:val="none"/>
          <w:u w:val="single"/>
          <w:lang w:val="en-US" w:eastAsia="zh-CN"/>
        </w:rPr>
        <w:t xml:space="preserve"> </w:t>
      </w:r>
    </w:p>
    <w:p w14:paraId="5C5535C8">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招商</w:t>
      </w:r>
      <w:r>
        <w:rPr>
          <w:rFonts w:hint="eastAsia" w:ascii="宋体" w:hAnsi="宋体" w:eastAsia="宋体" w:cs="Times New Roman"/>
          <w:color w:val="auto"/>
          <w:szCs w:val="21"/>
          <w:highlight w:val="none"/>
        </w:rPr>
        <w:t>代理机构：</w:t>
      </w:r>
      <w:r>
        <w:rPr>
          <w:rFonts w:hint="eastAsia" w:ascii="宋体" w:hAnsi="宋体" w:eastAsia="宋体" w:cs="Times New Roman"/>
          <w:color w:val="auto"/>
          <w:szCs w:val="21"/>
          <w:highlight w:val="none"/>
          <w:u w:val="single"/>
          <w:lang w:eastAsia="zh-CN"/>
        </w:rPr>
        <w:t>湖北省成套招标股份有限公司</w:t>
      </w:r>
    </w:p>
    <w:p w14:paraId="0BC03192">
      <w:pPr>
        <w:spacing w:line="360" w:lineRule="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地    址：</w:t>
      </w:r>
      <w:r>
        <w:rPr>
          <w:rFonts w:hint="eastAsia" w:ascii="宋体" w:hAnsi="宋体" w:eastAsia="宋体" w:cs="宋体"/>
          <w:color w:val="auto"/>
          <w:szCs w:val="21"/>
          <w:highlight w:val="none"/>
          <w:u w:val="single"/>
        </w:rPr>
        <w:t>湖北省武汉市武昌区东湖西路特2号平安财富中心B座7-10楼</w:t>
      </w:r>
    </w:p>
    <w:p w14:paraId="53F64210">
      <w:pPr>
        <w:spacing w:line="360" w:lineRule="auto"/>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联 系 人：</w:t>
      </w:r>
      <w:r>
        <w:rPr>
          <w:rFonts w:hint="eastAsia" w:ascii="宋体" w:hAnsi="宋体" w:eastAsia="宋体" w:cs="宋体"/>
          <w:color w:val="auto"/>
          <w:szCs w:val="21"/>
          <w:highlight w:val="none"/>
          <w:u w:val="single"/>
        </w:rPr>
        <w:t>王工、</w:t>
      </w:r>
      <w:r>
        <w:rPr>
          <w:rFonts w:hint="eastAsia" w:ascii="宋体" w:hAnsi="宋体" w:eastAsia="宋体" w:cs="宋体"/>
          <w:color w:val="auto"/>
          <w:szCs w:val="21"/>
          <w:highlight w:val="none"/>
          <w:u w:val="single"/>
          <w:lang w:val="en-US" w:eastAsia="zh-CN"/>
        </w:rPr>
        <w:t>张工</w:t>
      </w:r>
    </w:p>
    <w:p w14:paraId="79D22FDB">
      <w:pPr>
        <w:spacing w:line="360" w:lineRule="auto"/>
        <w:rPr>
          <w:rFonts w:hint="default" w:ascii="Calibri" w:hAnsi="Calibri" w:eastAsia="宋体" w:cs="Times New Roman"/>
          <w:color w:val="auto"/>
          <w:szCs w:val="22"/>
          <w:highlight w:val="none"/>
          <w:lang w:val="en-US"/>
        </w:rPr>
      </w:pPr>
      <w:r>
        <w:rPr>
          <w:rFonts w:hint="eastAsia" w:ascii="宋体" w:hAnsi="宋体" w:eastAsia="宋体" w:cs="Times New Roman"/>
          <w:color w:val="auto"/>
          <w:szCs w:val="21"/>
          <w:highlight w:val="none"/>
        </w:rPr>
        <w:t>联系电话：</w:t>
      </w:r>
      <w:r>
        <w:rPr>
          <w:rFonts w:hint="eastAsia" w:ascii="宋体" w:hAnsi="宋体" w:eastAsia="宋体" w:cs="宋体"/>
          <w:color w:val="auto"/>
          <w:szCs w:val="21"/>
          <w:highlight w:val="none"/>
          <w:u w:val="single"/>
          <w:lang w:val="en-US" w:eastAsia="zh-CN"/>
        </w:rPr>
        <w:t>15271126985、19072056851</w:t>
      </w:r>
    </w:p>
    <w:p w14:paraId="767631F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mOTNhMTA0MWRjMTNkNzM3ZWJhZjEwZGZhNmJlODIifQ=="/>
  </w:docVars>
  <w:rsids>
    <w:rsidRoot w:val="00000000"/>
    <w:rsid w:val="2F8C6F93"/>
    <w:rsid w:val="7D1B0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1502</Words>
  <Characters>1796</Characters>
  <Lines>0</Lines>
  <Paragraphs>0</Paragraphs>
  <TotalTime>1</TotalTime>
  <ScaleCrop>false</ScaleCrop>
  <LinksUpToDate>false</LinksUpToDate>
  <CharactersWithSpaces>1869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2026-01-07T07:33:00Z</dcterms:created>
  <dc:creator>11841</dc:creator>
  <cp:lastModifiedBy>王耀东</cp:lastModifiedBy>
  <dcterms:modified xsi:type="dcterms:W3CDTF">2026-01-07T08:43:22Z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102D34047AFD4DE3827B2ACC8EECEAA1_12</vt:lpwstr>
  </property>
</Properties>
</file>