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9940" w:type="dxa"/>
        <w:jc w:val="center"/>
        <w:shd w:val="clear" w:color="auto" w:fill="auto"/>
        <w:tblLayout w:type="fixed"/>
        <w:tblCellMar>
          <w:top w:w="0" w:type="dxa"/>
          <w:left w:w="108" w:type="dxa"/>
          <w:bottom w:w="0" w:type="dxa"/>
          <w:right w:w="108" w:type="dxa"/>
        </w:tblCellMar>
      </w:tblPr>
      <w:tblGrid>
        <w:gridCol w:w="9940"/>
      </w:tblGrid>
      <w:tr w14:paraId="76E186DF">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6487BBFF">
            <w:pPr>
              <w:jc w:val="left"/>
              <w:rPr>
                <w:rFonts w:ascii="宋体" w:hAnsi="宋体" w:cs="宋体"/>
                <w:color w:val="auto"/>
                <w:spacing w:val="20"/>
                <w:sz w:val="72"/>
                <w:szCs w:val="72"/>
                <w:highlight w:val="none"/>
              </w:rPr>
            </w:pPr>
          </w:p>
          <w:p w14:paraId="5484F225">
            <w:pPr>
              <w:pStyle w:val="33"/>
              <w:ind w:firstLine="420"/>
              <w:rPr>
                <w:rFonts w:hAnsi="宋体" w:cs="宋体"/>
                <w:color w:val="auto"/>
                <w:highlight w:val="none"/>
              </w:rPr>
            </w:pPr>
          </w:p>
          <w:p w14:paraId="6CE26E2A">
            <w:pPr>
              <w:pStyle w:val="11"/>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7E5F5202">
            <w:pPr>
              <w:pStyle w:val="11"/>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CBA8352">
            <w:pPr>
              <w:pStyle w:val="11"/>
              <w:ind w:firstLine="833" w:firstLineChars="395"/>
              <w:rPr>
                <w:rFonts w:hAnsi="宋体" w:cs="宋体"/>
                <w:b/>
                <w:color w:val="auto"/>
                <w:highlight w:val="none"/>
              </w:rPr>
            </w:pPr>
          </w:p>
          <w:p w14:paraId="65A8B5D5">
            <w:pPr>
              <w:pStyle w:val="11"/>
              <w:ind w:firstLine="833" w:firstLineChars="395"/>
              <w:rPr>
                <w:rFonts w:hAnsi="宋体" w:cs="宋体"/>
                <w:b/>
                <w:color w:val="auto"/>
                <w:highlight w:val="none"/>
              </w:rPr>
            </w:pPr>
          </w:p>
          <w:p w14:paraId="2C166E7B">
            <w:pPr>
              <w:pStyle w:val="11"/>
              <w:rPr>
                <w:rFonts w:hAnsi="宋体" w:cs="宋体"/>
                <w:b/>
                <w:color w:val="auto"/>
                <w:highlight w:val="none"/>
              </w:rPr>
            </w:pPr>
          </w:p>
          <w:tbl>
            <w:tblPr>
              <w:tblStyle w:val="23"/>
              <w:tblW w:w="0" w:type="auto"/>
              <w:jc w:val="center"/>
              <w:tblLayout w:type="fixed"/>
              <w:tblCellMar>
                <w:top w:w="0" w:type="dxa"/>
                <w:left w:w="108" w:type="dxa"/>
                <w:bottom w:w="0" w:type="dxa"/>
                <w:right w:w="108" w:type="dxa"/>
              </w:tblCellMar>
            </w:tblPr>
            <w:tblGrid>
              <w:gridCol w:w="1865"/>
              <w:gridCol w:w="6540"/>
            </w:tblGrid>
            <w:tr w14:paraId="1DED4451">
              <w:trPr>
                <w:trHeight w:val="1229" w:hRule="atLeast"/>
                <w:jc w:val="center"/>
              </w:trPr>
              <w:tc>
                <w:tcPr>
                  <w:tcW w:w="1865" w:type="dxa"/>
                  <w:noWrap/>
                  <w:vAlign w:val="center"/>
                </w:tcPr>
                <w:p w14:paraId="664697D6">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7920E228">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湖北机场集团恩施机场有限责任公司行李拖斗采购项目</w:t>
                  </w:r>
                </w:p>
              </w:tc>
            </w:tr>
          </w:tbl>
          <w:p w14:paraId="12F13F67">
            <w:pPr>
              <w:pStyle w:val="11"/>
              <w:tabs>
                <w:tab w:val="left" w:pos="703"/>
              </w:tabs>
              <w:ind w:firstLine="480"/>
              <w:rPr>
                <w:rFonts w:hAnsi="宋体" w:cs="宋体"/>
                <w:color w:val="auto"/>
                <w:sz w:val="24"/>
                <w:szCs w:val="24"/>
                <w:highlight w:val="none"/>
              </w:rPr>
            </w:pPr>
          </w:p>
          <w:p w14:paraId="38F12C5E">
            <w:pPr>
              <w:pStyle w:val="11"/>
              <w:tabs>
                <w:tab w:val="left" w:pos="703"/>
              </w:tabs>
              <w:ind w:firstLine="480"/>
              <w:rPr>
                <w:rFonts w:hAnsi="宋体" w:cs="宋体"/>
                <w:color w:val="auto"/>
                <w:sz w:val="24"/>
                <w:szCs w:val="24"/>
                <w:highlight w:val="none"/>
              </w:rPr>
            </w:pPr>
          </w:p>
          <w:p w14:paraId="5C243DF6">
            <w:pPr>
              <w:pStyle w:val="11"/>
              <w:tabs>
                <w:tab w:val="left" w:pos="703"/>
              </w:tabs>
              <w:rPr>
                <w:rFonts w:hAnsi="宋体" w:cs="宋体"/>
                <w:color w:val="auto"/>
                <w:sz w:val="24"/>
                <w:szCs w:val="24"/>
                <w:highlight w:val="none"/>
              </w:rPr>
            </w:pPr>
          </w:p>
          <w:p w14:paraId="110543C6">
            <w:pPr>
              <w:pStyle w:val="11"/>
              <w:rPr>
                <w:rFonts w:hAnsi="宋体" w:cs="宋体"/>
                <w:color w:val="auto"/>
                <w:sz w:val="30"/>
                <w:szCs w:val="30"/>
                <w:highlight w:val="none"/>
              </w:rPr>
            </w:pPr>
          </w:p>
          <w:p w14:paraId="75BD7625">
            <w:pPr>
              <w:ind w:firstLine="643"/>
              <w:jc w:val="center"/>
              <w:rPr>
                <w:rFonts w:ascii="宋体" w:hAnsi="宋体" w:cs="宋体"/>
                <w:b/>
                <w:bCs/>
                <w:color w:val="auto"/>
                <w:sz w:val="32"/>
                <w:szCs w:val="32"/>
                <w:highlight w:val="none"/>
              </w:rPr>
            </w:pPr>
          </w:p>
          <w:tbl>
            <w:tblPr>
              <w:tblStyle w:val="23"/>
              <w:tblW w:w="0" w:type="auto"/>
              <w:jc w:val="center"/>
              <w:tblLayout w:type="fixed"/>
              <w:tblCellMar>
                <w:top w:w="0" w:type="dxa"/>
                <w:left w:w="108" w:type="dxa"/>
                <w:bottom w:w="0" w:type="dxa"/>
                <w:right w:w="108" w:type="dxa"/>
              </w:tblCellMar>
            </w:tblPr>
            <w:tblGrid>
              <w:gridCol w:w="1906"/>
              <w:gridCol w:w="5078"/>
            </w:tblGrid>
            <w:tr w14:paraId="0BA87825">
              <w:tblPrEx>
                <w:tblCellMar>
                  <w:top w:w="0" w:type="dxa"/>
                  <w:left w:w="108" w:type="dxa"/>
                  <w:bottom w:w="0" w:type="dxa"/>
                  <w:right w:w="108" w:type="dxa"/>
                </w:tblCellMar>
              </w:tblPrEx>
              <w:trPr>
                <w:trHeight w:val="555" w:hRule="atLeast"/>
                <w:jc w:val="center"/>
              </w:trPr>
              <w:tc>
                <w:tcPr>
                  <w:tcW w:w="1906" w:type="dxa"/>
                  <w:noWrap/>
                </w:tcPr>
                <w:p w14:paraId="1E6EB3DE">
                  <w:pPr>
                    <w:pStyle w:val="11"/>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5E4FA324">
                  <w:pPr>
                    <w:pStyle w:val="11"/>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7CCB0386">
              <w:tblPrEx>
                <w:tblCellMar>
                  <w:top w:w="0" w:type="dxa"/>
                  <w:left w:w="108" w:type="dxa"/>
                  <w:bottom w:w="0" w:type="dxa"/>
                  <w:right w:w="108" w:type="dxa"/>
                </w:tblCellMar>
              </w:tblPrEx>
              <w:trPr>
                <w:trHeight w:val="569" w:hRule="atLeast"/>
                <w:jc w:val="center"/>
              </w:trPr>
              <w:tc>
                <w:tcPr>
                  <w:tcW w:w="1906" w:type="dxa"/>
                  <w:noWrap/>
                </w:tcPr>
                <w:p w14:paraId="562B0A1F">
                  <w:pPr>
                    <w:pStyle w:val="11"/>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5D097F53">
                  <w:pPr>
                    <w:pStyle w:val="11"/>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03日</w:t>
                  </w:r>
                </w:p>
              </w:tc>
            </w:tr>
          </w:tbl>
          <w:p w14:paraId="3E324707">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385E31FC">
      <w:pPr>
        <w:pStyle w:val="61"/>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4B70F282">
      <w:pPr>
        <w:jc w:val="center"/>
        <w:outlineLvl w:val="0"/>
        <w:rPr>
          <w:rFonts w:hint="eastAsia" w:ascii="黑体" w:hAnsi="黑体" w:eastAsia="黑体" w:cs="黑体"/>
          <w:sz w:val="48"/>
          <w:szCs w:val="52"/>
          <w:highlight w:val="none"/>
        </w:rPr>
      </w:pPr>
      <w:bookmarkStart w:id="0" w:name="_Toc21766"/>
      <w:bookmarkStart w:id="1" w:name="_Toc19556"/>
      <w:bookmarkStart w:id="2" w:name="_Toc2691"/>
      <w:bookmarkStart w:id="3" w:name="_Toc15581"/>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r>
        <w:rPr>
          <w:rFonts w:hint="eastAsia" w:ascii="黑体" w:hAnsi="黑体" w:eastAsia="黑体" w:cs="黑体"/>
          <w:sz w:val="48"/>
          <w:szCs w:val="52"/>
          <w:highlight w:val="none"/>
          <w:lang w:val="zh-CN"/>
        </w:rPr>
        <w:t>录</w:t>
      </w:r>
      <w:bookmarkEnd w:id="0"/>
      <w:bookmarkEnd w:id="1"/>
      <w:bookmarkEnd w:id="2"/>
      <w:bookmarkEnd w:id="3"/>
    </w:p>
    <w:p w14:paraId="2B7EC128">
      <w:pPr>
        <w:pStyle w:val="16"/>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_Toc27845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第一章  询价函</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_Toc27845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C1E60B0">
      <w:pPr>
        <w:pStyle w:val="16"/>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_Toc10198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w:t>
      </w:r>
      <w:r>
        <w:rPr>
          <w:rFonts w:hint="eastAsia" w:ascii="等线" w:hAnsi="等线" w:eastAsia="等线" w:cs="等线"/>
          <w:sz w:val="28"/>
          <w:szCs w:val="28"/>
          <w:highlight w:val="none"/>
          <w:lang w:val="en-US" w:eastAsia="zh-CN"/>
        </w:rPr>
        <w:t>二</w:t>
      </w:r>
      <w:r>
        <w:rPr>
          <w:rFonts w:hint="eastAsia" w:ascii="等线" w:hAnsi="等线" w:eastAsia="等线" w:cs="等线"/>
          <w:sz w:val="28"/>
          <w:szCs w:val="28"/>
          <w:highlight w:val="none"/>
        </w:rPr>
        <w:t>章  询价评议</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_Toc10198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18570D4">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_Toc14456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一、询价方法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_Toc14456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D6D1899">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_Toc15804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二、询价步骤</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_Toc15804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EE4D837">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_Toc21091 </w:instrText>
      </w:r>
      <w:r>
        <w:rPr>
          <w:rFonts w:hint="eastAsia" w:ascii="等线" w:hAnsi="等线" w:eastAsia="等线" w:cs="等线"/>
          <w:sz w:val="28"/>
          <w:szCs w:val="28"/>
          <w:highlight w:val="none"/>
        </w:rPr>
        <w:fldChar w:fldCharType="separate"/>
      </w:r>
      <w:r>
        <w:rPr>
          <w:rFonts w:hint="eastAsia" w:ascii="等线" w:hAnsi="等线" w:eastAsia="等线" w:cs="等线"/>
          <w:spacing w:val="2"/>
          <w:sz w:val="28"/>
          <w:szCs w:val="28"/>
          <w:highlight w:val="none"/>
        </w:rPr>
        <w:t>三、</w:t>
      </w:r>
      <w:r>
        <w:rPr>
          <w:rFonts w:hint="eastAsia" w:ascii="等线" w:hAnsi="等线" w:eastAsia="等线" w:cs="等线"/>
          <w:sz w:val="28"/>
          <w:szCs w:val="28"/>
          <w:highlight w:val="none"/>
        </w:rPr>
        <w:t>确定成交供应商办法（最低价法）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_Toc21091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B328487">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_Toc2374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四．询价响应文件的数量和签署</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_Toc2374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F7034AA">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_Toc8069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六</w:t>
      </w:r>
      <w:r>
        <w:rPr>
          <w:rFonts w:hint="eastAsia" w:ascii="等线" w:hAnsi="等线" w:eastAsia="等线" w:cs="等线"/>
          <w:sz w:val="28"/>
          <w:szCs w:val="28"/>
          <w:highlight w:val="none"/>
        </w:rPr>
        <w:t>、签订合同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_Toc8069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A4D2E04">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_Toc8125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七</w:t>
      </w:r>
      <w:r>
        <w:rPr>
          <w:rFonts w:hint="eastAsia" w:ascii="等线" w:hAnsi="等线" w:eastAsia="等线" w:cs="等线"/>
          <w:sz w:val="28"/>
          <w:szCs w:val="28"/>
          <w:highlight w:val="none"/>
        </w:rPr>
        <w:t>、询价采购失败条件</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_Toc8125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506CC65">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_Toc15144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_Toc15144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B546865">
      <w:pPr>
        <w:pStyle w:val="16"/>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_Toc9696 </w:instrText>
      </w:r>
      <w:r>
        <w:rPr>
          <w:rFonts w:hint="eastAsia" w:ascii="等线" w:hAnsi="等线" w:eastAsia="等线" w:cs="等线"/>
          <w:sz w:val="28"/>
          <w:szCs w:val="28"/>
          <w:highlight w:val="none"/>
        </w:rPr>
        <w:fldChar w:fldCharType="separate"/>
      </w:r>
      <w:r>
        <w:rPr>
          <w:rFonts w:hint="eastAsia" w:ascii="等线" w:hAnsi="等线" w:eastAsia="等线" w:cs="等线"/>
          <w:kern w:val="2"/>
          <w:sz w:val="28"/>
          <w:szCs w:val="28"/>
          <w:highlight w:val="none"/>
        </w:rPr>
        <w:t>第</w:t>
      </w:r>
      <w:r>
        <w:rPr>
          <w:rFonts w:hint="eastAsia" w:ascii="等线" w:hAnsi="等线" w:eastAsia="等线" w:cs="等线"/>
          <w:kern w:val="2"/>
          <w:sz w:val="28"/>
          <w:szCs w:val="28"/>
          <w:highlight w:val="none"/>
          <w:lang w:val="en-US" w:eastAsia="zh-CN"/>
        </w:rPr>
        <w:t>三</w:t>
      </w:r>
      <w:r>
        <w:rPr>
          <w:rFonts w:hint="eastAsia" w:ascii="等线" w:hAnsi="等线" w:eastAsia="等线" w:cs="等线"/>
          <w:kern w:val="2"/>
          <w:sz w:val="28"/>
          <w:szCs w:val="28"/>
          <w:highlight w:val="none"/>
        </w:rPr>
        <w:t>章  采购项目内容及技术规格要求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_Toc9696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68280BA">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_Toc15167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一、采购清单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_Toc15167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2A4CE82">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_Toc5437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二、定检维保内容</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_Toc5437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7</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666B6A49">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_Toc10465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三、商务要求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_Toc10465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8</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4CDF10B">
      <w:pPr>
        <w:pStyle w:val="18"/>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_Toc31052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四、附《湖北机场集团有限公司“供应商不良行为”管理办法》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_Toc31052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8</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08AAC3D">
      <w:pPr>
        <w:pStyle w:val="16"/>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_Toc21882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rPr>
        <w:t>第</w:t>
      </w:r>
      <w:r>
        <w:rPr>
          <w:rFonts w:hint="eastAsia" w:ascii="等线" w:hAnsi="等线" w:eastAsia="等线" w:cs="等线"/>
          <w:bCs/>
          <w:sz w:val="28"/>
          <w:szCs w:val="28"/>
          <w:highlight w:val="none"/>
          <w:lang w:val="en-US" w:eastAsia="zh-CN"/>
        </w:rPr>
        <w:t>四</w:t>
      </w:r>
      <w:r>
        <w:rPr>
          <w:rFonts w:hint="eastAsia" w:ascii="等线" w:hAnsi="等线" w:eastAsia="等线" w:cs="等线"/>
          <w:bCs/>
          <w:sz w:val="28"/>
          <w:szCs w:val="28"/>
          <w:highlight w:val="none"/>
        </w:rPr>
        <w:t>章 询价响应文件格式</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_Toc21882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6960E60">
      <w:pPr>
        <w:pStyle w:val="16"/>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_Toc19021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lang w:val="en-US" w:eastAsia="zh-CN"/>
        </w:rPr>
        <w:t>第五章</w:t>
      </w:r>
      <w:r>
        <w:rPr>
          <w:rFonts w:hint="eastAsia" w:ascii="等线" w:hAnsi="等线" w:eastAsia="等线" w:cs="等线"/>
          <w:bCs/>
          <w:sz w:val="28"/>
          <w:szCs w:val="28"/>
          <w:highlight w:val="none"/>
        </w:rPr>
        <w:t xml:space="preserve"> 采购合同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_Toc19021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19</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7D5EB19">
      <w:pPr>
        <w:spacing w:line="360" w:lineRule="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highlight w:val="none"/>
        </w:rPr>
        <w:fldChar w:fldCharType="end"/>
      </w:r>
    </w:p>
    <w:p w14:paraId="57F28109">
      <w:pPr>
        <w:pStyle w:val="2"/>
        <w:rPr>
          <w:rFonts w:ascii="宋体" w:hAnsi="宋体" w:cs="宋体"/>
          <w:sz w:val="28"/>
          <w:szCs w:val="28"/>
          <w:highlight w:val="none"/>
        </w:rPr>
      </w:pPr>
      <w:bookmarkStart w:id="4" w:name="_Toc12290"/>
      <w:bookmarkStart w:id="5" w:name="_Toc27845"/>
      <w:r>
        <w:rPr>
          <w:rFonts w:hint="eastAsia" w:ascii="宋体" w:hAnsi="宋体" w:cs="宋体"/>
          <w:szCs w:val="32"/>
          <w:highlight w:val="none"/>
        </w:rPr>
        <w:t>第一章  询价函</w:t>
      </w:r>
      <w:bookmarkEnd w:id="4"/>
      <w:bookmarkEnd w:id="5"/>
    </w:p>
    <w:p w14:paraId="3C23486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bookmarkStart w:id="6" w:name="OLE_LINK1"/>
      <w:r>
        <w:rPr>
          <w:rFonts w:hint="eastAsia" w:ascii="宋体" w:hAnsi="宋体" w:cs="宋体"/>
          <w:kern w:val="0"/>
          <w:sz w:val="24"/>
          <w:szCs w:val="24"/>
          <w:highlight w:val="none"/>
          <w:lang w:val="en-US" w:eastAsia="zh-CN"/>
        </w:rPr>
        <w:t>湖北机场集团恩施机场有限责任公司行李拖斗采购项目</w:t>
      </w:r>
      <w:bookmarkEnd w:id="6"/>
      <w:r>
        <w:rPr>
          <w:rFonts w:hint="eastAsia" w:ascii="宋体" w:hAnsi="宋体" w:cs="宋体"/>
          <w:kern w:val="0"/>
          <w:sz w:val="24"/>
          <w:szCs w:val="24"/>
          <w:highlight w:val="none"/>
        </w:rPr>
        <w:t>”进行询价采购，欢迎符合资格条件的供应商参与询价。</w:t>
      </w:r>
    </w:p>
    <w:p w14:paraId="5A61E0F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27767E1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w:t>
      </w:r>
      <w:r>
        <w:rPr>
          <w:rFonts w:hint="eastAsia" w:ascii="宋体" w:hAnsi="宋体" w:cs="宋体"/>
          <w:kern w:val="0"/>
          <w:sz w:val="24"/>
          <w:szCs w:val="24"/>
          <w:highlight w:val="none"/>
        </w:rPr>
        <w:t>目名称：</w:t>
      </w:r>
      <w:r>
        <w:rPr>
          <w:rFonts w:hint="eastAsia" w:ascii="宋体" w:hAnsi="宋体" w:cs="宋体"/>
          <w:kern w:val="0"/>
          <w:sz w:val="24"/>
          <w:szCs w:val="24"/>
          <w:highlight w:val="none"/>
          <w:lang w:val="en-US" w:eastAsia="zh-CN"/>
        </w:rPr>
        <w:t>湖北机场集团恩施机场有限责任公司行李拖斗采购项目</w:t>
      </w:r>
    </w:p>
    <w:p w14:paraId="6C2EBFD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10</w:t>
      </w:r>
      <w:r>
        <w:rPr>
          <w:rFonts w:hint="eastAsia" w:ascii="宋体" w:hAnsi="宋体" w:cs="宋体"/>
          <w:sz w:val="24"/>
          <w:szCs w:val="24"/>
          <w:highlight w:val="none"/>
        </w:rPr>
        <w:t>万元，不得超过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1C59532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82"/>
        <w:gridCol w:w="1323"/>
        <w:gridCol w:w="740"/>
        <w:gridCol w:w="1028"/>
        <w:gridCol w:w="1135"/>
        <w:gridCol w:w="846"/>
        <w:gridCol w:w="1194"/>
        <w:gridCol w:w="731"/>
      </w:tblGrid>
      <w:tr w14:paraId="12E7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64" w:type="dxa"/>
            <w:vAlign w:val="center"/>
          </w:tcPr>
          <w:p w14:paraId="53F964B3">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282" w:type="dxa"/>
            <w:vAlign w:val="center"/>
          </w:tcPr>
          <w:p w14:paraId="732A8771">
            <w:pPr>
              <w:jc w:val="center"/>
              <w:rPr>
                <w:rFonts w:ascii="宋体" w:hAnsi="宋体" w:cs="宋体"/>
                <w:b/>
                <w:bCs/>
                <w:sz w:val="21"/>
                <w:szCs w:val="21"/>
                <w:highlight w:val="none"/>
              </w:rPr>
            </w:pPr>
            <w:r>
              <w:rPr>
                <w:rFonts w:hint="eastAsia" w:ascii="宋体" w:hAnsi="宋体" w:cs="宋体"/>
                <w:b/>
                <w:bCs/>
                <w:sz w:val="21"/>
                <w:szCs w:val="21"/>
                <w:highlight w:val="none"/>
              </w:rPr>
              <w:t>货物名称</w:t>
            </w:r>
          </w:p>
        </w:tc>
        <w:tc>
          <w:tcPr>
            <w:tcW w:w="1323" w:type="dxa"/>
            <w:vAlign w:val="center"/>
          </w:tcPr>
          <w:p w14:paraId="28B09C81">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主要规格</w:t>
            </w:r>
          </w:p>
        </w:tc>
        <w:tc>
          <w:tcPr>
            <w:tcW w:w="740" w:type="dxa"/>
            <w:vAlign w:val="center"/>
          </w:tcPr>
          <w:p w14:paraId="5CD04E91">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单位</w:t>
            </w:r>
          </w:p>
        </w:tc>
        <w:tc>
          <w:tcPr>
            <w:tcW w:w="1028" w:type="dxa"/>
            <w:vAlign w:val="center"/>
          </w:tcPr>
          <w:p w14:paraId="411095D7">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数量</w:t>
            </w:r>
          </w:p>
        </w:tc>
        <w:tc>
          <w:tcPr>
            <w:tcW w:w="1135" w:type="dxa"/>
            <w:vAlign w:val="center"/>
          </w:tcPr>
          <w:p w14:paraId="1677BC16">
            <w:pPr>
              <w:jc w:val="center"/>
              <w:rPr>
                <w:rFonts w:ascii="宋体" w:hAnsi="宋体" w:cs="宋体"/>
                <w:b/>
                <w:bCs/>
                <w:sz w:val="21"/>
                <w:szCs w:val="21"/>
                <w:highlight w:val="none"/>
              </w:rPr>
            </w:pPr>
            <w:r>
              <w:rPr>
                <w:rFonts w:hint="eastAsia" w:ascii="宋体" w:hAnsi="宋体" w:cs="宋体"/>
                <w:b/>
                <w:bCs/>
                <w:sz w:val="21"/>
                <w:szCs w:val="21"/>
                <w:highlight w:val="none"/>
                <w:lang w:val="en-US" w:eastAsia="zh-CN"/>
              </w:rPr>
              <w:t>最高限价（元）</w:t>
            </w:r>
          </w:p>
        </w:tc>
        <w:tc>
          <w:tcPr>
            <w:tcW w:w="846" w:type="dxa"/>
            <w:vAlign w:val="center"/>
          </w:tcPr>
          <w:p w14:paraId="72A9BAF1">
            <w:pPr>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交货期</w:t>
            </w:r>
          </w:p>
        </w:tc>
        <w:tc>
          <w:tcPr>
            <w:tcW w:w="1194" w:type="dxa"/>
            <w:vAlign w:val="center"/>
          </w:tcPr>
          <w:p w14:paraId="059644FA">
            <w:pPr>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质保期</w:t>
            </w:r>
          </w:p>
          <w:p w14:paraId="6C538F58">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(如有）</w:t>
            </w:r>
          </w:p>
        </w:tc>
        <w:tc>
          <w:tcPr>
            <w:tcW w:w="731" w:type="dxa"/>
            <w:vAlign w:val="center"/>
          </w:tcPr>
          <w:p w14:paraId="3FF9D1CC">
            <w:pPr>
              <w:jc w:val="center"/>
              <w:rPr>
                <w:rFonts w:ascii="宋体" w:hAnsi="宋体" w:cs="宋体"/>
                <w:b/>
                <w:bCs/>
                <w:sz w:val="21"/>
                <w:szCs w:val="21"/>
                <w:highlight w:val="none"/>
              </w:rPr>
            </w:pPr>
            <w:r>
              <w:rPr>
                <w:rFonts w:hint="eastAsia" w:ascii="宋体" w:hAnsi="宋体" w:cs="宋体"/>
                <w:b/>
                <w:bCs/>
                <w:sz w:val="21"/>
                <w:szCs w:val="21"/>
                <w:highlight w:val="none"/>
              </w:rPr>
              <w:t>备注</w:t>
            </w:r>
          </w:p>
        </w:tc>
      </w:tr>
      <w:tr w14:paraId="3777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4" w:type="dxa"/>
            <w:vAlign w:val="center"/>
          </w:tcPr>
          <w:p w14:paraId="12CCCA65">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82" w:type="dxa"/>
            <w:vAlign w:val="center"/>
          </w:tcPr>
          <w:p w14:paraId="275798C3">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行李拖斗</w:t>
            </w:r>
          </w:p>
        </w:tc>
        <w:tc>
          <w:tcPr>
            <w:tcW w:w="1323" w:type="dxa"/>
            <w:vAlign w:val="center"/>
          </w:tcPr>
          <w:p w14:paraId="4F4AEA5C">
            <w:pPr>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行李拖斗额定载重不低于1500KG</w:t>
            </w:r>
          </w:p>
        </w:tc>
        <w:tc>
          <w:tcPr>
            <w:tcW w:w="740" w:type="dxa"/>
            <w:vAlign w:val="center"/>
          </w:tcPr>
          <w:p w14:paraId="6B73E54C">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个</w:t>
            </w:r>
          </w:p>
        </w:tc>
        <w:tc>
          <w:tcPr>
            <w:tcW w:w="1028" w:type="dxa"/>
            <w:vAlign w:val="center"/>
          </w:tcPr>
          <w:p w14:paraId="1108BC3D">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1135" w:type="dxa"/>
            <w:vAlign w:val="center"/>
          </w:tcPr>
          <w:p w14:paraId="4FC54CD2">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100000.00</w:t>
            </w:r>
          </w:p>
        </w:tc>
        <w:tc>
          <w:tcPr>
            <w:tcW w:w="846" w:type="dxa"/>
            <w:vAlign w:val="center"/>
          </w:tcPr>
          <w:p w14:paraId="37394252">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30个日历天</w:t>
            </w:r>
          </w:p>
        </w:tc>
        <w:tc>
          <w:tcPr>
            <w:tcW w:w="1194" w:type="dxa"/>
            <w:vAlign w:val="center"/>
          </w:tcPr>
          <w:p w14:paraId="774FBD92">
            <w:pPr>
              <w:jc w:val="center"/>
              <w:rPr>
                <w:rFonts w:hint="default" w:ascii="宋体" w:hAnsi="宋体" w:cs="宋体"/>
                <w:sz w:val="21"/>
                <w:szCs w:val="21"/>
                <w:highlight w:val="none"/>
                <w:lang w:val="en-US"/>
              </w:rPr>
            </w:pPr>
            <w:r>
              <w:rPr>
                <w:rFonts w:hint="eastAsia" w:ascii="宋体" w:hAnsi="宋体" w:cs="宋体"/>
                <w:sz w:val="21"/>
                <w:szCs w:val="21"/>
                <w:highlight w:val="none"/>
                <w:lang w:val="en-US" w:eastAsia="zh-CN"/>
              </w:rPr>
              <w:t>2年</w:t>
            </w:r>
          </w:p>
        </w:tc>
        <w:tc>
          <w:tcPr>
            <w:tcW w:w="731" w:type="dxa"/>
            <w:vAlign w:val="center"/>
          </w:tcPr>
          <w:p w14:paraId="2CB580F5">
            <w:pPr>
              <w:jc w:val="center"/>
              <w:rPr>
                <w:rFonts w:ascii="宋体" w:hAnsi="宋体" w:cs="宋体"/>
                <w:sz w:val="21"/>
                <w:szCs w:val="21"/>
                <w:highlight w:val="none"/>
              </w:rPr>
            </w:pPr>
          </w:p>
        </w:tc>
      </w:tr>
    </w:tbl>
    <w:p w14:paraId="30893DD8">
      <w:pPr>
        <w:rPr>
          <w:rFonts w:hint="eastAsia"/>
          <w:highlight w:val="none"/>
          <w:lang w:val="en-US" w:eastAsia="zh-CN"/>
        </w:rPr>
      </w:pPr>
    </w:p>
    <w:p w14:paraId="0ACA344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311581A5">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5FE90EA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1、供应商须是国内注册的独立法人，具备合法有效的营业执照。</w:t>
      </w:r>
    </w:p>
    <w:p w14:paraId="3E9EF2D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业绩要求:投标人近三年(2022年8月至今)至少具备一个单项合同在5万元以上的供货或销售业绩(提供中标通知书(如有)、合同关键页(包括但不限于封面页、金额页、签字盖章页等能体现合同关键要素的材料)、发票复印件，以合同签订时间为准)。</w:t>
      </w:r>
    </w:p>
    <w:p w14:paraId="26850EC1">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供应商未被列入“信用中国”网站(www.creditchina.gov.cn)或者“中国执行信息公开网”（zxgk.court.gov.cn）失信被执行人名单（提供网页查询截图）</w:t>
      </w:r>
      <w:r>
        <w:rPr>
          <w:rFonts w:hint="eastAsia" w:ascii="宋体" w:hAnsi="宋体" w:cs="宋体"/>
          <w:kern w:val="0"/>
          <w:sz w:val="24"/>
          <w:szCs w:val="24"/>
          <w:highlight w:val="none"/>
          <w:lang w:eastAsia="zh-CN"/>
        </w:rPr>
        <w:t>。</w:t>
      </w:r>
    </w:p>
    <w:p w14:paraId="2C275F8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、供应商需对关于《湖北机场集团“供应商不良行为”管理暂行办法(试行)》在“第六章 响应文件格式”“附件六 资格证明文件”中做出承诺，格式详见响应文件格式。</w:t>
      </w:r>
    </w:p>
    <w:p w14:paraId="112E40C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、本项目不接受联合体响应。</w:t>
      </w:r>
    </w:p>
    <w:p w14:paraId="14C76655">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3419A690">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7AF4A4B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恩施机场公司官网、湖北机场集团内外网</w:t>
      </w:r>
      <w:r>
        <w:rPr>
          <w:rFonts w:hint="eastAsia" w:ascii="宋体" w:hAnsi="宋体" w:cs="宋体"/>
          <w:kern w:val="0"/>
          <w:sz w:val="24"/>
          <w:szCs w:val="24"/>
          <w:highlight w:val="none"/>
          <w:lang w:val="en-US" w:eastAsia="zh-CN"/>
        </w:rPr>
        <w:t>本项目公告附件中直接下载。</w:t>
      </w:r>
    </w:p>
    <w:p w14:paraId="3F2C4E9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（北京时</w:t>
      </w:r>
      <w:r>
        <w:rPr>
          <w:rFonts w:hint="eastAsia" w:ascii="宋体" w:hAnsi="宋体" w:cs="宋体"/>
          <w:sz w:val="24"/>
          <w:szCs w:val="24"/>
          <w:highlight w:val="none"/>
        </w:rPr>
        <w:t>间，法定节假日除外）。</w:t>
      </w:r>
    </w:p>
    <w:p w14:paraId="79C2325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p>
    <w:p w14:paraId="21D33150">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4BA79D5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08C4587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1127134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秦女士</w:t>
      </w:r>
    </w:p>
    <w:p w14:paraId="65C877E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仿宋" w:hAnsi="仿宋" w:eastAsia="仿宋" w:cs="仿宋"/>
          <w:color w:val="333333"/>
          <w:kern w:val="0"/>
          <w:sz w:val="24"/>
          <w:szCs w:val="24"/>
          <w:highlight w:val="none"/>
          <w:lang w:val="en-US" w:eastAsia="zh-CN"/>
        </w:rPr>
        <w:t>18671825030</w:t>
      </w:r>
    </w:p>
    <w:p w14:paraId="58AE119A">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353D1EB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5C18B11A">
      <w:pPr>
        <w:pStyle w:val="33"/>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63D67B03">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05B16286">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315D876E">
      <w:pPr>
        <w:pStyle w:val="9"/>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03</w:t>
      </w:r>
      <w:r>
        <w:rPr>
          <w:rFonts w:hint="eastAsia" w:ascii="宋体" w:hAnsi="宋体" w:cs="宋体"/>
          <w:bCs/>
          <w:kern w:val="0"/>
          <w:szCs w:val="24"/>
          <w:highlight w:val="none"/>
        </w:rPr>
        <w:t>日</w:t>
      </w:r>
    </w:p>
    <w:p w14:paraId="230B1119">
      <w:pPr>
        <w:rPr>
          <w:rFonts w:ascii="宋体" w:hAnsi="宋体" w:cs="宋体"/>
          <w:highlight w:val="none"/>
        </w:rPr>
      </w:pPr>
    </w:p>
    <w:p w14:paraId="2643E8EC">
      <w:pPr>
        <w:pStyle w:val="9"/>
        <w:jc w:val="right"/>
        <w:rPr>
          <w:rFonts w:ascii="宋体" w:hAnsi="宋体" w:cs="宋体"/>
          <w:bCs/>
          <w:kern w:val="0"/>
          <w:szCs w:val="24"/>
          <w:highlight w:val="none"/>
        </w:rPr>
      </w:pPr>
    </w:p>
    <w:p w14:paraId="51593A87">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326E2466">
      <w:pPr>
        <w:pStyle w:val="2"/>
        <w:rPr>
          <w:rFonts w:ascii="宋体" w:hAnsi="宋体" w:cs="宋体"/>
          <w:sz w:val="24"/>
          <w:szCs w:val="24"/>
          <w:highlight w:val="none"/>
        </w:rPr>
      </w:pPr>
      <w:bookmarkStart w:id="7" w:name="_Toc20496"/>
      <w:bookmarkStart w:id="8" w:name="_Toc10198"/>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7"/>
      <w:bookmarkEnd w:id="8"/>
    </w:p>
    <w:p w14:paraId="2CE28E60">
      <w:pPr>
        <w:pStyle w:val="17"/>
        <w:spacing w:before="0" w:after="0" w:line="360" w:lineRule="auto"/>
        <w:rPr>
          <w:rFonts w:ascii="宋体" w:hAnsi="宋体" w:cs="宋体"/>
          <w:sz w:val="24"/>
          <w:szCs w:val="24"/>
          <w:highlight w:val="none"/>
        </w:rPr>
      </w:pPr>
      <w:bookmarkStart w:id="9" w:name="_Toc3367"/>
      <w:bookmarkStart w:id="10" w:name="_Toc4102"/>
      <w:bookmarkStart w:id="11" w:name="_Toc14456"/>
      <w:r>
        <w:rPr>
          <w:rFonts w:hint="eastAsia" w:ascii="宋体" w:hAnsi="宋体" w:cs="宋体"/>
          <w:sz w:val="24"/>
          <w:szCs w:val="24"/>
          <w:highlight w:val="none"/>
        </w:rPr>
        <w:t>一、询价方法</w:t>
      </w:r>
      <w:bookmarkEnd w:id="9"/>
      <w:bookmarkEnd w:id="10"/>
      <w:bookmarkEnd w:id="11"/>
    </w:p>
    <w:p w14:paraId="5DFF7A82">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736FF9B4">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44872428">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221955D8">
      <w:pPr>
        <w:pStyle w:val="17"/>
        <w:spacing w:before="0" w:after="0" w:line="360" w:lineRule="auto"/>
        <w:rPr>
          <w:rFonts w:ascii="宋体" w:hAnsi="宋体" w:cs="宋体"/>
          <w:sz w:val="24"/>
          <w:szCs w:val="24"/>
          <w:highlight w:val="none"/>
        </w:rPr>
      </w:pPr>
      <w:bookmarkStart w:id="12" w:name="_Toc19261"/>
      <w:bookmarkStart w:id="13" w:name="_Toc15804"/>
      <w:bookmarkStart w:id="14" w:name="_Toc5176"/>
      <w:r>
        <w:rPr>
          <w:rFonts w:hint="eastAsia" w:ascii="宋体" w:hAnsi="宋体" w:cs="宋体"/>
          <w:sz w:val="24"/>
          <w:szCs w:val="24"/>
          <w:highlight w:val="none"/>
        </w:rPr>
        <w:t>二、询价步骤</w:t>
      </w:r>
      <w:bookmarkEnd w:id="12"/>
      <w:bookmarkEnd w:id="13"/>
      <w:bookmarkEnd w:id="14"/>
    </w:p>
    <w:p w14:paraId="13627EE4">
      <w:pPr>
        <w:spacing w:line="360" w:lineRule="auto"/>
        <w:ind w:firstLine="480" w:firstLineChars="200"/>
        <w:rPr>
          <w:rFonts w:ascii="宋体" w:hAnsi="宋体" w:cs="宋体"/>
          <w:spacing w:val="2"/>
          <w:sz w:val="24"/>
          <w:szCs w:val="24"/>
          <w:highlight w:val="none"/>
        </w:rPr>
      </w:pPr>
      <w:bookmarkStart w:id="15"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564F0A9D">
      <w:pPr>
        <w:spacing w:line="360" w:lineRule="auto"/>
        <w:ind w:firstLine="488" w:firstLineChars="200"/>
        <w:rPr>
          <w:rFonts w:hint="eastAsia" w:ascii="宋体" w:hAnsi="宋体" w:cs="宋体"/>
          <w:spacing w:val="2"/>
          <w:sz w:val="24"/>
          <w:szCs w:val="24"/>
          <w:highlight w:val="none"/>
        </w:rPr>
      </w:pPr>
      <w:r>
        <w:rPr>
          <w:rFonts w:hint="eastAsia" w:ascii="宋体" w:hAnsi="宋体" w:cs="宋体"/>
          <w:spacing w:val="2"/>
          <w:sz w:val="24"/>
          <w:szCs w:val="24"/>
          <w:highlight w:val="none"/>
        </w:rPr>
        <w:t>2.1.1采购人在第一章“询价公告”中约定的日期、时间和地点组织询价响应文件公开开启，</w:t>
      </w:r>
      <w:r>
        <w:rPr>
          <w:rFonts w:hint="eastAsia" w:ascii="宋体" w:hAnsi="宋体" w:cs="宋体"/>
          <w:b/>
          <w:bCs/>
          <w:spacing w:val="2"/>
          <w:sz w:val="24"/>
          <w:szCs w:val="24"/>
          <w:highlight w:val="none"/>
        </w:rPr>
        <w:t>供应商只需在响应文件递交截止时间前现场递交或邮寄（收件人：秦女士，18671825030，湖北省恩施市许家坪路38号恩施许家坪国际机场行政楼）送达响应文件，邮寄的响应文件供应商应确保在递交截止时间前送达。</w:t>
      </w:r>
    </w:p>
    <w:p w14:paraId="794D62D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开启程序</w:t>
      </w:r>
    </w:p>
    <w:p w14:paraId="5B0CC4E9">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4762F605">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49144068">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63CC8661">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6A3AC41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426BAD59">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4D9DA18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060AFF5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51E1A1F5">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56E0C8C8">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67AE3729">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120EEBC8">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030CFB4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0C9289A9">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2EA7B700">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7A22E620">
      <w:pPr>
        <w:pStyle w:val="17"/>
        <w:spacing w:before="0" w:after="0" w:line="360" w:lineRule="auto"/>
        <w:rPr>
          <w:rFonts w:ascii="宋体" w:hAnsi="宋体" w:cs="宋体"/>
          <w:spacing w:val="2"/>
          <w:sz w:val="24"/>
          <w:szCs w:val="24"/>
          <w:highlight w:val="none"/>
        </w:rPr>
      </w:pPr>
      <w:bookmarkStart w:id="16" w:name="_Toc3603"/>
      <w:bookmarkStart w:id="17" w:name="_Toc21091"/>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5"/>
      <w:bookmarkEnd w:id="16"/>
      <w:bookmarkEnd w:id="17"/>
    </w:p>
    <w:p w14:paraId="25B0405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502CCEA7">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143EFB83">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351E8D6B">
      <w:pPr>
        <w:pStyle w:val="17"/>
        <w:spacing w:before="0" w:after="0" w:line="360" w:lineRule="auto"/>
        <w:rPr>
          <w:rFonts w:hint="eastAsia" w:ascii="宋体" w:hAnsi="宋体" w:eastAsia="宋体" w:cs="宋体"/>
          <w:sz w:val="24"/>
          <w:szCs w:val="24"/>
          <w:highlight w:val="none"/>
          <w:lang w:val="en-US" w:eastAsia="zh-CN"/>
        </w:rPr>
      </w:pPr>
      <w:bookmarkStart w:id="18" w:name="_Toc2374"/>
      <w:r>
        <w:rPr>
          <w:rFonts w:hint="eastAsia" w:ascii="宋体" w:hAnsi="宋体" w:eastAsia="宋体" w:cs="宋体"/>
          <w:sz w:val="24"/>
          <w:szCs w:val="24"/>
          <w:highlight w:val="none"/>
          <w:lang w:val="en-US" w:eastAsia="zh-CN"/>
        </w:rPr>
        <w:t>四．询价响应文件的数量和签署</w:t>
      </w:r>
      <w:bookmarkEnd w:id="18"/>
    </w:p>
    <w:p w14:paraId="4620E05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4A86F0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1F2E73D6">
      <w:pPr>
        <w:pStyle w:val="17"/>
        <w:spacing w:before="0" w:after="0" w:line="360" w:lineRule="auto"/>
        <w:rPr>
          <w:rFonts w:hint="eastAsia" w:ascii="宋体" w:hAnsi="宋体" w:eastAsia="宋体" w:cs="宋体"/>
          <w:sz w:val="24"/>
          <w:szCs w:val="24"/>
          <w:highlight w:val="none"/>
          <w:lang w:val="en-US" w:eastAsia="zh-CN"/>
        </w:rPr>
      </w:pPr>
      <w:bookmarkStart w:id="19" w:name="_Toc24885"/>
      <w:bookmarkStart w:id="20" w:name="_Toc25158"/>
      <w:r>
        <w:rPr>
          <w:rFonts w:hint="eastAsia" w:ascii="宋体" w:hAnsi="宋体" w:eastAsia="宋体" w:cs="宋体"/>
          <w:sz w:val="24"/>
          <w:szCs w:val="24"/>
          <w:highlight w:val="none"/>
          <w:lang w:val="en-US" w:eastAsia="zh-CN"/>
        </w:rPr>
        <w:t>五、响应文件的递交</w:t>
      </w:r>
      <w:bookmarkEnd w:id="19"/>
      <w:bookmarkEnd w:id="20"/>
    </w:p>
    <w:p w14:paraId="1E1DFEE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185ECAD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77D5BEA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3A7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4A6CDAAA">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14DC505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0318F268">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7697F62E">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61896DEA">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1" w:name="OLE_LINK4"/>
            <w:r>
              <w:rPr>
                <w:rFonts w:hint="eastAsia" w:ascii="宋体" w:hAnsi="宋体" w:eastAsia="宋体" w:cs="宋体"/>
                <w:b/>
                <w:sz w:val="24"/>
                <w:highlight w:val="none"/>
              </w:rPr>
              <w:t>年   月   日   时</w:t>
            </w:r>
            <w:bookmarkEnd w:id="21"/>
            <w:r>
              <w:rPr>
                <w:rFonts w:hint="eastAsia" w:ascii="宋体" w:hAnsi="宋体" w:eastAsia="宋体" w:cs="宋体"/>
                <w:b/>
                <w:sz w:val="24"/>
                <w:highlight w:val="none"/>
              </w:rPr>
              <w:t xml:space="preserve">   分之前不得启封</w:t>
            </w:r>
          </w:p>
        </w:tc>
      </w:tr>
    </w:tbl>
    <w:p w14:paraId="16410191">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szCs w:val="24"/>
          <w:highlight w:val="none"/>
        </w:rPr>
        <w:t>如果未按要求密封和标记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将拒绝接受</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w:t>
      </w:r>
    </w:p>
    <w:p w14:paraId="188131C2">
      <w:pPr>
        <w:pStyle w:val="17"/>
        <w:spacing w:before="0" w:after="0" w:line="360" w:lineRule="auto"/>
        <w:rPr>
          <w:rFonts w:ascii="宋体" w:hAnsi="宋体" w:cs="宋体"/>
          <w:sz w:val="24"/>
          <w:szCs w:val="24"/>
          <w:highlight w:val="none"/>
        </w:rPr>
      </w:pPr>
      <w:bookmarkStart w:id="22" w:name="_Toc22322"/>
      <w:bookmarkStart w:id="23" w:name="_Toc8069"/>
      <w:bookmarkStart w:id="24" w:name="_Toc21790"/>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2"/>
      <w:bookmarkEnd w:id="23"/>
      <w:bookmarkEnd w:id="24"/>
    </w:p>
    <w:p w14:paraId="57CC9C74">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360104CC">
      <w:pPr>
        <w:pStyle w:val="17"/>
        <w:spacing w:before="0" w:after="0" w:line="360" w:lineRule="auto"/>
        <w:rPr>
          <w:rFonts w:ascii="宋体" w:hAnsi="宋体" w:cs="宋体"/>
          <w:sz w:val="24"/>
          <w:szCs w:val="24"/>
          <w:highlight w:val="none"/>
        </w:rPr>
      </w:pPr>
      <w:bookmarkStart w:id="25" w:name="_Toc2499"/>
      <w:bookmarkStart w:id="26" w:name="_Toc19032"/>
      <w:bookmarkStart w:id="27" w:name="_Toc8125"/>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5"/>
      <w:bookmarkEnd w:id="26"/>
      <w:bookmarkEnd w:id="27"/>
    </w:p>
    <w:p w14:paraId="63FCB6A6">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5D99EA35">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07ED6E34">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5005DAB4">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359E9BB9">
      <w:pPr>
        <w:pStyle w:val="17"/>
        <w:numPr>
          <w:ilvl w:val="0"/>
          <w:numId w:val="0"/>
        </w:numPr>
        <w:spacing w:before="0" w:after="0" w:line="360" w:lineRule="auto"/>
        <w:rPr>
          <w:rFonts w:hint="eastAsia" w:ascii="宋体" w:hAnsi="宋体" w:cs="宋体"/>
          <w:sz w:val="24"/>
          <w:szCs w:val="24"/>
          <w:highlight w:val="none"/>
          <w:lang w:val="en-US" w:eastAsia="zh-CN"/>
        </w:rPr>
      </w:pPr>
      <w:bookmarkStart w:id="28" w:name="_Toc15144"/>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8"/>
    </w:p>
    <w:p w14:paraId="38B82D8E">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12612054">
      <w:pPr>
        <w:pStyle w:val="2"/>
        <w:rPr>
          <w:rFonts w:hint="eastAsia" w:ascii="宋体" w:hAnsi="宋体" w:cs="宋体"/>
          <w:kern w:val="2"/>
          <w:sz w:val="24"/>
          <w:szCs w:val="24"/>
          <w:highlight w:val="none"/>
        </w:rPr>
      </w:pPr>
      <w:r>
        <w:rPr>
          <w:rFonts w:hint="eastAsia" w:ascii="宋体" w:hAnsi="宋体" w:cs="宋体"/>
          <w:highlight w:val="none"/>
        </w:rPr>
        <w:br w:type="page"/>
      </w:r>
      <w:bookmarkStart w:id="29" w:name="_Toc9696"/>
      <w:bookmarkStart w:id="30" w:name="_Toc4874"/>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29"/>
      <w:bookmarkEnd w:id="30"/>
    </w:p>
    <w:p w14:paraId="1D85BADD">
      <w:pPr>
        <w:pStyle w:val="3"/>
        <w:rPr>
          <w:rStyle w:val="48"/>
          <w:rFonts w:hint="eastAsia" w:ascii="宋体" w:hAnsi="宋体" w:eastAsia="宋体" w:cs="宋体"/>
          <w:sz w:val="24"/>
          <w:szCs w:val="24"/>
          <w:highlight w:val="none"/>
          <w:lang w:val="en-US" w:eastAsia="zh-CN"/>
        </w:rPr>
      </w:pPr>
      <w:bookmarkStart w:id="31" w:name="_Toc16525"/>
      <w:bookmarkStart w:id="32" w:name="_Toc27014"/>
      <w:bookmarkStart w:id="33" w:name="_Toc15167"/>
      <w:r>
        <w:rPr>
          <w:rStyle w:val="48"/>
          <w:rFonts w:hint="eastAsia" w:ascii="宋体" w:hAnsi="宋体" w:eastAsia="宋体" w:cs="宋体"/>
          <w:sz w:val="24"/>
          <w:szCs w:val="24"/>
          <w:highlight w:val="none"/>
          <w:lang w:val="en-US" w:eastAsia="zh-CN"/>
        </w:rPr>
        <w:t>一、</w:t>
      </w:r>
      <w:bookmarkEnd w:id="31"/>
      <w:bookmarkEnd w:id="32"/>
      <w:r>
        <w:rPr>
          <w:rStyle w:val="48"/>
          <w:rFonts w:hint="eastAsia" w:ascii="宋体" w:hAnsi="宋体" w:eastAsia="宋体" w:cs="宋体"/>
          <w:sz w:val="24"/>
          <w:szCs w:val="24"/>
          <w:highlight w:val="none"/>
          <w:lang w:val="en-US" w:eastAsia="zh-CN"/>
        </w:rPr>
        <w:t>采购清单</w:t>
      </w:r>
      <w:bookmarkEnd w:id="33"/>
    </w:p>
    <w:tbl>
      <w:tblPr>
        <w:tblStyle w:val="2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22"/>
        <w:gridCol w:w="1383"/>
        <w:gridCol w:w="740"/>
        <w:gridCol w:w="1028"/>
        <w:gridCol w:w="1135"/>
        <w:gridCol w:w="846"/>
        <w:gridCol w:w="1194"/>
        <w:gridCol w:w="731"/>
      </w:tblGrid>
      <w:tr w14:paraId="5CD0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4" w:type="dxa"/>
            <w:vAlign w:val="center"/>
          </w:tcPr>
          <w:p w14:paraId="1A5EB990">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222" w:type="dxa"/>
            <w:vAlign w:val="center"/>
          </w:tcPr>
          <w:p w14:paraId="25C50C30">
            <w:pPr>
              <w:jc w:val="center"/>
              <w:rPr>
                <w:rFonts w:ascii="宋体" w:hAnsi="宋体" w:cs="宋体"/>
                <w:b/>
                <w:bCs/>
                <w:sz w:val="21"/>
                <w:szCs w:val="21"/>
                <w:highlight w:val="none"/>
              </w:rPr>
            </w:pPr>
            <w:r>
              <w:rPr>
                <w:rFonts w:hint="eastAsia" w:ascii="宋体" w:hAnsi="宋体" w:cs="宋体"/>
                <w:b/>
                <w:bCs/>
                <w:sz w:val="21"/>
                <w:szCs w:val="21"/>
                <w:highlight w:val="none"/>
              </w:rPr>
              <w:t>货物名称</w:t>
            </w:r>
          </w:p>
        </w:tc>
        <w:tc>
          <w:tcPr>
            <w:tcW w:w="1383" w:type="dxa"/>
            <w:vAlign w:val="center"/>
          </w:tcPr>
          <w:p w14:paraId="201CF206">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主要规格</w:t>
            </w:r>
          </w:p>
        </w:tc>
        <w:tc>
          <w:tcPr>
            <w:tcW w:w="740" w:type="dxa"/>
            <w:vAlign w:val="center"/>
          </w:tcPr>
          <w:p w14:paraId="01068677">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单位</w:t>
            </w:r>
          </w:p>
        </w:tc>
        <w:tc>
          <w:tcPr>
            <w:tcW w:w="1028" w:type="dxa"/>
            <w:vAlign w:val="center"/>
          </w:tcPr>
          <w:p w14:paraId="26D16252">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数量</w:t>
            </w:r>
          </w:p>
        </w:tc>
        <w:tc>
          <w:tcPr>
            <w:tcW w:w="1135" w:type="dxa"/>
            <w:vAlign w:val="center"/>
          </w:tcPr>
          <w:p w14:paraId="6EA13329">
            <w:pPr>
              <w:jc w:val="center"/>
              <w:rPr>
                <w:rFonts w:ascii="宋体" w:hAnsi="宋体" w:cs="宋体"/>
                <w:b/>
                <w:bCs/>
                <w:sz w:val="21"/>
                <w:szCs w:val="21"/>
                <w:highlight w:val="none"/>
              </w:rPr>
            </w:pPr>
            <w:r>
              <w:rPr>
                <w:rFonts w:hint="eastAsia" w:ascii="宋体" w:hAnsi="宋体" w:cs="宋体"/>
                <w:b/>
                <w:bCs/>
                <w:sz w:val="21"/>
                <w:szCs w:val="21"/>
                <w:highlight w:val="none"/>
                <w:lang w:val="en-US" w:eastAsia="zh-CN"/>
              </w:rPr>
              <w:t>最高限价（元）</w:t>
            </w:r>
          </w:p>
        </w:tc>
        <w:tc>
          <w:tcPr>
            <w:tcW w:w="846" w:type="dxa"/>
            <w:vAlign w:val="center"/>
          </w:tcPr>
          <w:p w14:paraId="773A96E7">
            <w:pPr>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交货期</w:t>
            </w:r>
          </w:p>
        </w:tc>
        <w:tc>
          <w:tcPr>
            <w:tcW w:w="1194" w:type="dxa"/>
            <w:vAlign w:val="center"/>
          </w:tcPr>
          <w:p w14:paraId="043E4FBC">
            <w:pPr>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质保期</w:t>
            </w:r>
          </w:p>
          <w:p w14:paraId="0B48B764">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(如有）</w:t>
            </w:r>
          </w:p>
        </w:tc>
        <w:tc>
          <w:tcPr>
            <w:tcW w:w="731" w:type="dxa"/>
            <w:vAlign w:val="center"/>
          </w:tcPr>
          <w:p w14:paraId="5C136C6C">
            <w:pPr>
              <w:jc w:val="center"/>
              <w:rPr>
                <w:rFonts w:ascii="宋体" w:hAnsi="宋体" w:cs="宋体"/>
                <w:b/>
                <w:bCs/>
                <w:sz w:val="21"/>
                <w:szCs w:val="21"/>
                <w:highlight w:val="none"/>
              </w:rPr>
            </w:pPr>
            <w:r>
              <w:rPr>
                <w:rFonts w:hint="eastAsia" w:ascii="宋体" w:hAnsi="宋体" w:cs="宋体"/>
                <w:b/>
                <w:bCs/>
                <w:sz w:val="21"/>
                <w:szCs w:val="21"/>
                <w:highlight w:val="none"/>
              </w:rPr>
              <w:t>备注</w:t>
            </w:r>
          </w:p>
        </w:tc>
      </w:tr>
      <w:tr w14:paraId="19C0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4" w:type="dxa"/>
            <w:vAlign w:val="center"/>
          </w:tcPr>
          <w:p w14:paraId="035F50BA">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22" w:type="dxa"/>
            <w:vAlign w:val="center"/>
          </w:tcPr>
          <w:p w14:paraId="29511BA5">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行李拖斗</w:t>
            </w:r>
          </w:p>
        </w:tc>
        <w:tc>
          <w:tcPr>
            <w:tcW w:w="1383" w:type="dxa"/>
            <w:vAlign w:val="center"/>
          </w:tcPr>
          <w:p w14:paraId="1509775F">
            <w:pPr>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行李拖斗额定载重不低于1500KG</w:t>
            </w:r>
          </w:p>
        </w:tc>
        <w:tc>
          <w:tcPr>
            <w:tcW w:w="740" w:type="dxa"/>
            <w:vAlign w:val="center"/>
          </w:tcPr>
          <w:p w14:paraId="24DEFBE8">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个</w:t>
            </w:r>
            <w:bookmarkStart w:id="47" w:name="_GoBack"/>
            <w:bookmarkEnd w:id="47"/>
          </w:p>
        </w:tc>
        <w:tc>
          <w:tcPr>
            <w:tcW w:w="1028" w:type="dxa"/>
            <w:vAlign w:val="center"/>
          </w:tcPr>
          <w:p w14:paraId="747E7627">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1135" w:type="dxa"/>
            <w:vAlign w:val="center"/>
          </w:tcPr>
          <w:p w14:paraId="124FDFA6">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100000.00</w:t>
            </w:r>
          </w:p>
        </w:tc>
        <w:tc>
          <w:tcPr>
            <w:tcW w:w="846" w:type="dxa"/>
            <w:vAlign w:val="center"/>
          </w:tcPr>
          <w:p w14:paraId="411202B3">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30个日历天</w:t>
            </w:r>
          </w:p>
        </w:tc>
        <w:tc>
          <w:tcPr>
            <w:tcW w:w="1194" w:type="dxa"/>
            <w:vAlign w:val="center"/>
          </w:tcPr>
          <w:p w14:paraId="3FD19ADC">
            <w:pPr>
              <w:jc w:val="center"/>
              <w:rPr>
                <w:rFonts w:hint="default" w:ascii="宋体" w:hAnsi="宋体" w:cs="宋体"/>
                <w:sz w:val="21"/>
                <w:szCs w:val="21"/>
                <w:highlight w:val="none"/>
                <w:lang w:val="en-US"/>
              </w:rPr>
            </w:pPr>
            <w:r>
              <w:rPr>
                <w:rFonts w:hint="eastAsia" w:ascii="宋体" w:hAnsi="宋体" w:cs="宋体"/>
                <w:sz w:val="21"/>
                <w:szCs w:val="21"/>
                <w:highlight w:val="none"/>
                <w:lang w:val="en-US" w:eastAsia="zh-CN"/>
              </w:rPr>
              <w:t>2年</w:t>
            </w:r>
          </w:p>
        </w:tc>
        <w:tc>
          <w:tcPr>
            <w:tcW w:w="731" w:type="dxa"/>
            <w:vAlign w:val="center"/>
          </w:tcPr>
          <w:p w14:paraId="5F040417">
            <w:pPr>
              <w:jc w:val="center"/>
              <w:rPr>
                <w:rFonts w:ascii="宋体" w:hAnsi="宋体" w:cs="宋体"/>
                <w:sz w:val="21"/>
                <w:szCs w:val="21"/>
                <w:highlight w:val="none"/>
              </w:rPr>
            </w:pPr>
          </w:p>
        </w:tc>
      </w:tr>
    </w:tbl>
    <w:p w14:paraId="131AC275">
      <w:pPr>
        <w:rPr>
          <w:rFonts w:hint="default"/>
          <w:highlight w:val="none"/>
          <w:lang w:val="en-US" w:eastAsia="zh-CN"/>
        </w:rPr>
      </w:pPr>
      <w:r>
        <w:rPr>
          <w:rFonts w:hint="default"/>
          <w:highlight w:val="none"/>
          <w:lang w:val="en-US" w:eastAsia="zh-CN"/>
        </w:rPr>
        <w:br w:type="page"/>
      </w:r>
    </w:p>
    <w:p w14:paraId="1B0DC3FE">
      <w:pPr>
        <w:pStyle w:val="3"/>
        <w:rPr>
          <w:rStyle w:val="48"/>
          <w:rFonts w:hint="default" w:ascii="宋体" w:hAnsi="宋体" w:eastAsia="宋体" w:cs="宋体"/>
          <w:sz w:val="24"/>
          <w:szCs w:val="24"/>
          <w:highlight w:val="none"/>
          <w:lang w:val="en-US" w:eastAsia="zh-CN"/>
        </w:rPr>
      </w:pPr>
      <w:bookmarkStart w:id="34" w:name="_Toc5437"/>
      <w:r>
        <w:rPr>
          <w:rStyle w:val="48"/>
          <w:rFonts w:hint="eastAsia" w:ascii="宋体" w:hAnsi="宋体" w:eastAsia="宋体" w:cs="宋体"/>
          <w:sz w:val="24"/>
          <w:szCs w:val="24"/>
          <w:highlight w:val="none"/>
          <w:lang w:val="en-US" w:eastAsia="zh-CN"/>
        </w:rPr>
        <w:t>二、</w:t>
      </w:r>
      <w:bookmarkEnd w:id="34"/>
      <w:r>
        <w:rPr>
          <w:rStyle w:val="48"/>
          <w:rFonts w:hint="eastAsia" w:ascii="宋体" w:hAnsi="宋体" w:eastAsia="宋体" w:cs="宋体"/>
          <w:sz w:val="24"/>
          <w:szCs w:val="24"/>
          <w:highlight w:val="none"/>
          <w:lang w:val="en-US" w:eastAsia="zh-CN"/>
        </w:rPr>
        <w:t>技术、服务要求</w:t>
      </w:r>
    </w:p>
    <w:p w14:paraId="0EDF146E">
      <w:pPr>
        <w:spacing w:line="360" w:lineRule="auto"/>
        <w:ind w:firstLine="480" w:firstLineChars="200"/>
        <w:rPr>
          <w:rFonts w:hint="default" w:ascii="宋体" w:hAnsi="宋体" w:eastAsia="宋体" w:cs="宋体"/>
          <w:sz w:val="24"/>
          <w:szCs w:val="24"/>
          <w:highlight w:val="none"/>
          <w:lang w:val="en-US" w:eastAsia="zh-CN"/>
        </w:rPr>
      </w:pPr>
      <w:bookmarkStart w:id="35" w:name="_Toc19354"/>
      <w:bookmarkStart w:id="36" w:name="_Toc32084"/>
      <w:r>
        <w:rPr>
          <w:rFonts w:hint="eastAsia" w:ascii="宋体" w:hAnsi="宋体" w:eastAsia="宋体" w:cs="宋体"/>
          <w:sz w:val="24"/>
          <w:szCs w:val="24"/>
          <w:highlight w:val="none"/>
          <w:lang w:val="en-US" w:eastAsia="zh-CN"/>
        </w:rPr>
        <w:t>1.载重能力：行李拖斗额定载重不低于1500KG；</w:t>
      </w:r>
    </w:p>
    <w:p w14:paraId="29B7365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2.转向与制动：支持360度转向，刹车系统应可调节，并具备轮胎磨损后刹车失效的调整功能；</w:t>
      </w:r>
    </w:p>
    <w:p w14:paraId="60CA078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3.尺寸规格：</w:t>
      </w:r>
    </w:p>
    <w:p w14:paraId="17F576D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工作台尺寸：长2.6m–3.1m×宽1.4m–1.5m×高0.5m–0.6m；</w:t>
      </w:r>
    </w:p>
    <w:p w14:paraId="2E7C879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外形尺寸（含拖柄及护栏）：长3.6m–3.9m×宽1.4m–1.6m×高1.2m–1.50m；</w:t>
      </w:r>
    </w:p>
    <w:p w14:paraId="1F56847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4.轮胎配置：采用超耐磨实心单轮；</w:t>
      </w:r>
    </w:p>
    <w:p w14:paraId="167465FF">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5.护栏及附属结构：护栏应可拆卸，前侧设置存放雨布、网套等物资的框架，底部配置网兜挂钩；</w:t>
      </w:r>
    </w:p>
    <w:p w14:paraId="3E3A3EF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6.拖把功能：拖把应具备多车连接及刹车双重功能，并确保转向过程中无卡滞现象；</w:t>
      </w:r>
    </w:p>
    <w:p w14:paraId="698130F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7.尾部配置：安装自锁挂钩；</w:t>
      </w:r>
    </w:p>
    <w:p w14:paraId="191A098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8.表面处理：整车经物理除锈后，涂覆富锌环氧防锈底漆，表面喷涂金属面漆，并按规范进行编号与喷绘；</w:t>
      </w:r>
    </w:p>
    <w:p w14:paraId="1D2C9D1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9.配套要求</w:t>
      </w:r>
      <w:r>
        <w:rPr>
          <w:rFonts w:hint="eastAsia" w:ascii="宋体" w:hAnsi="宋体" w:eastAsia="宋体" w:cs="宋体"/>
          <w:sz w:val="24"/>
          <w:szCs w:val="24"/>
          <w:highlight w:val="none"/>
          <w:lang w:val="en-US" w:eastAsia="zh-CN"/>
        </w:rPr>
        <w:t>：随车配件应包括设备验收合格后3年内正常运行所需的备品备件及易损件</w:t>
      </w:r>
      <w:r>
        <w:rPr>
          <w:rFonts w:hint="eastAsia" w:ascii="宋体" w:hAnsi="宋体" w:cs="宋体"/>
          <w:sz w:val="24"/>
          <w:szCs w:val="24"/>
          <w:highlight w:val="none"/>
          <w:lang w:val="en-US" w:eastAsia="zh-CN"/>
        </w:rPr>
        <w:t>包括但不限于轴承与油封、刹车片、轮挡等</w:t>
      </w:r>
      <w:r>
        <w:rPr>
          <w:rFonts w:hint="eastAsia" w:ascii="宋体" w:hAnsi="宋体" w:eastAsia="宋体" w:cs="宋体"/>
          <w:sz w:val="24"/>
          <w:szCs w:val="24"/>
          <w:highlight w:val="none"/>
          <w:lang w:val="en-US" w:eastAsia="zh-CN"/>
        </w:rPr>
        <w:t>，验收</w:t>
      </w:r>
      <w:r>
        <w:rPr>
          <w:rFonts w:hint="eastAsia" w:ascii="宋体" w:hAnsi="宋体" w:eastAsia="宋体" w:cs="宋体"/>
          <w:sz w:val="24"/>
          <w:szCs w:val="24"/>
          <w:highlight w:val="none"/>
          <w:lang w:val="en-US" w:eastAsia="zh-CN"/>
        </w:rPr>
        <w:t>标准应与主设备一致。</w:t>
      </w:r>
    </w:p>
    <w:p w14:paraId="55B7613D">
      <w:pPr>
        <w:spacing w:line="360" w:lineRule="auto"/>
        <w:ind w:firstLine="480" w:firstLineChars="200"/>
        <w:rPr>
          <w:rFonts w:hint="eastAsia" w:ascii="宋体" w:hAnsi="宋体" w:cs="宋体"/>
          <w:sz w:val="24"/>
          <w:szCs w:val="24"/>
          <w:highlight w:val="none"/>
          <w:lang w:val="en-US" w:eastAsia="zh-CN"/>
        </w:rPr>
      </w:pPr>
    </w:p>
    <w:p w14:paraId="096B0915">
      <w:pPr>
        <w:rPr>
          <w:rFonts w:hint="eastAsia"/>
          <w:highlight w:val="none"/>
          <w:lang w:val="en-US" w:eastAsia="zh-CN"/>
        </w:rPr>
      </w:pPr>
      <w:r>
        <w:rPr>
          <w:rFonts w:hint="eastAsia"/>
          <w:highlight w:val="none"/>
          <w:lang w:val="en-US" w:eastAsia="zh-CN"/>
        </w:rPr>
        <w:br w:type="page"/>
      </w:r>
    </w:p>
    <w:bookmarkEnd w:id="35"/>
    <w:bookmarkEnd w:id="36"/>
    <w:p w14:paraId="57B705D4">
      <w:pPr>
        <w:pStyle w:val="3"/>
        <w:rPr>
          <w:rStyle w:val="48"/>
          <w:rFonts w:hint="eastAsia" w:ascii="宋体" w:hAnsi="宋体" w:eastAsia="宋体" w:cs="宋体"/>
          <w:sz w:val="24"/>
          <w:szCs w:val="24"/>
          <w:highlight w:val="none"/>
          <w:lang w:val="en-US" w:eastAsia="zh-CN"/>
        </w:rPr>
      </w:pPr>
      <w:bookmarkStart w:id="37" w:name="_Toc10465"/>
      <w:bookmarkStart w:id="38" w:name="_Toc114771993"/>
      <w:r>
        <w:rPr>
          <w:rStyle w:val="48"/>
          <w:rFonts w:hint="eastAsia" w:ascii="宋体" w:hAnsi="宋体" w:eastAsia="宋体" w:cs="宋体"/>
          <w:sz w:val="24"/>
          <w:szCs w:val="24"/>
          <w:highlight w:val="none"/>
          <w:lang w:val="en-US" w:eastAsia="zh-CN"/>
        </w:rPr>
        <w:t>三、商务要求</w:t>
      </w:r>
      <w:bookmarkEnd w:id="37"/>
      <w:bookmarkEnd w:id="38"/>
    </w:p>
    <w:tbl>
      <w:tblPr>
        <w:tblStyle w:val="23"/>
        <w:tblW w:w="94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2"/>
      </w:tblGrid>
      <w:tr w14:paraId="6977F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636E7B3F">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sz w:val="21"/>
                <w:szCs w:val="21"/>
                <w:highlight w:val="none"/>
              </w:rPr>
            </w:pPr>
            <w:bookmarkStart w:id="39" w:name="_Toc31052"/>
            <w:bookmarkStart w:id="40" w:name="_Toc4696"/>
            <w:r>
              <w:rPr>
                <w:rFonts w:hint="default" w:ascii="Times New Roman" w:hAnsi="Times New Roman" w:eastAsia="宋体" w:cs="Times New Roman"/>
                <w:b/>
                <w:bCs/>
                <w:sz w:val="21"/>
                <w:szCs w:val="21"/>
                <w:highlight w:val="none"/>
                <w:lang w:bidi="ar"/>
              </w:rPr>
              <w:t>序号</w:t>
            </w:r>
          </w:p>
        </w:tc>
        <w:tc>
          <w:tcPr>
            <w:tcW w:w="1789" w:type="dxa"/>
            <w:tcBorders>
              <w:tl2br w:val="nil"/>
              <w:tr2bl w:val="nil"/>
            </w:tcBorders>
            <w:shd w:val="clear" w:color="auto" w:fill="D0CECE"/>
            <w:vAlign w:val="center"/>
          </w:tcPr>
          <w:p w14:paraId="546B193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指标项</w:t>
            </w:r>
          </w:p>
        </w:tc>
        <w:tc>
          <w:tcPr>
            <w:tcW w:w="6972" w:type="dxa"/>
            <w:tcBorders>
              <w:tl2br w:val="nil"/>
              <w:tr2bl w:val="nil"/>
            </w:tcBorders>
            <w:shd w:val="clear" w:color="auto" w:fill="D0CECE"/>
            <w:vAlign w:val="center"/>
          </w:tcPr>
          <w:p w14:paraId="313C7B8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指标要求</w:t>
            </w:r>
          </w:p>
        </w:tc>
      </w:tr>
      <w:tr w14:paraId="4D518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atLeast"/>
          <w:jc w:val="center"/>
        </w:trPr>
        <w:tc>
          <w:tcPr>
            <w:tcW w:w="703" w:type="dxa"/>
            <w:tcBorders>
              <w:tl2br w:val="nil"/>
              <w:tr2bl w:val="nil"/>
            </w:tcBorders>
            <w:shd w:val="clear" w:color="auto" w:fill="auto"/>
            <w:vAlign w:val="center"/>
          </w:tcPr>
          <w:p w14:paraId="4EE6C4E1">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406648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报价</w:t>
            </w:r>
          </w:p>
        </w:tc>
        <w:tc>
          <w:tcPr>
            <w:tcW w:w="6972" w:type="dxa"/>
            <w:tcBorders>
              <w:tl2br w:val="nil"/>
              <w:tr2bl w:val="nil"/>
            </w:tcBorders>
            <w:shd w:val="clear" w:color="auto" w:fill="auto"/>
            <w:vAlign w:val="center"/>
          </w:tcPr>
          <w:p w14:paraId="38E43F1A">
            <w:pPr>
              <w:keepNext w:val="0"/>
              <w:keepLines w:val="0"/>
              <w:widowControl/>
              <w:suppressLineNumbers w:val="0"/>
              <w:spacing w:before="0" w:beforeAutospacing="0" w:after="0" w:afterAutospacing="0"/>
              <w:ind w:left="0" w:right="0" w:firstLine="210" w:firstLineChars="100"/>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（1）本项目报价币种为人民币，供应商报价不得超过限价，否则按无效响应处理</w:t>
            </w:r>
          </w:p>
          <w:p w14:paraId="42DCA88A">
            <w:pPr>
              <w:keepNext w:val="0"/>
              <w:keepLines w:val="0"/>
              <w:widowControl/>
              <w:suppressLineNumbers w:val="0"/>
              <w:spacing w:before="0" w:beforeAutospacing="0" w:after="0" w:afterAutospacing="0"/>
              <w:ind w:left="0" w:right="0"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
              </w:rPr>
              <w:t>（2）供应商</w:t>
            </w:r>
            <w:r>
              <w:rPr>
                <w:rFonts w:hint="eastAsia" w:ascii="宋体" w:hAnsi="宋体" w:eastAsia="宋体" w:cs="宋体"/>
                <w:sz w:val="21"/>
                <w:szCs w:val="21"/>
                <w:highlight w:val="none"/>
                <w:lang w:bidi="ar"/>
              </w:rPr>
              <w:t>的报价应包含所供</w:t>
            </w:r>
            <w:r>
              <w:rPr>
                <w:rFonts w:hint="eastAsia" w:ascii="宋体" w:hAnsi="宋体" w:eastAsia="宋体" w:cs="宋体"/>
                <w:sz w:val="21"/>
                <w:szCs w:val="21"/>
                <w:highlight w:val="none"/>
                <w:lang w:eastAsia="zh-CN" w:bidi="ar"/>
              </w:rPr>
              <w:t>产品设备</w:t>
            </w:r>
            <w:r>
              <w:rPr>
                <w:rFonts w:hint="eastAsia" w:ascii="宋体" w:hAnsi="宋体" w:eastAsia="宋体" w:cs="宋体"/>
                <w:sz w:val="21"/>
                <w:szCs w:val="21"/>
                <w:highlight w:val="none"/>
                <w:lang w:bidi="ar"/>
              </w:rPr>
              <w:t>及所有零部件费用及最终验收后质保期内所需全部备品、备件、耗材，专用检测设备、仪器及专用工具的费用，并包含设计、制造(含原材料供给)、安装调试、检测、培训、保险、运输、交货现场技术服务、与其它承包商的协调、现场调试、提交图纸和技术资料、提交相关设备和专用工具、质保期内售后服务、卫生防控等一切与完成本项目有关的所有费用</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bidi="ar"/>
              </w:rPr>
              <w:t>本文件所要求内容应视为保证设备运行所需最低要求，如有遗漏，</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应予补充。否则，将不予以付款。</w:t>
            </w:r>
          </w:p>
        </w:tc>
      </w:tr>
      <w:tr w14:paraId="23B9D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703" w:type="dxa"/>
            <w:tcBorders>
              <w:tl2br w:val="nil"/>
              <w:tr2bl w:val="nil"/>
            </w:tcBorders>
            <w:shd w:val="clear" w:color="auto" w:fill="auto"/>
            <w:vAlign w:val="center"/>
          </w:tcPr>
          <w:p w14:paraId="1AE73CF7">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5DD5FF3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包装和运输</w:t>
            </w:r>
          </w:p>
        </w:tc>
        <w:tc>
          <w:tcPr>
            <w:tcW w:w="6972" w:type="dxa"/>
            <w:tcBorders>
              <w:tl2br w:val="nil"/>
              <w:tr2bl w:val="nil"/>
            </w:tcBorders>
            <w:shd w:val="clear" w:color="auto" w:fill="auto"/>
            <w:vAlign w:val="center"/>
          </w:tcPr>
          <w:p w14:paraId="22E49B43">
            <w:pPr>
              <w:keepNext w:val="0"/>
              <w:keepLines w:val="0"/>
              <w:widowControl/>
              <w:suppressLineNumbers w:val="0"/>
              <w:spacing w:before="0" w:beforeAutospacing="0" w:after="0" w:afterAutospacing="0"/>
              <w:ind w:left="0" w:right="0" w:firstLine="210" w:firstLineChars="100"/>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供应商应为产品设备提供适宜运输的包装方式，产品设备采用密封性形式，包装上应注明防潮、防湿、防震、防锈、耐粗暴搬运等标识。对于由于包装不良所发生的损失及由于采用不充分或不妥善的防护措施而造成的任何锈损，</w:t>
            </w:r>
            <w:r>
              <w:rPr>
                <w:rFonts w:hint="eastAsia" w:ascii="宋体" w:hAnsi="宋体" w:cs="宋体"/>
                <w:sz w:val="21"/>
                <w:szCs w:val="21"/>
                <w:highlight w:val="none"/>
                <w:lang w:val="en-US" w:eastAsia="zh-CN" w:bidi="ar"/>
              </w:rPr>
              <w:t>供应商</w:t>
            </w:r>
            <w:r>
              <w:rPr>
                <w:rFonts w:hint="eastAsia" w:ascii="宋体" w:hAnsi="宋体" w:eastAsia="宋体" w:cs="宋体"/>
                <w:sz w:val="21"/>
                <w:szCs w:val="21"/>
                <w:highlight w:val="none"/>
                <w:lang w:val="en-US" w:eastAsia="zh-CN" w:bidi="ar"/>
              </w:rPr>
              <w:t>应承担由此而产生的一切费用和责任。</w:t>
            </w:r>
          </w:p>
        </w:tc>
      </w:tr>
      <w:tr w14:paraId="51760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03" w:type="dxa"/>
            <w:tcBorders>
              <w:tl2br w:val="nil"/>
              <w:tr2bl w:val="nil"/>
            </w:tcBorders>
            <w:shd w:val="clear" w:color="auto" w:fill="auto"/>
            <w:vAlign w:val="center"/>
          </w:tcPr>
          <w:p w14:paraId="3BF261C1">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083F8D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交货地点</w:t>
            </w:r>
          </w:p>
        </w:tc>
        <w:tc>
          <w:tcPr>
            <w:tcW w:w="6972" w:type="dxa"/>
            <w:tcBorders>
              <w:tl2br w:val="nil"/>
              <w:tr2bl w:val="nil"/>
            </w:tcBorders>
            <w:shd w:val="clear" w:color="auto" w:fill="auto"/>
            <w:vAlign w:val="center"/>
          </w:tcPr>
          <w:p w14:paraId="76991203">
            <w:pPr>
              <w:keepNext w:val="0"/>
              <w:keepLines w:val="0"/>
              <w:widowControl/>
              <w:suppressLineNumbers w:val="0"/>
              <w:spacing w:before="0" w:beforeAutospacing="0" w:after="0" w:afterAutospacing="0"/>
              <w:ind w:left="0" w:right="0" w:firstLine="210" w:firstLineChars="100"/>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恩施许家坪国际机场。</w:t>
            </w:r>
          </w:p>
        </w:tc>
      </w:tr>
      <w:tr w14:paraId="3A9C8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703" w:type="dxa"/>
            <w:tcBorders>
              <w:tl2br w:val="nil"/>
              <w:tr2bl w:val="nil"/>
            </w:tcBorders>
            <w:shd w:val="clear" w:color="auto" w:fill="auto"/>
            <w:vAlign w:val="center"/>
          </w:tcPr>
          <w:p w14:paraId="4C7FBC65">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64991AB5">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cs="Times New Roman"/>
                <w:kern w:val="0"/>
                <w:sz w:val="21"/>
                <w:szCs w:val="21"/>
                <w:highlight w:val="none"/>
                <w:lang w:val="en-US" w:eastAsia="zh-CN" w:bidi="ar"/>
              </w:rPr>
              <w:t>交货期限</w:t>
            </w:r>
          </w:p>
        </w:tc>
        <w:tc>
          <w:tcPr>
            <w:tcW w:w="6972" w:type="dxa"/>
            <w:tcBorders>
              <w:tl2br w:val="nil"/>
              <w:tr2bl w:val="nil"/>
            </w:tcBorders>
            <w:shd w:val="clear" w:color="auto" w:fill="auto"/>
            <w:vAlign w:val="center"/>
          </w:tcPr>
          <w:p w14:paraId="5992078A">
            <w:pPr>
              <w:pStyle w:val="75"/>
              <w:keepNext w:val="0"/>
              <w:keepLines w:val="0"/>
              <w:pageBreakBefore w:val="0"/>
              <w:widowControl w:val="0"/>
              <w:numPr>
                <w:ilvl w:val="0"/>
                <w:numId w:val="0"/>
              </w:numPr>
              <w:kinsoku/>
              <w:wordWrap/>
              <w:overflowPunct/>
              <w:topLinePunct w:val="0"/>
              <w:autoSpaceDE w:val="0"/>
              <w:autoSpaceDN w:val="0"/>
              <w:bidi w:val="0"/>
              <w:spacing w:line="240" w:lineRule="auto"/>
              <w:ind w:firstLine="420" w:firstLineChars="200"/>
              <w:jc w:val="both"/>
              <w:rPr>
                <w:rFonts w:hint="eastAsia" w:ascii="宋体" w:hAnsi="宋体" w:eastAsia="宋体" w:cs="宋体"/>
                <w:sz w:val="21"/>
                <w:szCs w:val="21"/>
                <w:highlight w:val="none"/>
                <w:lang w:bidi="ar"/>
              </w:rPr>
            </w:pPr>
            <w:r>
              <w:rPr>
                <w:rFonts w:hint="eastAsia" w:ascii="宋体" w:hAnsi="宋体" w:eastAsia="宋体" w:cs="宋体"/>
                <w:color w:val="auto"/>
                <w:kern w:val="2"/>
                <w:sz w:val="21"/>
                <w:szCs w:val="21"/>
                <w:highlight w:val="none"/>
                <w:lang w:val="en-US" w:eastAsia="zh-CN" w:bidi="ar"/>
              </w:rPr>
              <w:t>供应商应当在合同生效后【30个日历日】内将产品设备运送到采购人指定交付地点，并完成安装、调试。具体交货时间在此期限内以采购人通知为准。</w:t>
            </w:r>
          </w:p>
        </w:tc>
      </w:tr>
      <w:tr w14:paraId="4232E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03" w:type="dxa"/>
            <w:tcBorders>
              <w:tl2br w:val="nil"/>
              <w:tr2bl w:val="nil"/>
            </w:tcBorders>
            <w:shd w:val="clear" w:color="auto" w:fill="auto"/>
            <w:vAlign w:val="center"/>
          </w:tcPr>
          <w:p w14:paraId="49A1CB9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1646B11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付款方式</w:t>
            </w:r>
          </w:p>
        </w:tc>
        <w:tc>
          <w:tcPr>
            <w:tcW w:w="6972" w:type="dxa"/>
            <w:tcBorders>
              <w:tl2br w:val="nil"/>
              <w:tr2bl w:val="nil"/>
            </w:tcBorders>
            <w:shd w:val="clear" w:color="auto" w:fill="auto"/>
            <w:vAlign w:val="center"/>
          </w:tcPr>
          <w:p w14:paraId="1B31AB52">
            <w:pPr>
              <w:keepNext w:val="0"/>
              <w:keepLines w:val="0"/>
              <w:widowControl/>
              <w:suppressLineNumbers w:val="0"/>
              <w:spacing w:before="0" w:beforeAutospacing="0" w:after="0" w:afterAutospacing="0"/>
              <w:ind w:left="0" w:right="0" w:firstLine="210" w:firstLineChars="100"/>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合同签订后供应商负责将货物运到</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指定地点安装调试，通过采购人验收合格并收到供应商开具的全额增值税专用发票后，采购人在30个工作日内向供应商支付货款总额的95%，即人民币</w:t>
            </w:r>
            <w:r>
              <w:rPr>
                <w:rFonts w:hint="eastAsia" w:ascii="宋体" w:hAnsi="宋体" w:eastAsia="宋体" w:cs="宋体"/>
                <w:sz w:val="21"/>
                <w:szCs w:val="21"/>
                <w:highlight w:val="none"/>
                <w:u w:val="single"/>
                <w:lang w:val="en-US" w:eastAsia="zh-CN" w:bidi="ar"/>
              </w:rPr>
              <w:t xml:space="preserve">          </w:t>
            </w:r>
            <w:r>
              <w:rPr>
                <w:rFonts w:hint="eastAsia" w:ascii="宋体" w:hAnsi="宋体" w:eastAsia="宋体" w:cs="宋体"/>
                <w:sz w:val="21"/>
                <w:szCs w:val="21"/>
                <w:highlight w:val="none"/>
                <w:lang w:val="en-US" w:eastAsia="zh-CN" w:bidi="ar"/>
              </w:rPr>
              <w:t xml:space="preserve"> (￥</w:t>
            </w:r>
            <w:r>
              <w:rPr>
                <w:rFonts w:hint="eastAsia" w:ascii="宋体" w:hAnsi="宋体" w:eastAsia="宋体" w:cs="宋体"/>
                <w:sz w:val="21"/>
                <w:szCs w:val="21"/>
                <w:highlight w:val="none"/>
                <w:u w:val="single"/>
                <w:lang w:val="en-US" w:eastAsia="zh-CN" w:bidi="ar"/>
              </w:rPr>
              <w:t xml:space="preserve">      </w:t>
            </w:r>
            <w:r>
              <w:rPr>
                <w:rFonts w:hint="eastAsia" w:ascii="宋体" w:hAnsi="宋体" w:eastAsia="宋体" w:cs="宋体"/>
                <w:sz w:val="21"/>
                <w:szCs w:val="21"/>
                <w:highlight w:val="none"/>
                <w:lang w:val="en-US" w:eastAsia="zh-CN" w:bidi="ar"/>
              </w:rPr>
              <w:t xml:space="preserve"> )；余款（货款总额的5 %）即人民币</w:t>
            </w:r>
            <w:r>
              <w:rPr>
                <w:rFonts w:hint="eastAsia" w:ascii="宋体" w:hAnsi="宋体" w:eastAsia="宋体" w:cs="宋体"/>
                <w:sz w:val="21"/>
                <w:szCs w:val="21"/>
                <w:highlight w:val="none"/>
                <w:u w:val="single"/>
                <w:lang w:val="en-US" w:eastAsia="zh-CN" w:bidi="ar"/>
              </w:rPr>
              <w:t xml:space="preserve">            </w:t>
            </w:r>
            <w:r>
              <w:rPr>
                <w:rFonts w:hint="eastAsia" w:ascii="宋体" w:hAnsi="宋体" w:eastAsia="宋体" w:cs="宋体"/>
                <w:sz w:val="21"/>
                <w:szCs w:val="21"/>
                <w:highlight w:val="none"/>
                <w:lang w:val="en-US" w:eastAsia="zh-CN" w:bidi="ar"/>
              </w:rPr>
              <w:t xml:space="preserve"> (￥</w:t>
            </w:r>
            <w:r>
              <w:rPr>
                <w:rFonts w:hint="eastAsia" w:ascii="宋体" w:hAnsi="宋体" w:eastAsia="宋体" w:cs="宋体"/>
                <w:sz w:val="21"/>
                <w:szCs w:val="21"/>
                <w:highlight w:val="none"/>
                <w:u w:val="single"/>
                <w:lang w:val="en-US" w:eastAsia="zh-CN" w:bidi="ar"/>
              </w:rPr>
              <w:t xml:space="preserve">       </w:t>
            </w:r>
            <w:r>
              <w:rPr>
                <w:rFonts w:hint="eastAsia" w:ascii="宋体" w:hAnsi="宋体" w:eastAsia="宋体" w:cs="宋体"/>
                <w:sz w:val="21"/>
                <w:szCs w:val="21"/>
                <w:highlight w:val="none"/>
                <w:lang w:val="en-US" w:eastAsia="zh-CN" w:bidi="ar"/>
              </w:rPr>
              <w:t>)，作为质保金，待</w:t>
            </w: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val="en-US" w:eastAsia="zh-CN" w:bidi="ar"/>
              </w:rPr>
              <w:t>年质保期满，采购人收到质保金收据后，向供应商支付剩余5%质保金（不计利息）。</w:t>
            </w:r>
          </w:p>
          <w:p w14:paraId="68F44CAA">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p>
        </w:tc>
      </w:tr>
      <w:tr w14:paraId="7887E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03" w:type="dxa"/>
            <w:tcBorders>
              <w:tl2br w:val="nil"/>
              <w:tr2bl w:val="nil"/>
            </w:tcBorders>
            <w:shd w:val="clear" w:color="auto" w:fill="auto"/>
            <w:vAlign w:val="center"/>
          </w:tcPr>
          <w:p w14:paraId="53D1FA20">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994813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质量要求</w:t>
            </w:r>
          </w:p>
        </w:tc>
        <w:tc>
          <w:tcPr>
            <w:tcW w:w="6972" w:type="dxa"/>
            <w:tcBorders>
              <w:tl2br w:val="nil"/>
              <w:tr2bl w:val="nil"/>
            </w:tcBorders>
            <w:shd w:val="clear" w:color="auto" w:fill="auto"/>
            <w:vAlign w:val="center"/>
          </w:tcPr>
          <w:p w14:paraId="47380DD1">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bidi="ar"/>
              </w:rPr>
              <w:t>符合国家标准和采购人要求。</w:t>
            </w:r>
          </w:p>
        </w:tc>
      </w:tr>
      <w:tr w14:paraId="51405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03" w:type="dxa"/>
            <w:tcBorders>
              <w:tl2br w:val="nil"/>
              <w:tr2bl w:val="nil"/>
            </w:tcBorders>
            <w:shd w:val="clear" w:color="auto" w:fill="auto"/>
            <w:vAlign w:val="center"/>
          </w:tcPr>
          <w:p w14:paraId="1A056A1D">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00B619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color w:val="0C0C0C"/>
                <w:kern w:val="2"/>
                <w:sz w:val="21"/>
                <w:szCs w:val="21"/>
                <w:highlight w:val="none"/>
                <w:lang w:val="en-US" w:eastAsia="zh-CN" w:bidi="ar"/>
              </w:rPr>
              <w:t>产品到货验收</w:t>
            </w:r>
          </w:p>
        </w:tc>
        <w:tc>
          <w:tcPr>
            <w:tcW w:w="6972" w:type="dxa"/>
            <w:tcBorders>
              <w:tl2br w:val="nil"/>
              <w:tr2bl w:val="nil"/>
            </w:tcBorders>
            <w:shd w:val="clear" w:color="auto" w:fill="auto"/>
            <w:vAlign w:val="center"/>
          </w:tcPr>
          <w:p w14:paraId="5CC6CEE9">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bidi="ar"/>
              </w:rPr>
              <w:t>产品设备运送至</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指定地点后，由</w:t>
            </w:r>
            <w:r>
              <w:rPr>
                <w:rFonts w:hint="eastAsia" w:ascii="宋体" w:hAnsi="宋体" w:eastAsia="宋体" w:cs="宋体"/>
                <w:sz w:val="21"/>
                <w:szCs w:val="21"/>
                <w:highlight w:val="none"/>
                <w:lang w:val="en-US" w:eastAsia="zh-CN" w:bidi="ar"/>
              </w:rPr>
              <w:t>供应商、采购人</w:t>
            </w:r>
            <w:r>
              <w:rPr>
                <w:rFonts w:hint="eastAsia" w:ascii="宋体" w:hAnsi="宋体" w:eastAsia="宋体" w:cs="宋体"/>
                <w:sz w:val="21"/>
                <w:szCs w:val="21"/>
                <w:highlight w:val="none"/>
                <w:lang w:bidi="ar"/>
              </w:rPr>
              <w:t>双方共同对产品设备进行检验并办理相关移交手续。</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接收产品设备不代表</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对产品设备质量的认可。收到产品设备后履行收货验收手续，经验收确认产品设备符合要求后，由</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在收货验收单或试运行报告（如有）上签字。</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收货验收并不免除</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对产品设备质量应当承担的责任，如果</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在使用产品设备时发现设计、安装、制造、材料、工艺等方面的缺陷导致的任何质量问题，</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仍应承担责任。试运行报告须体现项目达到最终验收合格标准的试运行结论。试运行期间由于</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产品设备质量问题造成的财产损失和人员伤害，由</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承担全部责任及赔偿。如所采购的产品设备因其自身特点导致</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无法在收货验收当时发现其质量、设计、安装、制造、材料、工艺等方面的问题及缺陷，则</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享有合理的适用或测试使用时间，如该期间内发现上述问题，则</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应无条件为</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提供换货或退货处理，在此情况下</w:t>
            </w: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无权以</w:t>
            </w:r>
            <w:r>
              <w:rPr>
                <w:rFonts w:hint="eastAsia" w:ascii="宋体" w:hAnsi="宋体" w:eastAsia="宋体" w:cs="宋体"/>
                <w:sz w:val="21"/>
                <w:szCs w:val="21"/>
                <w:highlight w:val="none"/>
                <w:lang w:val="en-US" w:eastAsia="zh-CN" w:bidi="ar"/>
              </w:rPr>
              <w:t>采购人</w:t>
            </w:r>
            <w:r>
              <w:rPr>
                <w:rFonts w:hint="eastAsia" w:ascii="宋体" w:hAnsi="宋体" w:eastAsia="宋体" w:cs="宋体"/>
                <w:sz w:val="21"/>
                <w:szCs w:val="21"/>
                <w:highlight w:val="none"/>
                <w:lang w:bidi="ar"/>
              </w:rPr>
              <w:t>收货验收作为其已交付产品设备的抗辩。</w:t>
            </w:r>
          </w:p>
        </w:tc>
      </w:tr>
      <w:tr w14:paraId="586FC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03" w:type="dxa"/>
            <w:tcBorders>
              <w:tl2br w:val="nil"/>
              <w:tr2bl w:val="nil"/>
            </w:tcBorders>
            <w:shd w:val="clear" w:color="auto" w:fill="auto"/>
            <w:vAlign w:val="center"/>
          </w:tcPr>
          <w:p w14:paraId="7CA9F130">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6061A05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eastAsia" w:cs="Times New Roman"/>
                <w:kern w:val="0"/>
                <w:sz w:val="21"/>
                <w:szCs w:val="21"/>
                <w:highlight w:val="none"/>
                <w:lang w:val="en-US" w:eastAsia="zh-CN" w:bidi="ar"/>
              </w:rPr>
              <w:t>质量保证</w:t>
            </w:r>
          </w:p>
        </w:tc>
        <w:tc>
          <w:tcPr>
            <w:tcW w:w="6972" w:type="dxa"/>
            <w:tcBorders>
              <w:tl2br w:val="nil"/>
              <w:tr2bl w:val="nil"/>
            </w:tcBorders>
            <w:shd w:val="clear" w:color="auto" w:fill="auto"/>
            <w:vAlign w:val="center"/>
          </w:tcPr>
          <w:p w14:paraId="642480F6">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bidi="ar"/>
              </w:rPr>
              <w:t>供应商保证所提供的产品设备符合招、投标文件的要求，以标准孰高为准且有利于采购人为准。在交货之前，供应商应就产品设备的品质、规格、性能、数量及重量等做出准确和全面的检验，保证产品设备不存在任何瑕疵，质量符合相应的国家和行业标准及招、投标文件的要求。供应商保证所提供的产品设备为采购人所规定之原始生产厂家生产和制造的全新产品设备，如前述产品设备说明书中包含排除供应商法定或约定义务内容的，或该说明书中承诺的质量标准低于国家或行业推荐性标准的，均属无效；除非采购人明确书面同意接受，否则本合同附属、补充文件及产品设备支持文件中规定的给供应商责任限制条款不适用于采购人。供应商在投标时已明确了品牌的材料和设备，供应商须自行确认所供材料和设备在近【5】年是否会面临停供、停产等问题，以及其他可能导致发生材料和设备变更的不利信息。供应商变更材料和设备，必须经过采购人书面同意，且档次和质量等不能低于投标的品牌。如因变更导致费用增加，供应商自行承担增加费用；如导致费用减少的，采购人有权据实扣除差额部分；且无论因变更导致费用的增减，供应商均须按照变更部分总金额的【5%】承担违约金。如供应商以停产、停供、或工期延误等理由申请变更的，则须无条件按照变更部分总金额的【5%】承担违约金。</w:t>
            </w:r>
          </w:p>
        </w:tc>
      </w:tr>
      <w:tr w14:paraId="18F8F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3" w:type="dxa"/>
            <w:tcBorders>
              <w:tl2br w:val="nil"/>
              <w:tr2bl w:val="nil"/>
            </w:tcBorders>
            <w:shd w:val="clear" w:color="auto" w:fill="auto"/>
            <w:vAlign w:val="center"/>
          </w:tcPr>
          <w:p w14:paraId="3A87C596">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07F1FBD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eastAsia" w:ascii="宋体" w:hAnsi="宋体" w:cs="宋体"/>
                <w:sz w:val="21"/>
                <w:szCs w:val="21"/>
                <w:highlight w:val="none"/>
              </w:rPr>
              <w:t>违约责任</w:t>
            </w:r>
          </w:p>
        </w:tc>
        <w:tc>
          <w:tcPr>
            <w:tcW w:w="6972" w:type="dxa"/>
            <w:tcBorders>
              <w:tl2br w:val="nil"/>
              <w:tr2bl w:val="nil"/>
            </w:tcBorders>
            <w:shd w:val="clear" w:color="auto" w:fill="auto"/>
            <w:vAlign w:val="center"/>
          </w:tcPr>
          <w:p w14:paraId="41E158DE">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如供应商逾期交付、安装的（经</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允许可以延期交付的产品设备除外），每逾期一天，应按合同价款的【千分之二】向</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支付违约金，同时仍应履行合同义务；逾期超过【30】天的，</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有权解除本合同。如违约金不足以弥补</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损失的，</w:t>
            </w:r>
            <w:r>
              <w:rPr>
                <w:rFonts w:hint="eastAsia" w:ascii="宋体" w:hAnsi="宋体" w:cs="宋体"/>
                <w:sz w:val="21"/>
                <w:szCs w:val="21"/>
                <w:highlight w:val="none"/>
                <w:lang w:val="en-US" w:eastAsia="zh-CN" w:bidi="ar"/>
              </w:rPr>
              <w:t>采购人</w:t>
            </w:r>
            <w:r>
              <w:rPr>
                <w:rFonts w:hint="eastAsia" w:ascii="宋体" w:hAnsi="宋体" w:eastAsia="宋体" w:cs="宋体"/>
                <w:sz w:val="21"/>
                <w:szCs w:val="21"/>
                <w:highlight w:val="none"/>
                <w:lang w:val="en-US" w:eastAsia="zh-CN" w:bidi="ar"/>
              </w:rPr>
              <w:t>还有权要求供应商赔偿损失。</w:t>
            </w:r>
          </w:p>
          <w:p w14:paraId="6AD791C0">
            <w:pPr>
              <w:keepNext w:val="0"/>
              <w:keepLines w:val="0"/>
              <w:widowControl/>
              <w:suppressLineNumbers w:val="0"/>
              <w:spacing w:before="0" w:beforeAutospacing="0" w:after="0" w:afterAutospacing="0"/>
              <w:ind w:left="0" w:leftChars="0" w:right="0" w:rightChars="0" w:firstLine="210" w:firstLineChars="100"/>
              <w:jc w:val="left"/>
              <w:rPr>
                <w:rFonts w:hint="eastAsia" w:asciiTheme="minorEastAsia" w:hAnsiTheme="minorEastAsia" w:eastAsiaTheme="minorEastAsia" w:cstheme="minorEastAsia"/>
                <w:spacing w:val="0"/>
                <w:highlight w:val="none"/>
              </w:rPr>
            </w:pPr>
            <w:r>
              <w:rPr>
                <w:rFonts w:hint="eastAsia" w:ascii="宋体" w:hAnsi="宋体" w:cs="宋体"/>
                <w:sz w:val="21"/>
                <w:szCs w:val="21"/>
                <w:highlight w:val="none"/>
                <w:lang w:val="en-US" w:eastAsia="zh-CN" w:bidi="ar"/>
              </w:rPr>
              <w:t>如供应商</w:t>
            </w:r>
            <w:r>
              <w:rPr>
                <w:rFonts w:hint="eastAsia" w:asciiTheme="minorEastAsia" w:hAnsiTheme="minorEastAsia" w:eastAsiaTheme="minorEastAsia" w:cstheme="minorEastAsia"/>
                <w:spacing w:val="0"/>
                <w:highlight w:val="none"/>
              </w:rPr>
              <w:t>所供</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的质量不合格，导致</w:t>
            </w:r>
            <w:r>
              <w:rPr>
                <w:rFonts w:hint="eastAsia" w:ascii="宋体" w:hAnsi="宋体" w:cs="宋体"/>
                <w:sz w:val="21"/>
                <w:szCs w:val="21"/>
                <w:highlight w:val="none"/>
                <w:lang w:val="en-US" w:eastAsia="zh-CN" w:bidi="ar"/>
              </w:rPr>
              <w:t>采购人</w:t>
            </w:r>
            <w:r>
              <w:rPr>
                <w:rFonts w:hint="eastAsia" w:asciiTheme="minorEastAsia" w:hAnsiTheme="minorEastAsia" w:eastAsiaTheme="minorEastAsia" w:cstheme="minorEastAsia"/>
                <w:spacing w:val="0"/>
                <w:highlight w:val="none"/>
              </w:rPr>
              <w:t>换货、退货或解除</w:t>
            </w:r>
            <w:r>
              <w:rPr>
                <w:rFonts w:hint="eastAsia" w:asciiTheme="minorEastAsia" w:hAnsiTheme="minorEastAsia" w:eastAsiaTheme="minorEastAsia" w:cstheme="minorEastAsia"/>
                <w:spacing w:val="0"/>
                <w:highlight w:val="none"/>
              </w:rPr>
              <w:t>合同的，除承担退换货责任外，</w:t>
            </w:r>
            <w:r>
              <w:rPr>
                <w:rFonts w:hint="eastAsia" w:ascii="宋体" w:hAnsi="宋体" w:cs="宋体"/>
                <w:sz w:val="21"/>
                <w:szCs w:val="21"/>
                <w:highlight w:val="none"/>
                <w:lang w:val="en-US" w:eastAsia="zh-CN" w:bidi="ar"/>
              </w:rPr>
              <w:t>供应商</w:t>
            </w:r>
            <w:r>
              <w:rPr>
                <w:rFonts w:hint="eastAsia" w:asciiTheme="minorEastAsia" w:hAnsiTheme="minorEastAsia" w:eastAsiaTheme="minorEastAsia" w:cstheme="minorEastAsia"/>
                <w:spacing w:val="0"/>
                <w:highlight w:val="none"/>
              </w:rPr>
              <w:t>还应向</w:t>
            </w:r>
            <w:r>
              <w:rPr>
                <w:rFonts w:hint="eastAsia" w:ascii="宋体" w:hAnsi="宋体" w:cs="宋体"/>
                <w:sz w:val="21"/>
                <w:szCs w:val="21"/>
                <w:highlight w:val="none"/>
                <w:lang w:val="en-US" w:eastAsia="zh-CN" w:bidi="ar"/>
              </w:rPr>
              <w:t>采购人</w:t>
            </w:r>
            <w:r>
              <w:rPr>
                <w:rFonts w:hint="eastAsia" w:asciiTheme="minorEastAsia" w:hAnsiTheme="minorEastAsia" w:eastAsiaTheme="minorEastAsia" w:cstheme="minorEastAsia"/>
                <w:spacing w:val="0"/>
                <w:highlight w:val="none"/>
              </w:rPr>
              <w:t>支付换货、退货价值或合同总价</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的违约金，因此导致</w:t>
            </w:r>
            <w:r>
              <w:rPr>
                <w:rFonts w:hint="eastAsia" w:ascii="宋体" w:hAnsi="宋体" w:cs="宋体"/>
                <w:sz w:val="21"/>
                <w:szCs w:val="21"/>
                <w:highlight w:val="none"/>
                <w:lang w:val="en-US" w:eastAsia="zh-CN" w:bidi="ar"/>
              </w:rPr>
              <w:t>供应商</w:t>
            </w:r>
            <w:r>
              <w:rPr>
                <w:rFonts w:hint="eastAsia" w:asciiTheme="minorEastAsia" w:hAnsiTheme="minorEastAsia" w:eastAsiaTheme="minorEastAsia" w:cstheme="minorEastAsia"/>
                <w:spacing w:val="0"/>
                <w:highlight w:val="none"/>
              </w:rPr>
              <w:t>逾期交付</w:t>
            </w:r>
            <w:r>
              <w:rPr>
                <w:rFonts w:hint="eastAsia" w:asciiTheme="minorEastAsia" w:hAnsiTheme="minorEastAsia" w:eastAsiaTheme="minorEastAsia" w:cstheme="minorEastAsia"/>
                <w:spacing w:val="0"/>
                <w:highlight w:val="none"/>
                <w:lang w:val="en-US" w:eastAsia="zh-CN"/>
              </w:rPr>
              <w:t>产品</w:t>
            </w:r>
            <w:r>
              <w:rPr>
                <w:rFonts w:hint="eastAsia" w:asciiTheme="minorEastAsia" w:hAnsiTheme="minorEastAsia" w:eastAsiaTheme="minorEastAsia" w:cstheme="minorEastAsia"/>
                <w:spacing w:val="0"/>
                <w:highlight w:val="none"/>
              </w:rPr>
              <w:t>设备的，</w:t>
            </w:r>
            <w:r>
              <w:rPr>
                <w:rFonts w:hint="eastAsia" w:ascii="宋体" w:hAnsi="宋体" w:cs="宋体"/>
                <w:sz w:val="21"/>
                <w:szCs w:val="21"/>
                <w:highlight w:val="none"/>
                <w:lang w:val="en-US" w:eastAsia="zh-CN" w:bidi="ar"/>
              </w:rPr>
              <w:t>供应商</w:t>
            </w:r>
            <w:r>
              <w:rPr>
                <w:rFonts w:hint="eastAsia" w:asciiTheme="minorEastAsia" w:hAnsiTheme="minorEastAsia" w:eastAsiaTheme="minorEastAsia" w:cstheme="minorEastAsia"/>
                <w:spacing w:val="0"/>
                <w:highlight w:val="none"/>
              </w:rPr>
              <w:t>除承担前述违约责任外，还应按照上述</w:t>
            </w:r>
            <w:r>
              <w:rPr>
                <w:rFonts w:hint="eastAsia" w:asciiTheme="minorEastAsia" w:hAnsiTheme="minorEastAsia" w:eastAsiaTheme="minorEastAsia" w:cstheme="minorEastAsia"/>
                <w:spacing w:val="0"/>
                <w:highlight w:val="none"/>
                <w:lang w:val="en-US" w:eastAsia="zh-CN"/>
              </w:rPr>
              <w:t>条款</w:t>
            </w:r>
            <w:r>
              <w:rPr>
                <w:rFonts w:hint="eastAsia" w:asciiTheme="minorEastAsia" w:hAnsiTheme="minorEastAsia" w:eastAsiaTheme="minorEastAsia" w:cstheme="minorEastAsia"/>
                <w:spacing w:val="0"/>
                <w:highlight w:val="none"/>
              </w:rPr>
              <w:t>的约定向</w:t>
            </w:r>
            <w:r>
              <w:rPr>
                <w:rFonts w:hint="eastAsia" w:ascii="宋体" w:hAnsi="宋体" w:cs="宋体"/>
                <w:sz w:val="21"/>
                <w:szCs w:val="21"/>
                <w:highlight w:val="none"/>
                <w:lang w:val="en-US" w:eastAsia="zh-CN" w:bidi="ar"/>
              </w:rPr>
              <w:t>采购人</w:t>
            </w:r>
            <w:r>
              <w:rPr>
                <w:rFonts w:hint="eastAsia" w:asciiTheme="minorEastAsia" w:hAnsiTheme="minorEastAsia" w:eastAsiaTheme="minorEastAsia" w:cstheme="minorEastAsia"/>
                <w:spacing w:val="0"/>
                <w:highlight w:val="none"/>
              </w:rPr>
              <w:t>承担违约责任。</w:t>
            </w:r>
          </w:p>
          <w:p w14:paraId="64A5CC52">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pacing w:val="0"/>
                <w:highlight w:val="none"/>
                <w:lang w:val="en-US" w:eastAsia="zh-CN"/>
              </w:rPr>
              <w:t>如供应商未按</w:t>
            </w:r>
            <w:r>
              <w:rPr>
                <w:rFonts w:hint="eastAsia" w:ascii="宋体" w:hAnsi="宋体" w:cs="宋体"/>
                <w:sz w:val="21"/>
                <w:szCs w:val="21"/>
                <w:highlight w:val="none"/>
                <w:lang w:val="en-US" w:eastAsia="zh-CN" w:bidi="ar"/>
              </w:rPr>
              <w:t>采购人</w:t>
            </w:r>
            <w:r>
              <w:rPr>
                <w:rFonts w:hint="eastAsia" w:asciiTheme="minorEastAsia" w:hAnsiTheme="minorEastAsia" w:eastAsiaTheme="minorEastAsia" w:cstheme="minorEastAsia"/>
                <w:spacing w:val="0"/>
                <w:highlight w:val="none"/>
                <w:lang w:val="en-US" w:eastAsia="zh-CN"/>
              </w:rPr>
              <w:t>要求响应质保责任，每次按【1000】元/次承担违约金，且</w:t>
            </w:r>
            <w:r>
              <w:rPr>
                <w:rFonts w:hint="eastAsia" w:ascii="宋体" w:hAnsi="宋体" w:cs="宋体"/>
                <w:sz w:val="21"/>
                <w:szCs w:val="21"/>
                <w:highlight w:val="none"/>
                <w:lang w:val="en-US" w:eastAsia="zh-CN" w:bidi="ar"/>
              </w:rPr>
              <w:t>采购人</w:t>
            </w:r>
            <w:r>
              <w:rPr>
                <w:rFonts w:hint="eastAsia" w:asciiTheme="minorEastAsia" w:hAnsiTheme="minorEastAsia" w:eastAsiaTheme="minorEastAsia" w:cstheme="minorEastAsia"/>
                <w:spacing w:val="0"/>
                <w:highlight w:val="none"/>
                <w:lang w:val="en-US" w:eastAsia="zh-CN"/>
              </w:rPr>
              <w:t>有权委托第三方进行质保，所有费用从质保金中扣除，不足部分由</w:t>
            </w:r>
            <w:r>
              <w:rPr>
                <w:rFonts w:hint="eastAsia" w:ascii="宋体" w:hAnsi="宋体" w:cs="宋体"/>
                <w:sz w:val="21"/>
                <w:szCs w:val="21"/>
                <w:highlight w:val="none"/>
                <w:lang w:val="en-US" w:eastAsia="zh-CN" w:bidi="ar"/>
              </w:rPr>
              <w:t>供应商</w:t>
            </w:r>
            <w:r>
              <w:rPr>
                <w:rFonts w:hint="eastAsia" w:asciiTheme="minorEastAsia" w:hAnsiTheme="minorEastAsia" w:eastAsiaTheme="minorEastAsia" w:cstheme="minorEastAsia"/>
                <w:spacing w:val="0"/>
                <w:highlight w:val="none"/>
                <w:lang w:val="en-US" w:eastAsia="zh-CN"/>
              </w:rPr>
              <w:t>另行承担且不免除</w:t>
            </w:r>
            <w:r>
              <w:rPr>
                <w:rFonts w:hint="eastAsia" w:ascii="宋体" w:hAnsi="宋体" w:cs="宋体"/>
                <w:sz w:val="21"/>
                <w:szCs w:val="21"/>
                <w:highlight w:val="none"/>
                <w:lang w:val="en-US" w:eastAsia="zh-CN" w:bidi="ar"/>
              </w:rPr>
              <w:t>供应商</w:t>
            </w:r>
            <w:r>
              <w:rPr>
                <w:rFonts w:hint="eastAsia" w:asciiTheme="minorEastAsia" w:hAnsiTheme="minorEastAsia" w:eastAsiaTheme="minorEastAsia" w:cstheme="minorEastAsia"/>
                <w:spacing w:val="0"/>
                <w:highlight w:val="none"/>
                <w:lang w:val="en-US" w:eastAsia="zh-CN"/>
              </w:rPr>
              <w:t>的质保责任。</w:t>
            </w:r>
          </w:p>
        </w:tc>
      </w:tr>
      <w:tr w14:paraId="143CB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703" w:type="dxa"/>
            <w:tcBorders>
              <w:tl2br w:val="nil"/>
              <w:tr2bl w:val="nil"/>
            </w:tcBorders>
            <w:shd w:val="clear" w:color="auto" w:fill="auto"/>
            <w:vAlign w:val="center"/>
          </w:tcPr>
          <w:p w14:paraId="4BCC541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7143BB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培训</w:t>
            </w:r>
          </w:p>
        </w:tc>
        <w:tc>
          <w:tcPr>
            <w:tcW w:w="6972" w:type="dxa"/>
            <w:tcBorders>
              <w:tl2br w:val="nil"/>
              <w:tr2bl w:val="nil"/>
            </w:tcBorders>
            <w:shd w:val="clear" w:color="auto" w:fill="auto"/>
            <w:vAlign w:val="center"/>
          </w:tcPr>
          <w:p w14:paraId="50A4371B">
            <w:pPr>
              <w:keepNext w:val="0"/>
              <w:keepLines w:val="0"/>
              <w:widowControl/>
              <w:suppressLineNumbers w:val="0"/>
              <w:spacing w:before="0" w:beforeAutospacing="0" w:after="0" w:afterAutospacing="0"/>
              <w:ind w:left="0" w:leftChars="0" w:right="0" w:rightChars="0" w:firstLine="210" w:firstLineChars="1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highlight w:val="none"/>
                <w:lang w:val="en-US" w:eastAsia="zh-CN" w:bidi="ar"/>
              </w:rPr>
              <w:t>供应商</w:t>
            </w:r>
            <w:r>
              <w:rPr>
                <w:rFonts w:hint="eastAsia" w:ascii="宋体" w:hAnsi="宋体" w:eastAsia="宋体" w:cs="宋体"/>
                <w:sz w:val="21"/>
                <w:szCs w:val="21"/>
                <w:highlight w:val="none"/>
                <w:lang w:bidi="ar"/>
              </w:rPr>
              <w:t>安排主要设备厂商工程师为采购人相关</w:t>
            </w:r>
            <w:r>
              <w:rPr>
                <w:rFonts w:hint="eastAsia" w:ascii="宋体" w:hAnsi="宋体" w:eastAsia="宋体" w:cs="宋体"/>
                <w:sz w:val="21"/>
                <w:szCs w:val="21"/>
                <w:highlight w:val="none"/>
                <w:lang w:val="en-US" w:eastAsia="zh-CN" w:bidi="ar"/>
              </w:rPr>
              <w:t>人员</w:t>
            </w:r>
            <w:r>
              <w:rPr>
                <w:rFonts w:hint="eastAsia" w:ascii="宋体" w:hAnsi="宋体" w:eastAsia="宋体" w:cs="宋体"/>
                <w:sz w:val="21"/>
                <w:szCs w:val="21"/>
                <w:highlight w:val="none"/>
                <w:lang w:bidi="ar"/>
              </w:rPr>
              <w:t>提供安装、操作、一般故障排除等培训，场地、交通等与培训相关的费用均由成交</w:t>
            </w:r>
            <w:r>
              <w:rPr>
                <w:rFonts w:hint="eastAsia" w:ascii="宋体" w:hAnsi="宋体" w:eastAsia="宋体" w:cs="宋体"/>
                <w:sz w:val="21"/>
                <w:szCs w:val="21"/>
                <w:highlight w:val="none"/>
                <w:lang w:val="en-US" w:eastAsia="zh-CN" w:bidi="ar"/>
              </w:rPr>
              <w:t>成交供应商</w:t>
            </w:r>
            <w:r>
              <w:rPr>
                <w:rFonts w:hint="eastAsia" w:ascii="宋体" w:hAnsi="宋体" w:eastAsia="宋体" w:cs="宋体"/>
                <w:sz w:val="21"/>
                <w:szCs w:val="21"/>
                <w:highlight w:val="none"/>
                <w:lang w:bidi="ar"/>
              </w:rPr>
              <w:t>承担。</w:t>
            </w:r>
          </w:p>
        </w:tc>
      </w:tr>
      <w:tr w14:paraId="241B4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703" w:type="dxa"/>
            <w:tcBorders>
              <w:tl2br w:val="nil"/>
              <w:tr2bl w:val="nil"/>
            </w:tcBorders>
            <w:shd w:val="clear" w:color="auto" w:fill="auto"/>
            <w:vAlign w:val="center"/>
          </w:tcPr>
          <w:p w14:paraId="1CC72384">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4807EF3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售后服务</w:t>
            </w:r>
          </w:p>
        </w:tc>
        <w:tc>
          <w:tcPr>
            <w:tcW w:w="6972" w:type="dxa"/>
            <w:tcBorders>
              <w:tl2br w:val="nil"/>
              <w:tr2bl w:val="nil"/>
            </w:tcBorders>
            <w:shd w:val="clear" w:color="auto" w:fill="auto"/>
            <w:vAlign w:val="center"/>
          </w:tcPr>
          <w:p w14:paraId="63DB3A2D">
            <w:pPr>
              <w:keepNext w:val="0"/>
              <w:keepLines w:val="0"/>
              <w:widowControl/>
              <w:suppressLineNumbers w:val="0"/>
              <w:spacing w:before="0" w:beforeAutospacing="0" w:after="0" w:afterAutospacing="0"/>
              <w:ind w:left="0" w:leftChars="0" w:right="0" w:rightChars="0" w:firstLine="210" w:firstLineChars="100"/>
              <w:jc w:val="left"/>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供应商提供终身售后和技术支持，并应做好定期采购人回访工作，及时发现、回复采购人提出的问题，并根据采购人需求提供相关的数据。</w:t>
            </w:r>
          </w:p>
          <w:p w14:paraId="4C515ECA">
            <w:pPr>
              <w:keepNext w:val="0"/>
              <w:keepLines w:val="0"/>
              <w:widowControl/>
              <w:suppressLineNumbers w:val="0"/>
              <w:spacing w:before="0" w:beforeAutospacing="0" w:after="0" w:afterAutospacing="0"/>
              <w:ind w:left="0" w:leftChars="0" w:right="0" w:rightChars="0" w:firstLine="210" w:firstLineChars="100"/>
              <w:jc w:val="left"/>
              <w:rPr>
                <w:rFonts w:hint="default"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供应商</w:t>
            </w:r>
            <w:r>
              <w:rPr>
                <w:rFonts w:hint="eastAsia" w:asciiTheme="minorEastAsia" w:hAnsiTheme="minorEastAsia" w:eastAsiaTheme="minorEastAsia" w:cstheme="minorEastAsia"/>
                <w:spacing w:val="0"/>
                <w:highlight w:val="none"/>
              </w:rPr>
              <w:t>应在中国设有常驻售后服务机构，处理所有报修服务，该服务必须是</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24</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小时提供的，在接到</w:t>
            </w:r>
            <w:r>
              <w:rPr>
                <w:rFonts w:hint="eastAsia" w:asciiTheme="minorEastAsia" w:hAnsiTheme="minorEastAsia" w:eastAsiaTheme="minorEastAsia" w:cstheme="minorEastAsia"/>
                <w:spacing w:val="0"/>
                <w:highlight w:val="none"/>
                <w:lang w:val="en-US" w:eastAsia="zh-CN"/>
              </w:rPr>
              <w:t>采购人</w:t>
            </w:r>
            <w:r>
              <w:rPr>
                <w:rFonts w:hint="eastAsia" w:asciiTheme="minorEastAsia" w:hAnsiTheme="minorEastAsia" w:eastAsiaTheme="minorEastAsia" w:cstheme="minorEastAsia"/>
                <w:spacing w:val="0"/>
                <w:highlight w:val="none"/>
              </w:rPr>
              <w:t>报修通知后</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48</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小时内维修人员应赶到现场，并进行连续维修，直到故障完全排除</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恢复正常运行为止。</w:t>
            </w:r>
            <w:r>
              <w:rPr>
                <w:rFonts w:hint="eastAsia" w:asciiTheme="minorEastAsia" w:hAnsiTheme="minorEastAsia" w:eastAsiaTheme="minorEastAsia" w:cstheme="minorEastAsia"/>
                <w:spacing w:val="0"/>
                <w:highlight w:val="none"/>
                <w:lang w:val="en-US" w:eastAsia="zh-CN"/>
              </w:rPr>
              <w:t>供应商</w:t>
            </w:r>
            <w:r>
              <w:rPr>
                <w:rFonts w:hint="eastAsia" w:asciiTheme="minorEastAsia" w:hAnsiTheme="minorEastAsia" w:eastAsiaTheme="minorEastAsia" w:cstheme="minorEastAsia"/>
                <w:spacing w:val="0"/>
                <w:highlight w:val="none"/>
              </w:rPr>
              <w:t>须备有足够的零备件，以满足</w:t>
            </w:r>
            <w:r>
              <w:rPr>
                <w:rFonts w:hint="eastAsia" w:asciiTheme="minorEastAsia" w:hAnsiTheme="minorEastAsia" w:eastAsiaTheme="minorEastAsia" w:cstheme="minorEastAsia"/>
                <w:spacing w:val="0"/>
                <w:highlight w:val="none"/>
                <w:lang w:val="en-US" w:eastAsia="zh-CN"/>
              </w:rPr>
              <w:t>采购人</w:t>
            </w:r>
            <w:r>
              <w:rPr>
                <w:rFonts w:hint="eastAsia" w:asciiTheme="minorEastAsia" w:hAnsiTheme="minorEastAsia" w:eastAsiaTheme="minorEastAsia" w:cstheme="minorEastAsia"/>
                <w:spacing w:val="0"/>
                <w:highlight w:val="none"/>
              </w:rPr>
              <w:t>的维修需要。在接到</w:t>
            </w:r>
            <w:r>
              <w:rPr>
                <w:rFonts w:hint="eastAsia" w:asciiTheme="minorEastAsia" w:hAnsiTheme="minorEastAsia" w:eastAsiaTheme="minorEastAsia" w:cstheme="minorEastAsia"/>
                <w:spacing w:val="0"/>
                <w:highlight w:val="none"/>
                <w:lang w:val="en-US" w:eastAsia="zh-CN"/>
              </w:rPr>
              <w:t>采购人</w:t>
            </w:r>
            <w:r>
              <w:rPr>
                <w:rFonts w:hint="eastAsia" w:asciiTheme="minorEastAsia" w:hAnsiTheme="minorEastAsia" w:eastAsiaTheme="minorEastAsia" w:cstheme="minorEastAsia"/>
                <w:spacing w:val="0"/>
                <w:highlight w:val="none"/>
              </w:rPr>
              <w:t>的故障通知后，若</w:t>
            </w:r>
            <w:r>
              <w:rPr>
                <w:rFonts w:hint="eastAsia" w:asciiTheme="minorEastAsia" w:hAnsiTheme="minorEastAsia" w:eastAsiaTheme="minorEastAsia" w:cstheme="minorEastAsia"/>
                <w:spacing w:val="0"/>
                <w:kern w:val="0"/>
                <w:highlight w:val="none"/>
                <w:lang w:val="en-US" w:eastAsia="zh-CN"/>
              </w:rPr>
              <w:t>供应商</w:t>
            </w:r>
            <w:r>
              <w:rPr>
                <w:rFonts w:hint="eastAsia" w:asciiTheme="minorEastAsia" w:hAnsiTheme="minorEastAsia" w:eastAsiaTheme="minorEastAsia" w:cstheme="minorEastAsia"/>
                <w:spacing w:val="0"/>
                <w:highlight w:val="none"/>
              </w:rPr>
              <w:t>未能在</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48</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小时内到达现场，</w:t>
            </w:r>
            <w:r>
              <w:rPr>
                <w:rFonts w:hint="eastAsia" w:asciiTheme="minorEastAsia" w:hAnsiTheme="minorEastAsia" w:eastAsiaTheme="minorEastAsia" w:cstheme="minorEastAsia"/>
                <w:spacing w:val="0"/>
                <w:highlight w:val="none"/>
                <w:lang w:val="en-US" w:eastAsia="zh-CN"/>
              </w:rPr>
              <w:t>采购人</w:t>
            </w:r>
            <w:r>
              <w:rPr>
                <w:rFonts w:hint="eastAsia" w:asciiTheme="minorEastAsia" w:hAnsiTheme="minorEastAsia" w:eastAsiaTheme="minorEastAsia" w:cstheme="minorEastAsia"/>
                <w:spacing w:val="0"/>
                <w:highlight w:val="none"/>
              </w:rPr>
              <w:t>有权要求</w:t>
            </w:r>
            <w:r>
              <w:rPr>
                <w:rFonts w:hint="eastAsia" w:asciiTheme="minorEastAsia" w:hAnsiTheme="minorEastAsia" w:eastAsiaTheme="minorEastAsia" w:cstheme="minorEastAsia"/>
                <w:spacing w:val="0"/>
                <w:kern w:val="0"/>
                <w:highlight w:val="none"/>
                <w:lang w:val="en-US" w:eastAsia="zh-CN"/>
              </w:rPr>
              <w:t>供应商</w:t>
            </w:r>
            <w:r>
              <w:rPr>
                <w:rFonts w:hint="eastAsia" w:asciiTheme="minorEastAsia" w:hAnsiTheme="minorEastAsia" w:eastAsiaTheme="minorEastAsia" w:cstheme="minorEastAsia"/>
                <w:spacing w:val="0"/>
                <w:highlight w:val="none"/>
              </w:rPr>
              <w:t>给予赔偿</w:t>
            </w:r>
            <w:r>
              <w:rPr>
                <w:rFonts w:hint="eastAsia" w:asciiTheme="minorEastAsia" w:hAnsiTheme="minorEastAsia" w:eastAsiaTheme="minorEastAsia" w:cstheme="minorEastAsia"/>
                <w:spacing w:val="0"/>
                <w:highlight w:val="none"/>
                <w:lang w:eastAsia="zh-CN"/>
              </w:rPr>
              <w:t>。</w:t>
            </w:r>
          </w:p>
        </w:tc>
      </w:tr>
      <w:tr w14:paraId="1401A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703" w:type="dxa"/>
            <w:tcBorders>
              <w:tl2br w:val="nil"/>
              <w:tr2bl w:val="nil"/>
            </w:tcBorders>
            <w:shd w:val="clear" w:color="auto" w:fill="auto"/>
            <w:vAlign w:val="center"/>
          </w:tcPr>
          <w:p w14:paraId="4B67D90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764D5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知识产权</w:t>
            </w:r>
          </w:p>
        </w:tc>
        <w:tc>
          <w:tcPr>
            <w:tcW w:w="6972" w:type="dxa"/>
            <w:tcBorders>
              <w:tl2br w:val="nil"/>
              <w:tr2bl w:val="nil"/>
            </w:tcBorders>
            <w:shd w:val="clear" w:color="auto" w:fill="auto"/>
            <w:vAlign w:val="center"/>
          </w:tcPr>
          <w:p w14:paraId="41F73BE6">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cs="Times New Roman"/>
                <w:sz w:val="21"/>
                <w:szCs w:val="21"/>
                <w:highlight w:val="none"/>
                <w:lang w:val="en-US" w:eastAsia="zh-CN" w:bidi="ar"/>
              </w:rPr>
            </w:pPr>
            <w:r>
              <w:rPr>
                <w:rFonts w:hint="eastAsia" w:asciiTheme="minorEastAsia" w:hAnsiTheme="minorEastAsia" w:eastAsiaTheme="minorEastAsia" w:cstheme="minorEastAsia"/>
                <w:spacing w:val="0"/>
                <w:kern w:val="0"/>
                <w:highlight w:val="none"/>
                <w:lang w:val="en-US" w:eastAsia="zh-CN"/>
              </w:rPr>
              <w:t>供应商</w:t>
            </w:r>
            <w:r>
              <w:rPr>
                <w:rFonts w:hint="default" w:ascii="Times New Roman" w:hAnsi="Times New Roman" w:cs="Times New Roman"/>
                <w:sz w:val="21"/>
                <w:szCs w:val="21"/>
                <w:highlight w:val="none"/>
                <w:lang w:val="en-US" w:eastAsia="zh-CN" w:bidi="ar"/>
              </w:rPr>
              <w:t>应保证</w:t>
            </w:r>
            <w:r>
              <w:rPr>
                <w:rFonts w:hint="eastAsia" w:ascii="宋体" w:hAnsi="宋体" w:cs="宋体"/>
                <w:sz w:val="21"/>
                <w:szCs w:val="21"/>
                <w:highlight w:val="none"/>
                <w:lang w:val="en-US" w:eastAsia="zh-CN" w:bidi="ar"/>
              </w:rPr>
              <w:t>采购人</w:t>
            </w:r>
            <w:r>
              <w:rPr>
                <w:rFonts w:hint="default" w:ascii="Times New Roman" w:hAnsi="Times New Roman" w:cs="Times New Roman"/>
                <w:sz w:val="21"/>
                <w:szCs w:val="21"/>
                <w:highlight w:val="none"/>
                <w:lang w:val="en-US" w:eastAsia="zh-CN" w:bidi="ar"/>
              </w:rPr>
              <w:t>在使用该产品设备或其任何一部分软、硬件时，不侵犯任何第三人的知识产权，不会涉及任何第三人提出</w:t>
            </w:r>
            <w:r>
              <w:rPr>
                <w:rFonts w:hint="eastAsia" w:ascii="宋体" w:hAnsi="宋体" w:cs="宋体"/>
                <w:sz w:val="21"/>
                <w:szCs w:val="21"/>
                <w:highlight w:val="none"/>
                <w:lang w:val="en-US" w:eastAsia="zh-CN" w:bidi="ar"/>
              </w:rPr>
              <w:t>采购人</w:t>
            </w:r>
            <w:r>
              <w:rPr>
                <w:rFonts w:hint="default" w:ascii="Times New Roman" w:hAnsi="Times New Roman" w:cs="Times New Roman"/>
                <w:sz w:val="21"/>
                <w:szCs w:val="21"/>
                <w:highlight w:val="none"/>
                <w:lang w:val="en-US" w:eastAsia="zh-CN" w:bidi="ar"/>
              </w:rPr>
              <w:t>侵犯其专利权、商标权和工业设计权等知识产权的纠纷、诉讼。任何第三人提出侵权主张时，</w:t>
            </w:r>
            <w:r>
              <w:rPr>
                <w:rFonts w:hint="eastAsia" w:asciiTheme="minorEastAsia" w:hAnsiTheme="minorEastAsia" w:eastAsiaTheme="minorEastAsia" w:cstheme="minorEastAsia"/>
                <w:spacing w:val="0"/>
                <w:kern w:val="0"/>
                <w:highlight w:val="none"/>
                <w:lang w:val="en-US" w:eastAsia="zh-CN"/>
              </w:rPr>
              <w:t>供应商</w:t>
            </w:r>
            <w:r>
              <w:rPr>
                <w:rFonts w:hint="default" w:ascii="Times New Roman" w:hAnsi="Times New Roman" w:cs="Times New Roman"/>
                <w:sz w:val="21"/>
                <w:szCs w:val="21"/>
                <w:highlight w:val="none"/>
                <w:lang w:val="en-US" w:eastAsia="zh-CN" w:bidi="ar"/>
              </w:rPr>
              <w:t>必须妥善处理，并承担一切法律责任和费用（包括诉讼支出的诉讼费、律师费等），若</w:t>
            </w:r>
            <w:r>
              <w:rPr>
                <w:rFonts w:hint="eastAsia" w:ascii="宋体" w:hAnsi="宋体" w:cs="宋体"/>
                <w:sz w:val="21"/>
                <w:szCs w:val="21"/>
                <w:highlight w:val="none"/>
                <w:lang w:val="en-US" w:eastAsia="zh-CN" w:bidi="ar"/>
              </w:rPr>
              <w:t>采购人</w:t>
            </w:r>
            <w:r>
              <w:rPr>
                <w:rFonts w:hint="default" w:ascii="Times New Roman" w:hAnsi="Times New Roman" w:cs="Times New Roman"/>
                <w:sz w:val="21"/>
                <w:szCs w:val="21"/>
                <w:highlight w:val="none"/>
                <w:lang w:val="en-US" w:eastAsia="zh-CN" w:bidi="ar"/>
              </w:rPr>
              <w:t>因此承担责任、遭到损失，有权向</w:t>
            </w:r>
            <w:r>
              <w:rPr>
                <w:rFonts w:hint="eastAsia" w:asciiTheme="minorEastAsia" w:hAnsiTheme="minorEastAsia" w:eastAsiaTheme="minorEastAsia" w:cstheme="minorEastAsia"/>
                <w:spacing w:val="0"/>
                <w:kern w:val="0"/>
                <w:highlight w:val="none"/>
                <w:lang w:val="en-US" w:eastAsia="zh-CN"/>
              </w:rPr>
              <w:t>供应商</w:t>
            </w:r>
            <w:r>
              <w:rPr>
                <w:rFonts w:hint="default" w:ascii="Times New Roman" w:hAnsi="Times New Roman" w:cs="Times New Roman"/>
                <w:sz w:val="21"/>
                <w:szCs w:val="21"/>
                <w:highlight w:val="none"/>
                <w:lang w:val="en-US" w:eastAsia="zh-CN" w:bidi="ar"/>
              </w:rPr>
              <w:t>追偿。</w:t>
            </w:r>
          </w:p>
          <w:p w14:paraId="548C218F">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cs="Times New Roman"/>
                <w:sz w:val="21"/>
                <w:szCs w:val="21"/>
                <w:highlight w:val="none"/>
                <w:lang w:val="en-US" w:eastAsia="zh-CN" w:bidi="ar"/>
              </w:rPr>
            </w:pPr>
            <w:r>
              <w:rPr>
                <w:rFonts w:hint="eastAsia" w:asciiTheme="minorEastAsia" w:hAnsiTheme="minorEastAsia" w:eastAsiaTheme="minorEastAsia" w:cstheme="minorEastAsia"/>
                <w:spacing w:val="0"/>
                <w:kern w:val="0"/>
                <w:highlight w:val="none"/>
                <w:lang w:val="en-US" w:eastAsia="zh-CN"/>
              </w:rPr>
              <w:t>供应商</w:t>
            </w:r>
            <w:r>
              <w:rPr>
                <w:rFonts w:hint="default" w:ascii="Times New Roman" w:hAnsi="Times New Roman" w:cs="Times New Roman"/>
                <w:sz w:val="21"/>
                <w:szCs w:val="21"/>
                <w:highlight w:val="none"/>
                <w:lang w:val="en-US" w:eastAsia="zh-CN" w:bidi="ar"/>
              </w:rPr>
              <w:t>承诺所售产品设备的知识产权或生产权如被出售或转让给第三方，</w:t>
            </w:r>
            <w:r>
              <w:rPr>
                <w:rFonts w:hint="eastAsia" w:asciiTheme="minorEastAsia" w:hAnsiTheme="minorEastAsia" w:eastAsiaTheme="minorEastAsia" w:cstheme="minorEastAsia"/>
                <w:spacing w:val="0"/>
                <w:kern w:val="0"/>
                <w:highlight w:val="none"/>
                <w:lang w:val="en-US" w:eastAsia="zh-CN"/>
              </w:rPr>
              <w:t>供应商</w:t>
            </w:r>
            <w:r>
              <w:rPr>
                <w:rFonts w:hint="default" w:ascii="Times New Roman" w:hAnsi="Times New Roman" w:cs="Times New Roman"/>
                <w:sz w:val="21"/>
                <w:szCs w:val="21"/>
                <w:highlight w:val="none"/>
                <w:lang w:val="en-US" w:eastAsia="zh-CN" w:bidi="ar"/>
              </w:rPr>
              <w:t>应能继续负责所售产品设备正常运转所必需的备品、备件、和专用工具、仪器仪表的供应和技术支持，并不得损害</w:t>
            </w:r>
            <w:r>
              <w:rPr>
                <w:rFonts w:hint="eastAsia" w:ascii="宋体" w:hAnsi="宋体" w:cs="宋体"/>
                <w:sz w:val="21"/>
                <w:szCs w:val="21"/>
                <w:highlight w:val="none"/>
                <w:lang w:val="en-US" w:eastAsia="zh-CN" w:bidi="ar"/>
              </w:rPr>
              <w:t>采购人</w:t>
            </w:r>
            <w:r>
              <w:rPr>
                <w:rFonts w:hint="default" w:ascii="Times New Roman" w:hAnsi="Times New Roman" w:cs="Times New Roman"/>
                <w:sz w:val="21"/>
                <w:szCs w:val="21"/>
                <w:highlight w:val="none"/>
                <w:lang w:val="en-US" w:eastAsia="zh-CN" w:bidi="ar"/>
              </w:rPr>
              <w:t>利益。</w:t>
            </w:r>
          </w:p>
        </w:tc>
      </w:tr>
      <w:tr w14:paraId="30020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703" w:type="dxa"/>
            <w:tcBorders>
              <w:tl2br w:val="nil"/>
              <w:tr2bl w:val="nil"/>
            </w:tcBorders>
            <w:shd w:val="clear" w:color="auto" w:fill="auto"/>
            <w:vAlign w:val="center"/>
          </w:tcPr>
          <w:p w14:paraId="0667C5ED">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08EE756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kern w:val="0"/>
                <w:sz w:val="21"/>
                <w:szCs w:val="21"/>
                <w:highlight w:val="none"/>
                <w:lang w:bidi="ar"/>
              </w:rPr>
            </w:pPr>
            <w:r>
              <w:rPr>
                <w:rFonts w:hint="eastAsia" w:ascii="Times New Roman" w:hAnsi="Times New Roman" w:cs="Times New Roman"/>
                <w:kern w:val="0"/>
                <w:sz w:val="21"/>
                <w:szCs w:val="21"/>
                <w:highlight w:val="none"/>
                <w:lang w:val="en-US" w:eastAsia="zh-CN" w:bidi="ar"/>
              </w:rPr>
              <w:t>其他要求</w:t>
            </w:r>
          </w:p>
        </w:tc>
        <w:tc>
          <w:tcPr>
            <w:tcW w:w="6972" w:type="dxa"/>
            <w:tcBorders>
              <w:tl2br w:val="nil"/>
              <w:tr2bl w:val="nil"/>
            </w:tcBorders>
            <w:shd w:val="clear" w:color="auto" w:fill="auto"/>
            <w:vAlign w:val="center"/>
          </w:tcPr>
          <w:p w14:paraId="3519FADB">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供应商提供的货物未达到采购文件规定要求，且对采购人造成损失的，由供应商承担一切责任，并赔偿所造成的损失，其他未尽事宜在合同签订时约定</w:t>
            </w:r>
            <w:r>
              <w:rPr>
                <w:rFonts w:hint="eastAsia" w:cs="Times New Roman"/>
                <w:sz w:val="21"/>
                <w:szCs w:val="21"/>
                <w:highlight w:val="none"/>
                <w:lang w:val="en-US" w:eastAsia="zh-CN" w:bidi="ar"/>
              </w:rPr>
              <w:t>。</w:t>
            </w:r>
          </w:p>
        </w:tc>
      </w:tr>
    </w:tbl>
    <w:p w14:paraId="324B6CCA">
      <w:pPr>
        <w:rPr>
          <w:rStyle w:val="48"/>
          <w:rFonts w:hint="eastAsia" w:ascii="宋体" w:hAnsi="宋体" w:eastAsia="宋体" w:cs="宋体"/>
          <w:sz w:val="24"/>
          <w:szCs w:val="24"/>
          <w:highlight w:val="none"/>
          <w:lang w:val="en-US" w:eastAsia="zh-CN"/>
        </w:rPr>
      </w:pPr>
      <w:r>
        <w:rPr>
          <w:rStyle w:val="48"/>
          <w:rFonts w:hint="eastAsia" w:ascii="宋体" w:hAnsi="宋体" w:eastAsia="宋体" w:cs="宋体"/>
          <w:sz w:val="24"/>
          <w:szCs w:val="24"/>
          <w:highlight w:val="none"/>
          <w:lang w:val="en-US" w:eastAsia="zh-CN"/>
        </w:rPr>
        <w:br w:type="page"/>
      </w:r>
    </w:p>
    <w:p w14:paraId="39FD6052">
      <w:pPr>
        <w:pStyle w:val="3"/>
        <w:rPr>
          <w:rStyle w:val="48"/>
          <w:rFonts w:hint="eastAsia" w:ascii="宋体" w:hAnsi="宋体" w:eastAsia="宋体" w:cs="宋体"/>
          <w:sz w:val="24"/>
          <w:szCs w:val="24"/>
          <w:highlight w:val="none"/>
          <w:lang w:val="en-US" w:eastAsia="zh-CN"/>
        </w:rPr>
      </w:pPr>
      <w:r>
        <w:rPr>
          <w:rStyle w:val="48"/>
          <w:rFonts w:hint="eastAsia" w:ascii="宋体" w:hAnsi="宋体" w:eastAsia="宋体" w:cs="宋体"/>
          <w:sz w:val="24"/>
          <w:szCs w:val="24"/>
          <w:highlight w:val="none"/>
          <w:lang w:val="en-US" w:eastAsia="zh-CN"/>
        </w:rPr>
        <w:t>四、附《湖北机场集团有限公司“供应商不良行为”管理办法》</w:t>
      </w:r>
      <w:bookmarkEnd w:id="39"/>
    </w:p>
    <w:p w14:paraId="0923E6E1">
      <w:pPr>
        <w:pStyle w:val="5"/>
        <w:spacing w:after="0" w:line="360" w:lineRule="auto"/>
        <w:ind w:left="440"/>
        <w:rPr>
          <w:rFonts w:ascii="宋体" w:hAnsi="宋体" w:cs="宋体"/>
          <w:sz w:val="21"/>
          <w:szCs w:val="21"/>
          <w:highlight w:val="none"/>
        </w:rPr>
      </w:pPr>
    </w:p>
    <w:p w14:paraId="2562812C">
      <w:pPr>
        <w:pStyle w:val="56"/>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15CD80C9">
      <w:pPr>
        <w:pStyle w:val="56"/>
        <w:spacing w:line="276" w:lineRule="auto"/>
        <w:ind w:firstLine="480" w:firstLineChars="200"/>
        <w:rPr>
          <w:sz w:val="24"/>
          <w:szCs w:val="24"/>
          <w:highlight w:val="none"/>
        </w:rPr>
      </w:pPr>
    </w:p>
    <w:p w14:paraId="313F087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1155FCD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2DDA01E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1C62401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0ADC816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1763F3D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5F47D5B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011D1BB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75CF46A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37469FF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5ABA084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43A262A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3793AD1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5DF26E3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283B0B1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58EC327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478D5DA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49193F98">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676F9C78">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052AA7B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67FF223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34AD236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24346C2B">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485D3E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6E2A71E2">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7621E0EB">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1B7F3C4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120730B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7ECFB99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E8143E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449A4E7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0BA4FF9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00CF3D9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7326555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58CC6F5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1EF3B1F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0B348DC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598E7F6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0136310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2A9C9E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4009A1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59903648">
      <w:pPr>
        <w:spacing w:line="500" w:lineRule="exact"/>
        <w:jc w:val="center"/>
        <w:outlineLvl w:val="0"/>
        <w:rPr>
          <w:rFonts w:ascii="宋体" w:hAnsi="宋体" w:cs="宋体"/>
          <w:highlight w:val="none"/>
        </w:rPr>
      </w:pPr>
      <w:bookmarkStart w:id="41" w:name="_Toc21882"/>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40"/>
      <w:bookmarkEnd w:id="41"/>
    </w:p>
    <w:p w14:paraId="447F5BAB">
      <w:pPr>
        <w:spacing w:line="500" w:lineRule="exact"/>
        <w:rPr>
          <w:rFonts w:ascii="宋体" w:hAnsi="宋体" w:cs="宋体"/>
          <w:spacing w:val="2"/>
          <w:sz w:val="28"/>
          <w:szCs w:val="28"/>
          <w:highlight w:val="none"/>
        </w:rPr>
      </w:pPr>
    </w:p>
    <w:p w14:paraId="68AC6256">
      <w:pPr>
        <w:spacing w:line="500" w:lineRule="exact"/>
        <w:rPr>
          <w:rFonts w:ascii="宋体" w:hAnsi="宋体" w:cs="宋体"/>
          <w:spacing w:val="2"/>
          <w:sz w:val="28"/>
          <w:szCs w:val="28"/>
          <w:highlight w:val="none"/>
        </w:rPr>
      </w:pPr>
    </w:p>
    <w:p w14:paraId="29A0FF2C">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1FDE6AF0">
      <w:pPr>
        <w:spacing w:line="500" w:lineRule="exact"/>
        <w:rPr>
          <w:rFonts w:ascii="宋体" w:hAnsi="宋体" w:cs="宋体"/>
          <w:sz w:val="28"/>
          <w:szCs w:val="28"/>
          <w:highlight w:val="none"/>
        </w:rPr>
      </w:pPr>
    </w:p>
    <w:p w14:paraId="205B5F30">
      <w:pPr>
        <w:spacing w:line="800" w:lineRule="exact"/>
        <w:jc w:val="center"/>
        <w:rPr>
          <w:rFonts w:ascii="宋体" w:hAnsi="宋体" w:cs="宋体"/>
          <w:b/>
          <w:bCs/>
          <w:sz w:val="36"/>
          <w:szCs w:val="36"/>
          <w:highlight w:val="none"/>
        </w:rPr>
      </w:pPr>
    </w:p>
    <w:p w14:paraId="636CB7C7">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28CAF0F0">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51A1A189">
      <w:pPr>
        <w:spacing w:line="500" w:lineRule="exact"/>
        <w:jc w:val="center"/>
        <w:rPr>
          <w:rFonts w:ascii="宋体" w:hAnsi="宋体" w:cs="宋体"/>
          <w:sz w:val="28"/>
          <w:szCs w:val="28"/>
          <w:highlight w:val="none"/>
        </w:rPr>
      </w:pPr>
    </w:p>
    <w:p w14:paraId="1143C8A8">
      <w:pPr>
        <w:spacing w:line="500" w:lineRule="exact"/>
        <w:jc w:val="center"/>
        <w:rPr>
          <w:rFonts w:ascii="宋体" w:hAnsi="宋体" w:cs="宋体"/>
          <w:sz w:val="28"/>
          <w:szCs w:val="28"/>
          <w:highlight w:val="none"/>
        </w:rPr>
      </w:pPr>
    </w:p>
    <w:p w14:paraId="0E985C8B">
      <w:pPr>
        <w:spacing w:line="500" w:lineRule="exact"/>
        <w:jc w:val="center"/>
        <w:rPr>
          <w:rFonts w:ascii="宋体" w:hAnsi="宋体" w:cs="宋体"/>
          <w:sz w:val="28"/>
          <w:szCs w:val="28"/>
          <w:highlight w:val="none"/>
        </w:rPr>
      </w:pPr>
    </w:p>
    <w:p w14:paraId="5FEF1479">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5841C38B">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096DBDD1">
      <w:pPr>
        <w:tabs>
          <w:tab w:val="left" w:pos="2625"/>
        </w:tabs>
        <w:spacing w:line="500" w:lineRule="exact"/>
        <w:jc w:val="center"/>
        <w:rPr>
          <w:rFonts w:ascii="宋体" w:hAnsi="宋体" w:cs="宋体"/>
          <w:b/>
          <w:bCs/>
          <w:sz w:val="28"/>
          <w:szCs w:val="28"/>
          <w:highlight w:val="none"/>
        </w:rPr>
      </w:pPr>
    </w:p>
    <w:p w14:paraId="49F6ABD8">
      <w:pPr>
        <w:tabs>
          <w:tab w:val="left" w:pos="2625"/>
        </w:tabs>
        <w:spacing w:line="500" w:lineRule="exact"/>
        <w:jc w:val="center"/>
        <w:rPr>
          <w:rFonts w:ascii="宋体" w:hAnsi="宋体" w:cs="宋体"/>
          <w:sz w:val="28"/>
          <w:szCs w:val="28"/>
          <w:highlight w:val="none"/>
        </w:rPr>
      </w:pPr>
    </w:p>
    <w:p w14:paraId="2B93240A">
      <w:pPr>
        <w:tabs>
          <w:tab w:val="left" w:pos="2625"/>
        </w:tabs>
        <w:spacing w:line="500" w:lineRule="exact"/>
        <w:jc w:val="center"/>
        <w:rPr>
          <w:rFonts w:ascii="宋体" w:hAnsi="宋体" w:cs="宋体"/>
          <w:sz w:val="28"/>
          <w:szCs w:val="28"/>
          <w:highlight w:val="none"/>
        </w:rPr>
      </w:pPr>
    </w:p>
    <w:p w14:paraId="1C075C35">
      <w:pPr>
        <w:tabs>
          <w:tab w:val="left" w:pos="2625"/>
        </w:tabs>
        <w:spacing w:line="500" w:lineRule="exact"/>
        <w:jc w:val="center"/>
        <w:rPr>
          <w:rFonts w:ascii="宋体" w:hAnsi="宋体" w:cs="宋体"/>
          <w:sz w:val="28"/>
          <w:szCs w:val="28"/>
          <w:highlight w:val="none"/>
        </w:rPr>
      </w:pPr>
    </w:p>
    <w:p w14:paraId="7D626CB0">
      <w:pPr>
        <w:tabs>
          <w:tab w:val="left" w:pos="2625"/>
        </w:tabs>
        <w:spacing w:line="500" w:lineRule="exact"/>
        <w:jc w:val="center"/>
        <w:rPr>
          <w:rFonts w:ascii="宋体" w:hAnsi="宋体" w:cs="宋体"/>
          <w:sz w:val="28"/>
          <w:szCs w:val="28"/>
          <w:highlight w:val="none"/>
        </w:rPr>
      </w:pPr>
    </w:p>
    <w:p w14:paraId="7092A886">
      <w:pPr>
        <w:tabs>
          <w:tab w:val="left" w:pos="2625"/>
        </w:tabs>
        <w:spacing w:line="500" w:lineRule="exact"/>
        <w:jc w:val="center"/>
        <w:rPr>
          <w:rFonts w:ascii="宋体" w:hAnsi="宋体" w:cs="宋体"/>
          <w:sz w:val="28"/>
          <w:szCs w:val="28"/>
          <w:highlight w:val="none"/>
        </w:rPr>
      </w:pPr>
    </w:p>
    <w:p w14:paraId="624EAFFE">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0A1EE4A1">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57224F49">
      <w:pPr>
        <w:spacing w:line="500" w:lineRule="exact"/>
        <w:jc w:val="center"/>
        <w:rPr>
          <w:rFonts w:ascii="宋体" w:hAnsi="宋体" w:cs="宋体"/>
          <w:b/>
          <w:sz w:val="28"/>
          <w:szCs w:val="28"/>
          <w:highlight w:val="none"/>
        </w:rPr>
      </w:pPr>
    </w:p>
    <w:p w14:paraId="24302163">
      <w:pPr>
        <w:outlineLvl w:val="1"/>
        <w:rPr>
          <w:rStyle w:val="26"/>
          <w:rFonts w:ascii="宋体" w:hAnsi="宋体" w:cs="宋体"/>
          <w:highlight w:val="none"/>
        </w:rPr>
      </w:pPr>
      <w:r>
        <w:rPr>
          <w:rStyle w:val="26"/>
          <w:rFonts w:hint="eastAsia" w:ascii="宋体" w:hAnsi="宋体" w:cs="宋体"/>
          <w:highlight w:val="none"/>
        </w:rPr>
        <w:br w:type="page"/>
      </w:r>
      <w:r>
        <w:rPr>
          <w:rStyle w:val="26"/>
          <w:rFonts w:hint="eastAsia" w:ascii="宋体" w:hAnsi="宋体" w:cs="宋体"/>
          <w:highlight w:val="none"/>
        </w:rPr>
        <w:t xml:space="preserve">附件一：                 </w:t>
      </w:r>
    </w:p>
    <w:p w14:paraId="259D4BF1">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28A3B16C">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3A2A5E69">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41039CF9">
      <w:pPr>
        <w:pStyle w:val="11"/>
        <w:numPr>
          <w:ilvl w:val="0"/>
          <w:numId w:val="6"/>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074A50BE">
      <w:pPr>
        <w:pStyle w:val="11"/>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1C6D69A8">
      <w:pPr>
        <w:pStyle w:val="11"/>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1E335E95">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39B8A70C">
      <w:pPr>
        <w:pStyle w:val="11"/>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665E0E7D">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5A5814E2">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19451F2B">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49C5929F">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38B7AEE4">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27F5096E">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497CA551">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7420ED76">
      <w:pPr>
        <w:adjustRightInd w:val="0"/>
        <w:snapToGrid w:val="0"/>
        <w:spacing w:line="460" w:lineRule="exact"/>
        <w:rPr>
          <w:rFonts w:ascii="宋体" w:hAnsi="宋体" w:cs="宋体"/>
          <w:sz w:val="24"/>
          <w:szCs w:val="24"/>
          <w:highlight w:val="none"/>
        </w:rPr>
      </w:pPr>
    </w:p>
    <w:p w14:paraId="4450ED4F">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02C1654B">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5E0CD55A">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0B2AD34F">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629A2296">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34D3A72C">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24CEF4F2">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350F5F5A">
      <w:pPr>
        <w:spacing w:line="560" w:lineRule="exact"/>
        <w:rPr>
          <w:rStyle w:val="26"/>
          <w:rFonts w:ascii="宋体" w:hAnsi="宋体" w:cs="宋体"/>
          <w:szCs w:val="28"/>
          <w:highlight w:val="none"/>
        </w:rPr>
      </w:pPr>
    </w:p>
    <w:p w14:paraId="58D0151C">
      <w:pPr>
        <w:spacing w:line="560" w:lineRule="exact"/>
        <w:rPr>
          <w:rStyle w:val="26"/>
          <w:rFonts w:ascii="宋体" w:hAnsi="宋体" w:cs="宋体"/>
          <w:szCs w:val="28"/>
          <w:highlight w:val="none"/>
        </w:rPr>
      </w:pPr>
    </w:p>
    <w:p w14:paraId="6B8E2A83">
      <w:pPr>
        <w:pStyle w:val="9"/>
        <w:rPr>
          <w:rFonts w:ascii="宋体" w:hAnsi="宋体" w:cs="宋体"/>
          <w:highlight w:val="none"/>
        </w:rPr>
      </w:pPr>
    </w:p>
    <w:p w14:paraId="24CCE453">
      <w:pPr>
        <w:spacing w:line="560" w:lineRule="exact"/>
        <w:outlineLvl w:val="1"/>
        <w:rPr>
          <w:rStyle w:val="26"/>
          <w:rFonts w:ascii="宋体" w:hAnsi="宋体" w:cs="宋体"/>
          <w:szCs w:val="28"/>
          <w:highlight w:val="none"/>
        </w:rPr>
      </w:pPr>
      <w:r>
        <w:rPr>
          <w:rStyle w:val="26"/>
          <w:rFonts w:hint="eastAsia" w:ascii="宋体" w:hAnsi="宋体" w:cs="宋体"/>
          <w:szCs w:val="28"/>
          <w:highlight w:val="none"/>
        </w:rPr>
        <w:t>附件二：</w:t>
      </w:r>
    </w:p>
    <w:p w14:paraId="510595AE">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48345654">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E5F3DB8">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3"/>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09C42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00CE46E2">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55CD557C">
            <w:pPr>
              <w:jc w:val="center"/>
              <w:rPr>
                <w:rFonts w:ascii="宋体" w:hAnsi="宋体" w:cs="宋体"/>
                <w:szCs w:val="21"/>
                <w:highlight w:val="none"/>
              </w:rPr>
            </w:pPr>
          </w:p>
        </w:tc>
      </w:tr>
      <w:tr w14:paraId="14B2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4FB30E55">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3E025969">
            <w:pPr>
              <w:jc w:val="center"/>
              <w:rPr>
                <w:rFonts w:ascii="宋体" w:hAnsi="宋体" w:cs="宋体"/>
                <w:szCs w:val="21"/>
                <w:highlight w:val="none"/>
              </w:rPr>
            </w:pPr>
          </w:p>
        </w:tc>
      </w:tr>
      <w:tr w14:paraId="3E445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1C1116A4">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61E4094E">
            <w:pPr>
              <w:jc w:val="center"/>
              <w:rPr>
                <w:rFonts w:ascii="宋体" w:hAnsi="宋体" w:cs="宋体"/>
                <w:szCs w:val="21"/>
                <w:highlight w:val="none"/>
              </w:rPr>
            </w:pPr>
          </w:p>
        </w:tc>
      </w:tr>
      <w:tr w14:paraId="5A845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688A946">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100E7B09">
            <w:pPr>
              <w:jc w:val="center"/>
              <w:rPr>
                <w:rFonts w:ascii="宋体" w:hAnsi="宋体" w:cs="宋体"/>
                <w:szCs w:val="21"/>
                <w:highlight w:val="none"/>
              </w:rPr>
            </w:pPr>
          </w:p>
        </w:tc>
      </w:tr>
      <w:tr w14:paraId="1D16C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4688A81">
            <w:pPr>
              <w:jc w:val="center"/>
              <w:rPr>
                <w:rFonts w:ascii="宋体" w:hAnsi="宋体" w:cs="宋体"/>
                <w:szCs w:val="21"/>
                <w:highlight w:val="none"/>
              </w:rPr>
            </w:pPr>
            <w:r>
              <w:rPr>
                <w:rFonts w:hint="eastAsia" w:ascii="宋体" w:hAnsi="宋体" w:eastAsia="宋体" w:cs="宋体"/>
                <w:color w:val="auto"/>
                <w:szCs w:val="24"/>
                <w:highlight w:val="none"/>
                <w:lang w:eastAsia="zh-CN"/>
              </w:rPr>
              <w:t>货物名称</w:t>
            </w:r>
          </w:p>
        </w:tc>
        <w:tc>
          <w:tcPr>
            <w:tcW w:w="6732" w:type="dxa"/>
            <w:tcBorders>
              <w:tl2br w:val="nil"/>
              <w:tr2bl w:val="nil"/>
            </w:tcBorders>
            <w:vAlign w:val="center"/>
          </w:tcPr>
          <w:p w14:paraId="503A3A61">
            <w:pPr>
              <w:jc w:val="center"/>
              <w:rPr>
                <w:rFonts w:ascii="宋体" w:hAnsi="宋体" w:cs="宋体"/>
                <w:szCs w:val="21"/>
                <w:highlight w:val="none"/>
              </w:rPr>
            </w:pPr>
          </w:p>
        </w:tc>
      </w:tr>
      <w:tr w14:paraId="51053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4BFB7B0E">
            <w:pPr>
              <w:jc w:val="center"/>
              <w:rPr>
                <w:rFonts w:hint="eastAsia" w:ascii="宋体" w:hAnsi="宋体" w:cs="宋体"/>
                <w:szCs w:val="21"/>
                <w:highlight w:val="none"/>
              </w:rPr>
            </w:pPr>
            <w:r>
              <w:rPr>
                <w:rFonts w:hint="eastAsia" w:ascii="宋体" w:hAnsi="宋体"/>
                <w:kern w:val="2"/>
                <w:sz w:val="21"/>
                <w:szCs w:val="21"/>
                <w:highlight w:val="none"/>
              </w:rPr>
              <w:t>制造商名称/国别(地区)</w:t>
            </w:r>
          </w:p>
        </w:tc>
        <w:tc>
          <w:tcPr>
            <w:tcW w:w="6732" w:type="dxa"/>
            <w:tcBorders>
              <w:tl2br w:val="nil"/>
              <w:tr2bl w:val="nil"/>
            </w:tcBorders>
            <w:vAlign w:val="center"/>
          </w:tcPr>
          <w:p w14:paraId="42A6F88F">
            <w:pPr>
              <w:jc w:val="center"/>
              <w:rPr>
                <w:rFonts w:ascii="宋体" w:hAnsi="宋体" w:cs="宋体"/>
                <w:szCs w:val="21"/>
                <w:highlight w:val="none"/>
              </w:rPr>
            </w:pPr>
          </w:p>
        </w:tc>
      </w:tr>
      <w:tr w14:paraId="6B12D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13B14A3F">
            <w:pPr>
              <w:jc w:val="center"/>
              <w:rPr>
                <w:rFonts w:hint="eastAsia" w:ascii="宋体" w:hAnsi="宋体" w:eastAsia="宋体" w:cs="宋体"/>
                <w:szCs w:val="21"/>
                <w:highlight w:val="none"/>
                <w:lang w:eastAsia="zh-CN"/>
              </w:rPr>
            </w:pPr>
            <w:r>
              <w:rPr>
                <w:rFonts w:hint="eastAsia" w:ascii="宋体" w:hAnsi="宋体"/>
                <w:kern w:val="2"/>
                <w:sz w:val="21"/>
                <w:szCs w:val="21"/>
                <w:highlight w:val="none"/>
              </w:rPr>
              <w:t>规格型号</w:t>
            </w:r>
          </w:p>
        </w:tc>
        <w:tc>
          <w:tcPr>
            <w:tcW w:w="6732" w:type="dxa"/>
            <w:tcBorders>
              <w:tl2br w:val="nil"/>
              <w:tr2bl w:val="nil"/>
            </w:tcBorders>
            <w:vAlign w:val="center"/>
          </w:tcPr>
          <w:p w14:paraId="0C3EAC24">
            <w:pPr>
              <w:jc w:val="center"/>
              <w:rPr>
                <w:rFonts w:ascii="宋体" w:hAnsi="宋体" w:cs="宋体"/>
                <w:szCs w:val="21"/>
                <w:highlight w:val="none"/>
              </w:rPr>
            </w:pPr>
          </w:p>
        </w:tc>
      </w:tr>
      <w:tr w14:paraId="59D16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15" w:type="dxa"/>
            <w:tcBorders>
              <w:tl2br w:val="nil"/>
              <w:tr2bl w:val="nil"/>
            </w:tcBorders>
            <w:vAlign w:val="center"/>
          </w:tcPr>
          <w:p w14:paraId="7B1136B1">
            <w:pPr>
              <w:jc w:val="center"/>
              <w:rPr>
                <w:rFonts w:hint="eastAsia" w:ascii="宋体" w:hAnsi="宋体" w:cs="宋体"/>
                <w:szCs w:val="21"/>
                <w:highlight w:val="none"/>
              </w:rPr>
            </w:pPr>
            <w:r>
              <w:rPr>
                <w:rFonts w:hint="eastAsia" w:ascii="宋体" w:hAnsi="宋体"/>
                <w:kern w:val="2"/>
                <w:sz w:val="21"/>
                <w:szCs w:val="21"/>
                <w:highlight w:val="none"/>
              </w:rPr>
              <w:t>数量</w:t>
            </w:r>
          </w:p>
        </w:tc>
        <w:tc>
          <w:tcPr>
            <w:tcW w:w="6732" w:type="dxa"/>
            <w:tcBorders>
              <w:tl2br w:val="nil"/>
              <w:tr2bl w:val="nil"/>
            </w:tcBorders>
            <w:vAlign w:val="center"/>
          </w:tcPr>
          <w:p w14:paraId="667FF40B">
            <w:pPr>
              <w:jc w:val="center"/>
              <w:rPr>
                <w:rFonts w:ascii="宋体" w:hAnsi="宋体" w:cs="宋体"/>
                <w:szCs w:val="21"/>
                <w:highlight w:val="none"/>
              </w:rPr>
            </w:pPr>
          </w:p>
        </w:tc>
      </w:tr>
      <w:tr w14:paraId="1905C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615" w:type="dxa"/>
            <w:tcBorders>
              <w:tl2br w:val="nil"/>
              <w:tr2bl w:val="nil"/>
            </w:tcBorders>
            <w:vAlign w:val="center"/>
          </w:tcPr>
          <w:p w14:paraId="5C1313D7">
            <w:pPr>
              <w:jc w:val="center"/>
              <w:rPr>
                <w:rFonts w:hint="eastAsia" w:ascii="宋体" w:hAnsi="宋体" w:cs="宋体"/>
                <w:szCs w:val="21"/>
                <w:highlight w:val="none"/>
              </w:rPr>
            </w:pPr>
            <w:r>
              <w:rPr>
                <w:rFonts w:hint="eastAsia" w:ascii="宋体" w:hAnsi="宋体"/>
                <w:kern w:val="2"/>
                <w:sz w:val="21"/>
                <w:szCs w:val="21"/>
                <w:highlight w:val="none"/>
              </w:rPr>
              <w:t>单价</w:t>
            </w:r>
          </w:p>
        </w:tc>
        <w:tc>
          <w:tcPr>
            <w:tcW w:w="6732" w:type="dxa"/>
            <w:tcBorders>
              <w:tl2br w:val="nil"/>
              <w:tr2bl w:val="nil"/>
            </w:tcBorders>
            <w:vAlign w:val="center"/>
          </w:tcPr>
          <w:p w14:paraId="14C7C241">
            <w:pPr>
              <w:jc w:val="center"/>
              <w:rPr>
                <w:rFonts w:ascii="宋体" w:hAnsi="宋体" w:cs="宋体"/>
                <w:szCs w:val="21"/>
                <w:highlight w:val="none"/>
              </w:rPr>
            </w:pPr>
          </w:p>
        </w:tc>
      </w:tr>
      <w:tr w14:paraId="617C0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615" w:type="dxa"/>
            <w:tcBorders>
              <w:tl2br w:val="nil"/>
              <w:tr2bl w:val="nil"/>
            </w:tcBorders>
            <w:vAlign w:val="center"/>
          </w:tcPr>
          <w:p w14:paraId="7C61A187">
            <w:pPr>
              <w:jc w:val="center"/>
              <w:rPr>
                <w:rFonts w:hint="eastAsia" w:ascii="宋体" w:hAnsi="宋体" w:cs="宋体"/>
                <w:szCs w:val="21"/>
                <w:highlight w:val="none"/>
              </w:rPr>
            </w:pPr>
            <w:r>
              <w:rPr>
                <w:rFonts w:hint="eastAsia" w:ascii="宋体" w:hAnsi="宋体"/>
                <w:kern w:val="2"/>
                <w:sz w:val="21"/>
                <w:szCs w:val="21"/>
                <w:highlight w:val="none"/>
              </w:rPr>
              <w:t>交货期</w:t>
            </w:r>
          </w:p>
        </w:tc>
        <w:tc>
          <w:tcPr>
            <w:tcW w:w="6732" w:type="dxa"/>
            <w:tcBorders>
              <w:tl2br w:val="nil"/>
              <w:tr2bl w:val="nil"/>
            </w:tcBorders>
            <w:vAlign w:val="center"/>
          </w:tcPr>
          <w:p w14:paraId="29863EF9">
            <w:pPr>
              <w:jc w:val="center"/>
              <w:rPr>
                <w:rFonts w:ascii="宋体" w:hAnsi="宋体" w:cs="宋体"/>
                <w:szCs w:val="21"/>
                <w:highlight w:val="none"/>
              </w:rPr>
            </w:pPr>
          </w:p>
        </w:tc>
      </w:tr>
      <w:tr w14:paraId="5A253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615" w:type="dxa"/>
            <w:tcBorders>
              <w:tl2br w:val="nil"/>
              <w:tr2bl w:val="nil"/>
            </w:tcBorders>
            <w:vAlign w:val="center"/>
          </w:tcPr>
          <w:p w14:paraId="005ECD1E">
            <w:pPr>
              <w:jc w:val="center"/>
              <w:rPr>
                <w:rFonts w:hint="eastAsia" w:ascii="宋体" w:hAnsi="宋体" w:cs="宋体"/>
                <w:szCs w:val="21"/>
                <w:highlight w:val="none"/>
              </w:rPr>
            </w:pPr>
            <w:r>
              <w:rPr>
                <w:rFonts w:hint="eastAsia" w:ascii="宋体" w:hAnsi="宋体"/>
                <w:kern w:val="2"/>
                <w:sz w:val="21"/>
                <w:szCs w:val="21"/>
                <w:highlight w:val="none"/>
              </w:rPr>
              <w:t>质保期</w:t>
            </w:r>
          </w:p>
        </w:tc>
        <w:tc>
          <w:tcPr>
            <w:tcW w:w="6732" w:type="dxa"/>
            <w:tcBorders>
              <w:tl2br w:val="nil"/>
              <w:tr2bl w:val="nil"/>
            </w:tcBorders>
            <w:vAlign w:val="center"/>
          </w:tcPr>
          <w:p w14:paraId="60B5E391">
            <w:pPr>
              <w:jc w:val="center"/>
              <w:rPr>
                <w:rFonts w:ascii="宋体" w:hAnsi="宋体" w:cs="宋体"/>
                <w:szCs w:val="21"/>
                <w:highlight w:val="none"/>
              </w:rPr>
            </w:pPr>
          </w:p>
        </w:tc>
      </w:tr>
      <w:tr w14:paraId="32E45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6079AEF7">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6372664A">
            <w:pPr>
              <w:jc w:val="center"/>
              <w:rPr>
                <w:rFonts w:ascii="宋体" w:hAnsi="宋体" w:cs="宋体"/>
                <w:szCs w:val="21"/>
                <w:highlight w:val="none"/>
              </w:rPr>
            </w:pPr>
          </w:p>
        </w:tc>
      </w:tr>
    </w:tbl>
    <w:p w14:paraId="155C4197">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22B85CD0">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303045A8">
      <w:pPr>
        <w:adjustRightInd w:val="0"/>
        <w:snapToGrid w:val="0"/>
        <w:spacing w:line="360" w:lineRule="auto"/>
        <w:rPr>
          <w:rFonts w:ascii="宋体" w:hAnsi="宋体" w:cs="宋体"/>
          <w:sz w:val="24"/>
          <w:szCs w:val="24"/>
          <w:highlight w:val="none"/>
        </w:rPr>
      </w:pPr>
    </w:p>
    <w:p w14:paraId="13D64A5B">
      <w:pPr>
        <w:adjustRightInd w:val="0"/>
        <w:snapToGrid w:val="0"/>
        <w:spacing w:line="360" w:lineRule="auto"/>
        <w:rPr>
          <w:rFonts w:ascii="宋体" w:hAnsi="宋体" w:cs="宋体"/>
          <w:sz w:val="24"/>
          <w:szCs w:val="24"/>
          <w:highlight w:val="none"/>
        </w:rPr>
      </w:pPr>
    </w:p>
    <w:p w14:paraId="076C399E">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7871280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22BC191E">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CA01B6F">
      <w:pPr>
        <w:rPr>
          <w:rFonts w:hint="eastAsia" w:ascii="宋体" w:hAnsi="宋体" w:cs="宋体"/>
          <w:b/>
          <w:sz w:val="28"/>
          <w:szCs w:val="28"/>
          <w:highlight w:val="none"/>
        </w:rPr>
      </w:pPr>
      <w:r>
        <w:rPr>
          <w:rFonts w:hint="eastAsia" w:ascii="宋体" w:hAnsi="宋体" w:cs="宋体"/>
          <w:b/>
          <w:sz w:val="28"/>
          <w:szCs w:val="28"/>
          <w:highlight w:val="none"/>
        </w:rPr>
        <w:br w:type="page"/>
      </w:r>
    </w:p>
    <w:p w14:paraId="26210564">
      <w:pPr>
        <w:adjustRightInd w:val="0"/>
        <w:snapToGrid w:val="0"/>
        <w:spacing w:line="360" w:lineRule="auto"/>
        <w:rPr>
          <w:rFonts w:ascii="宋体" w:hAnsi="宋体" w:cs="宋体"/>
          <w:b/>
          <w:sz w:val="28"/>
          <w:szCs w:val="28"/>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p>
    <w:p w14:paraId="76C2856E">
      <w:pPr>
        <w:pStyle w:val="9"/>
        <w:jc w:val="center"/>
        <w:rPr>
          <w:rFonts w:ascii="宋体" w:hAnsi="宋体" w:cs="宋体"/>
          <w:b/>
          <w:szCs w:val="24"/>
          <w:highlight w:val="none"/>
        </w:rPr>
      </w:pPr>
      <w:r>
        <w:rPr>
          <w:rFonts w:hint="eastAsia" w:ascii="宋体" w:hAnsi="宋体" w:cs="宋体"/>
          <w:b/>
          <w:szCs w:val="24"/>
          <w:highlight w:val="none"/>
        </w:rPr>
        <w:t>法定代表人授权书</w:t>
      </w:r>
    </w:p>
    <w:p w14:paraId="7AC54502">
      <w:pPr>
        <w:adjustRightInd w:val="0"/>
        <w:snapToGrid w:val="0"/>
        <w:spacing w:line="500" w:lineRule="exact"/>
        <w:rPr>
          <w:rFonts w:ascii="宋体" w:hAnsi="宋体" w:cs="宋体"/>
          <w:sz w:val="24"/>
          <w:szCs w:val="24"/>
          <w:highlight w:val="none"/>
        </w:rPr>
      </w:pPr>
    </w:p>
    <w:p w14:paraId="1B8CDF06">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DBA52D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4AF2A3FE">
      <w:pPr>
        <w:spacing w:line="500" w:lineRule="exact"/>
        <w:rPr>
          <w:rFonts w:ascii="宋体" w:hAnsi="宋体" w:cs="宋体"/>
          <w:sz w:val="24"/>
          <w:szCs w:val="24"/>
          <w:highlight w:val="none"/>
        </w:rPr>
      </w:pPr>
    </w:p>
    <w:p w14:paraId="7C145358">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6DDFD4D4">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19DC2920">
      <w:pPr>
        <w:pStyle w:val="9"/>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72913CEC">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82AD46D">
      <w:pPr>
        <w:spacing w:line="500" w:lineRule="exact"/>
        <w:rPr>
          <w:rFonts w:ascii="宋体" w:hAnsi="宋体" w:cs="宋体"/>
          <w:sz w:val="24"/>
          <w:szCs w:val="24"/>
          <w:highlight w:val="none"/>
        </w:rPr>
      </w:pPr>
    </w:p>
    <w:p w14:paraId="228F1E5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00F73588">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01C6FD13">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3DB59C03">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73E3D83F">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3"/>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71F8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5AE752CC">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2EBA9252">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05D54BF0">
      <w:pPr>
        <w:spacing w:line="500" w:lineRule="exact"/>
        <w:rPr>
          <w:rFonts w:ascii="宋体" w:hAnsi="宋体" w:cs="宋体"/>
          <w:b/>
          <w:sz w:val="24"/>
          <w:szCs w:val="24"/>
          <w:highlight w:val="none"/>
        </w:rPr>
      </w:pPr>
    </w:p>
    <w:p w14:paraId="2B14952B">
      <w:pPr>
        <w:pStyle w:val="9"/>
        <w:rPr>
          <w:highlight w:val="none"/>
        </w:rPr>
      </w:pPr>
    </w:p>
    <w:p w14:paraId="2E772A5F">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3A412710">
      <w:pPr>
        <w:pStyle w:val="14"/>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6C53B3CA">
      <w:pPr>
        <w:pStyle w:val="14"/>
        <w:tabs>
          <w:tab w:val="center" w:pos="4153"/>
          <w:tab w:val="right" w:pos="8306"/>
          <w:tab w:val="clear" w:pos="4140"/>
          <w:tab w:val="clear" w:pos="8300"/>
        </w:tabs>
        <w:rPr>
          <w:rFonts w:hint="eastAsia" w:ascii="宋体" w:hAnsi="宋体" w:eastAsia="宋体" w:cs="宋体"/>
          <w:highlight w:val="none"/>
        </w:rPr>
      </w:pPr>
    </w:p>
    <w:p w14:paraId="10AF93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47CAE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7F8F699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3A77451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7CE31D6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2E4917D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2A78ED9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32B6939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6464551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6C14770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468E572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4E8CC2B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24D25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46E3DCF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2798C02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1C3BCEE2">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0503A265">
      <w:pPr>
        <w:pStyle w:val="6"/>
        <w:rPr>
          <w:rFonts w:hint="eastAsia" w:ascii="Times New Roman" w:hAnsi="宋体" w:eastAsia="宋体" w:cs="Times New Roman"/>
          <w:sz w:val="24"/>
          <w:szCs w:val="24"/>
          <w:highlight w:val="none"/>
          <w:lang w:val="en-US" w:eastAsia="zh-CN"/>
        </w:rPr>
      </w:pPr>
    </w:p>
    <w:p w14:paraId="03F64B50">
      <w:pPr>
        <w:pStyle w:val="6"/>
        <w:rPr>
          <w:rFonts w:hint="eastAsia" w:ascii="Times New Roman" w:hAnsi="宋体" w:eastAsia="宋体" w:cs="Times New Roman"/>
          <w:sz w:val="24"/>
          <w:szCs w:val="24"/>
          <w:highlight w:val="none"/>
          <w:lang w:val="en-US" w:eastAsia="zh-CN"/>
        </w:rPr>
      </w:pPr>
    </w:p>
    <w:p w14:paraId="232B1A96">
      <w:pPr>
        <w:pStyle w:val="6"/>
        <w:rPr>
          <w:rFonts w:hint="eastAsia" w:ascii="Times New Roman" w:hAnsi="宋体" w:eastAsia="宋体" w:cs="Times New Roman"/>
          <w:sz w:val="24"/>
          <w:szCs w:val="24"/>
          <w:highlight w:val="none"/>
          <w:lang w:val="en-US" w:eastAsia="zh-CN"/>
        </w:rPr>
      </w:pPr>
    </w:p>
    <w:p w14:paraId="65420CA3">
      <w:pPr>
        <w:pStyle w:val="6"/>
        <w:rPr>
          <w:rFonts w:hint="eastAsia" w:ascii="Times New Roman" w:hAnsi="宋体" w:eastAsia="宋体" w:cs="Times New Roman"/>
          <w:sz w:val="24"/>
          <w:szCs w:val="24"/>
          <w:highlight w:val="none"/>
          <w:lang w:val="en-US" w:eastAsia="zh-CN"/>
        </w:rPr>
      </w:pPr>
    </w:p>
    <w:p w14:paraId="2DE900EF">
      <w:pPr>
        <w:pStyle w:val="6"/>
        <w:rPr>
          <w:rFonts w:hint="eastAsia" w:ascii="Times New Roman" w:hAnsi="宋体" w:eastAsia="宋体" w:cs="Times New Roman"/>
          <w:sz w:val="24"/>
          <w:szCs w:val="24"/>
          <w:highlight w:val="none"/>
          <w:lang w:val="en-US" w:eastAsia="zh-CN"/>
        </w:rPr>
      </w:pPr>
    </w:p>
    <w:p w14:paraId="44794500">
      <w:pPr>
        <w:pStyle w:val="6"/>
        <w:rPr>
          <w:rFonts w:hint="eastAsia" w:ascii="Times New Roman" w:hAnsi="宋体" w:eastAsia="宋体" w:cs="Times New Roman"/>
          <w:sz w:val="24"/>
          <w:szCs w:val="24"/>
          <w:highlight w:val="none"/>
          <w:lang w:val="en-US" w:eastAsia="zh-CN"/>
        </w:rPr>
      </w:pPr>
    </w:p>
    <w:p w14:paraId="7208D39F">
      <w:pPr>
        <w:pStyle w:val="6"/>
        <w:rPr>
          <w:rFonts w:hint="eastAsia" w:ascii="Times New Roman" w:hAnsi="宋体" w:eastAsia="宋体" w:cs="Times New Roman"/>
          <w:sz w:val="24"/>
          <w:szCs w:val="24"/>
          <w:highlight w:val="none"/>
          <w:lang w:val="en-US" w:eastAsia="zh-CN"/>
        </w:rPr>
      </w:pPr>
    </w:p>
    <w:p w14:paraId="4E14A832">
      <w:pPr>
        <w:pStyle w:val="6"/>
        <w:rPr>
          <w:rFonts w:hint="eastAsia" w:ascii="Times New Roman" w:hAnsi="宋体" w:eastAsia="宋体" w:cs="Times New Roman"/>
          <w:sz w:val="24"/>
          <w:szCs w:val="24"/>
          <w:highlight w:val="none"/>
          <w:lang w:val="en-US" w:eastAsia="zh-CN"/>
        </w:rPr>
      </w:pPr>
    </w:p>
    <w:p w14:paraId="22ABDAEF">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152754AE">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717B8AEF">
      <w:pPr>
        <w:pStyle w:val="6"/>
        <w:rPr>
          <w:rFonts w:hint="eastAsia" w:ascii="Times New Roman" w:hAnsi="宋体" w:eastAsia="宋体" w:cs="Times New Roman"/>
          <w:sz w:val="24"/>
          <w:szCs w:val="24"/>
          <w:highlight w:val="none"/>
          <w:lang w:val="en-US" w:eastAsia="zh-CN"/>
        </w:rPr>
      </w:pPr>
    </w:p>
    <w:p w14:paraId="1095F1C5">
      <w:pPr>
        <w:pStyle w:val="6"/>
        <w:rPr>
          <w:rFonts w:hint="eastAsia" w:ascii="Times New Roman" w:hAnsi="宋体" w:eastAsia="宋体" w:cs="Times New Roman"/>
          <w:sz w:val="24"/>
          <w:szCs w:val="24"/>
          <w:highlight w:val="none"/>
          <w:lang w:val="en-US" w:eastAsia="zh-CN"/>
        </w:rPr>
      </w:pPr>
    </w:p>
    <w:p w14:paraId="4E4E1A43">
      <w:pPr>
        <w:pStyle w:val="6"/>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7E6D86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highlight w:val="none"/>
        </w:rPr>
      </w:pPr>
      <w:bookmarkStart w:id="42" w:name="_Toc19021"/>
      <w:bookmarkStart w:id="43" w:name="_Toc20908"/>
      <w:r>
        <w:rPr>
          <w:rFonts w:hint="eastAsia" w:ascii="宋体" w:hAnsi="宋体" w:cs="宋体"/>
          <w:b/>
          <w:bCs/>
          <w:sz w:val="28"/>
          <w:szCs w:val="28"/>
          <w:highlight w:val="none"/>
          <w:lang w:val="en-US" w:eastAsia="zh-CN"/>
        </w:rPr>
        <w:t>第五章</w:t>
      </w:r>
      <w:r>
        <w:rPr>
          <w:rFonts w:hint="eastAsia" w:ascii="宋体" w:hAnsi="宋体" w:cs="宋体"/>
          <w:b/>
          <w:bCs/>
          <w:sz w:val="28"/>
          <w:szCs w:val="28"/>
          <w:highlight w:val="none"/>
        </w:rPr>
        <w:t xml:space="preserve"> 采购合同</w:t>
      </w:r>
      <w:bookmarkEnd w:id="42"/>
      <w:bookmarkEnd w:id="43"/>
    </w:p>
    <w:p w14:paraId="794A518D">
      <w:pPr>
        <w:spacing w:line="360" w:lineRule="auto"/>
        <w:ind w:firstLine="420"/>
        <w:jc w:val="center"/>
        <w:rPr>
          <w:bCs/>
          <w:sz w:val="22"/>
          <w:szCs w:val="22"/>
          <w:highlight w:val="none"/>
        </w:rPr>
      </w:pPr>
      <w:r>
        <w:rPr>
          <w:rFonts w:hint="eastAsia" w:cs="宋体"/>
          <w:kern w:val="0"/>
          <w:sz w:val="22"/>
          <w:szCs w:val="22"/>
          <w:highlight w:val="none"/>
        </w:rPr>
        <w:t>（此合同书仅作为签订正式合同时参考，正式合同书不限于本参考格式的内容）</w:t>
      </w:r>
    </w:p>
    <w:p w14:paraId="6555BF19">
      <w:pPr>
        <w:rPr>
          <w:rFonts w:ascii="创艺简标宋" w:eastAsia="创艺简标宋"/>
          <w:bCs/>
          <w:sz w:val="44"/>
          <w:szCs w:val="44"/>
          <w:highlight w:val="none"/>
        </w:rPr>
      </w:pPr>
      <w:r>
        <w:rPr>
          <w:rFonts w:ascii="创艺简标宋" w:eastAsia="创艺简标宋"/>
          <w:bCs/>
          <w:sz w:val="44"/>
          <w:szCs w:val="44"/>
          <w:highlight w:val="none"/>
        </w:rPr>
        <w:br w:type="page"/>
      </w:r>
    </w:p>
    <w:p w14:paraId="355BEFE3">
      <w:pPr>
        <w:pStyle w:val="71"/>
        <w:keepNext w:val="0"/>
        <w:keepLines w:val="0"/>
        <w:pageBreakBefore w:val="0"/>
        <w:widowControl w:val="0"/>
        <w:kinsoku w:val="0"/>
        <w:wordWrap/>
        <w:overflowPunct/>
        <w:topLinePunct w:val="0"/>
        <w:autoSpaceDE w:val="0"/>
        <w:autoSpaceDN w:val="0"/>
        <w:bidi w:val="0"/>
        <w:adjustRightInd w:val="0"/>
        <w:snapToGrid w:val="0"/>
        <w:spacing w:line="197" w:lineRule="auto"/>
        <w:textAlignment w:val="auto"/>
        <w:outlineLvl w:val="1"/>
        <w:rPr>
          <w:rFonts w:hint="eastAsia" w:asciiTheme="minorEastAsia" w:hAnsiTheme="minorEastAsia" w:eastAsiaTheme="minorEastAsia" w:cstheme="minorEastAsia"/>
          <w:spacing w:val="0"/>
          <w:sz w:val="36"/>
          <w:szCs w:val="36"/>
          <w:highlight w:val="none"/>
        </w:rPr>
      </w:pPr>
      <w:bookmarkStart w:id="44" w:name="_Toc2131903291"/>
      <w:bookmarkStart w:id="45" w:name="_Toc860535396"/>
      <w:r>
        <w:rPr>
          <w:rFonts w:hint="eastAsia" w:asciiTheme="minorEastAsia" w:hAnsiTheme="minorEastAsia" w:cstheme="minorEastAsia"/>
          <w:spacing w:val="0"/>
          <w:sz w:val="36"/>
          <w:szCs w:val="36"/>
          <w:highlight w:val="none"/>
          <w:lang w:val="en-US" w:eastAsia="zh-CN"/>
        </w:rPr>
        <w:t>恩施机场行李拖斗车</w:t>
      </w:r>
      <w:r>
        <w:rPr>
          <w:rFonts w:hint="eastAsia" w:asciiTheme="minorEastAsia" w:hAnsiTheme="minorEastAsia" w:eastAsiaTheme="minorEastAsia" w:cstheme="minorEastAsia"/>
          <w:spacing w:val="0"/>
          <w:sz w:val="36"/>
          <w:szCs w:val="36"/>
          <w:highlight w:val="none"/>
        </w:rPr>
        <w:t>采购合同</w:t>
      </w:r>
      <w:bookmarkEnd w:id="44"/>
      <w:bookmarkEnd w:id="45"/>
    </w:p>
    <w:p w14:paraId="325A5E62">
      <w:pPr>
        <w:pStyle w:val="72"/>
        <w:bidi w:val="0"/>
        <w:rPr>
          <w:rFonts w:hint="eastAsia"/>
          <w:highlight w:val="none"/>
          <w:lang w:eastAsia="zh-TW"/>
        </w:rPr>
      </w:pPr>
    </w:p>
    <w:p w14:paraId="4158647C">
      <w:pPr>
        <w:pStyle w:val="72"/>
        <w:bidi w:val="0"/>
        <w:rPr>
          <w:rFonts w:hint="default"/>
          <w:highlight w:val="none"/>
          <w:lang w:val="en-US" w:eastAsia="zh-CN"/>
        </w:rPr>
      </w:pPr>
      <w:r>
        <w:rPr>
          <w:rFonts w:hint="eastAsia"/>
          <w:highlight w:val="none"/>
          <w:lang w:eastAsia="zh-TW"/>
        </w:rPr>
        <w:t>甲方</w:t>
      </w:r>
      <w:r>
        <w:rPr>
          <w:rFonts w:hint="eastAsia"/>
          <w:highlight w:val="none"/>
          <w:lang w:eastAsia="zh-CN"/>
        </w:rPr>
        <w:t>（</w:t>
      </w:r>
      <w:r>
        <w:rPr>
          <w:rFonts w:hint="eastAsia"/>
          <w:highlight w:val="none"/>
          <w:lang w:val="en-US" w:eastAsia="zh-CN"/>
        </w:rPr>
        <w:t>买方</w:t>
      </w:r>
      <w:r>
        <w:rPr>
          <w:rFonts w:hint="eastAsia"/>
          <w:highlight w:val="none"/>
          <w:lang w:eastAsia="zh-CN"/>
        </w:rPr>
        <w:t>）：</w:t>
      </w:r>
      <w:r>
        <w:rPr>
          <w:rFonts w:hint="eastAsia"/>
          <w:highlight w:val="none"/>
          <w:lang w:val="en-US" w:eastAsia="zh-CN"/>
        </w:rPr>
        <w:t>湖北机场集团恩施机场有限责任公司</w:t>
      </w:r>
    </w:p>
    <w:p w14:paraId="6A4940E9">
      <w:pPr>
        <w:pStyle w:val="72"/>
        <w:bidi w:val="0"/>
        <w:rPr>
          <w:rFonts w:hint="default"/>
          <w:highlight w:val="none"/>
          <w:lang w:val="en-US" w:eastAsia="zh-CN"/>
        </w:rPr>
      </w:pPr>
      <w:r>
        <w:rPr>
          <w:rFonts w:hint="eastAsia"/>
          <w:highlight w:val="none"/>
          <w:lang w:val="en-US" w:eastAsia="zh-CN"/>
        </w:rPr>
        <w:t>法定代表人：刘颖</w:t>
      </w:r>
    </w:p>
    <w:p w14:paraId="3743084F">
      <w:pPr>
        <w:pStyle w:val="72"/>
        <w:bidi w:val="0"/>
        <w:rPr>
          <w:rFonts w:hint="default"/>
          <w:highlight w:val="none"/>
          <w:lang w:val="en-US" w:eastAsia="zh-CN"/>
        </w:rPr>
      </w:pPr>
      <w:r>
        <w:rPr>
          <w:rFonts w:hint="eastAsia"/>
          <w:highlight w:val="none"/>
          <w:lang w:val="en-US" w:eastAsia="zh-CN"/>
        </w:rPr>
        <w:t>地址：湖北省恩施许家坪国际机场</w:t>
      </w:r>
    </w:p>
    <w:p w14:paraId="4F500DC2">
      <w:pPr>
        <w:pStyle w:val="72"/>
        <w:bidi w:val="0"/>
        <w:rPr>
          <w:rFonts w:hint="eastAsia"/>
          <w:highlight w:val="none"/>
          <w:lang w:val="en-US" w:eastAsia="zh-CN"/>
        </w:rPr>
      </w:pPr>
    </w:p>
    <w:p w14:paraId="5761C317">
      <w:pPr>
        <w:pStyle w:val="72"/>
        <w:bidi w:val="0"/>
        <w:rPr>
          <w:rFonts w:hint="eastAsia"/>
          <w:highlight w:val="none"/>
          <w:lang w:val="en-US" w:eastAsia="zh-CN"/>
        </w:rPr>
      </w:pPr>
      <w:r>
        <w:rPr>
          <w:rFonts w:hint="eastAsia"/>
          <w:highlight w:val="none"/>
          <w:lang w:eastAsia="zh-TW"/>
        </w:rPr>
        <w:t>乙方</w:t>
      </w:r>
      <w:r>
        <w:rPr>
          <w:rFonts w:hint="eastAsia"/>
          <w:highlight w:val="none"/>
          <w:lang w:eastAsia="zh-CN"/>
        </w:rPr>
        <w:t>（</w:t>
      </w:r>
      <w:r>
        <w:rPr>
          <w:rFonts w:hint="eastAsia"/>
          <w:highlight w:val="none"/>
          <w:lang w:val="en-US" w:eastAsia="zh-CN"/>
        </w:rPr>
        <w:t>卖方</w:t>
      </w:r>
      <w:r>
        <w:rPr>
          <w:rFonts w:hint="eastAsia"/>
          <w:highlight w:val="none"/>
          <w:lang w:eastAsia="zh-CN"/>
        </w:rPr>
        <w:t>）</w:t>
      </w:r>
      <w:r>
        <w:rPr>
          <w:rFonts w:hint="eastAsia"/>
          <w:highlight w:val="none"/>
          <w:lang w:eastAsia="zh-TW"/>
        </w:rPr>
        <w:t>:</w:t>
      </w:r>
    </w:p>
    <w:p w14:paraId="545B6101">
      <w:pPr>
        <w:pStyle w:val="72"/>
        <w:bidi w:val="0"/>
        <w:rPr>
          <w:rFonts w:hint="eastAsia"/>
          <w:highlight w:val="none"/>
          <w:lang w:val="en-US" w:eastAsia="zh-CN"/>
        </w:rPr>
      </w:pPr>
      <w:r>
        <w:rPr>
          <w:rFonts w:hint="eastAsia"/>
          <w:highlight w:val="none"/>
          <w:lang w:val="en-US" w:eastAsia="zh-CN"/>
        </w:rPr>
        <w:t>法定代表人：</w:t>
      </w:r>
    </w:p>
    <w:p w14:paraId="48B2B349">
      <w:pPr>
        <w:pStyle w:val="72"/>
        <w:bidi w:val="0"/>
        <w:rPr>
          <w:rFonts w:hint="eastAsia" w:asciiTheme="minorEastAsia" w:hAnsiTheme="minorEastAsia" w:eastAsiaTheme="minorEastAsia" w:cstheme="minorEastAsia"/>
          <w:spacing w:val="0"/>
          <w:kern w:val="0"/>
          <w:szCs w:val="24"/>
          <w:highlight w:val="none"/>
          <w:lang w:val="en-US" w:eastAsia="zh-CN"/>
        </w:rPr>
      </w:pPr>
      <w:r>
        <w:rPr>
          <w:rFonts w:hint="eastAsia"/>
          <w:highlight w:val="none"/>
          <w:lang w:val="en-US" w:eastAsia="zh-CN"/>
        </w:rPr>
        <w:t>地址：</w:t>
      </w:r>
    </w:p>
    <w:p w14:paraId="7CDCFD88">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rPr>
      </w:pPr>
    </w:p>
    <w:p w14:paraId="099DBF8C">
      <w:pPr>
        <w:pStyle w:val="73"/>
        <w:keepNext w:val="0"/>
        <w:keepLines w:val="0"/>
        <w:pageBreakBefore w:val="0"/>
        <w:widowControl w:val="0"/>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根据《中华人民共和国民法典》</w:t>
      </w:r>
      <w:r>
        <w:rPr>
          <w:rFonts w:hint="eastAsia" w:asciiTheme="minorEastAsia" w:hAnsiTheme="minorEastAsia" w:eastAsiaTheme="minorEastAsia" w:cstheme="minorEastAsia"/>
          <w:spacing w:val="0"/>
          <w:kern w:val="0"/>
          <w:highlight w:val="none"/>
          <w:lang w:val="en-US" w:eastAsia="zh-CN"/>
        </w:rPr>
        <w:t>及相关</w:t>
      </w:r>
      <w:r>
        <w:rPr>
          <w:rFonts w:hint="eastAsia" w:asciiTheme="minorEastAsia" w:hAnsiTheme="minorEastAsia" w:eastAsiaTheme="minorEastAsia" w:cstheme="minorEastAsia"/>
          <w:spacing w:val="0"/>
          <w:kern w:val="0"/>
          <w:highlight w:val="none"/>
        </w:rPr>
        <w:t>规定，本合同</w:t>
      </w:r>
      <w:r>
        <w:rPr>
          <w:rFonts w:hint="eastAsia" w:asciiTheme="minorEastAsia" w:hAnsiTheme="minorEastAsia" w:eastAsiaTheme="minorEastAsia" w:cstheme="minorEastAsia"/>
          <w:spacing w:val="0"/>
          <w:kern w:val="0"/>
          <w:highlight w:val="none"/>
          <w:lang w:val="en-US" w:eastAsia="zh-CN"/>
        </w:rPr>
        <w:t>就甲方向乙方采购</w:t>
      </w:r>
      <w:r>
        <w:rPr>
          <w:rFonts w:hint="eastAsia" w:asciiTheme="minorEastAsia" w:hAnsiTheme="minorEastAsia" w:eastAsiaTheme="minorEastAsia" w:cstheme="minorEastAsia"/>
          <w:spacing w:val="0"/>
          <w:highlight w:val="none"/>
          <w:lang w:val="en-US" w:eastAsia="zh-CN"/>
        </w:rPr>
        <w:t>【</w:t>
      </w:r>
      <w:r>
        <w:rPr>
          <w:rFonts w:hint="eastAsia" w:cstheme="minorEastAsia"/>
          <w:spacing w:val="0"/>
          <w:highlight w:val="none"/>
          <w:lang w:val="en-US" w:eastAsia="zh-CN"/>
        </w:rPr>
        <w:t>行李拖斗</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事项，经过平等协商，在真实、充分地表达各自意愿的基础上，达成如下</w:t>
      </w:r>
      <w:r>
        <w:rPr>
          <w:rFonts w:hint="eastAsia" w:asciiTheme="minorEastAsia" w:hAnsiTheme="minorEastAsia" w:eastAsiaTheme="minorEastAsia" w:cstheme="minorEastAsia"/>
          <w:spacing w:val="0"/>
          <w:kern w:val="0"/>
          <w:highlight w:val="none"/>
          <w:lang w:val="en-US" w:eastAsia="zh-CN"/>
        </w:rPr>
        <w:t>合同内容</w:t>
      </w:r>
      <w:r>
        <w:rPr>
          <w:rFonts w:hint="eastAsia" w:asciiTheme="minorEastAsia" w:hAnsiTheme="minorEastAsia" w:eastAsiaTheme="minorEastAsia" w:cstheme="minorEastAsia"/>
          <w:spacing w:val="0"/>
          <w:kern w:val="0"/>
          <w:highlight w:val="none"/>
        </w:rPr>
        <w:t>，</w:t>
      </w:r>
      <w:r>
        <w:rPr>
          <w:rFonts w:hint="eastAsia" w:asciiTheme="minorEastAsia" w:hAnsiTheme="minorEastAsia" w:eastAsiaTheme="minorEastAsia" w:cstheme="minorEastAsia"/>
          <w:spacing w:val="0"/>
          <w:kern w:val="0"/>
          <w:highlight w:val="none"/>
          <w:lang w:val="en-US" w:eastAsia="zh-CN"/>
        </w:rPr>
        <w:t>以资共同遵守。</w:t>
      </w:r>
    </w:p>
    <w:p w14:paraId="049BCFCA">
      <w:pPr>
        <w:pStyle w:val="74"/>
        <w:keepNext w:val="0"/>
        <w:keepLines w:val="0"/>
        <w:pageBreakBefore w:val="0"/>
        <w:widowControl w:val="0"/>
        <w:numPr>
          <w:ilvl w:val="0"/>
          <w:numId w:val="8"/>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合同标的</w:t>
      </w:r>
    </w:p>
    <w:p w14:paraId="635E5BA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甲方向乙方购买</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行李拖斗</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w:t>
      </w:r>
    </w:p>
    <w:p w14:paraId="416FF1E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描述（产地、型号、规格</w:t>
      </w:r>
      <w:r>
        <w:rPr>
          <w:rFonts w:hint="eastAsia" w:asciiTheme="minorEastAsia" w:hAnsiTheme="minorEastAsia" w:eastAsiaTheme="minorEastAsia" w:cstheme="minorEastAsia"/>
          <w:spacing w:val="0"/>
          <w:kern w:val="0"/>
          <w:highlight w:val="none"/>
          <w:lang w:val="en-US" w:eastAsia="zh-CN"/>
        </w:rPr>
        <w:t>等），若有招投标文件，以标准有利于甲方为准。</w:t>
      </w:r>
    </w:p>
    <w:tbl>
      <w:tblPr>
        <w:tblStyle w:val="23"/>
        <w:tblW w:w="4998" w:type="pct"/>
        <w:jc w:val="center"/>
        <w:tblLayout w:type="autofit"/>
        <w:tblCellMar>
          <w:top w:w="0" w:type="dxa"/>
          <w:left w:w="108" w:type="dxa"/>
          <w:bottom w:w="0" w:type="dxa"/>
          <w:right w:w="108" w:type="dxa"/>
        </w:tblCellMar>
      </w:tblPr>
      <w:tblGrid>
        <w:gridCol w:w="890"/>
        <w:gridCol w:w="1427"/>
        <w:gridCol w:w="1841"/>
        <w:gridCol w:w="1689"/>
        <w:gridCol w:w="1243"/>
        <w:gridCol w:w="1429"/>
      </w:tblGrid>
      <w:tr w14:paraId="70BAC874">
        <w:tblPrEx>
          <w:tblCellMar>
            <w:top w:w="0" w:type="dxa"/>
            <w:left w:w="108" w:type="dxa"/>
            <w:bottom w:w="0" w:type="dxa"/>
            <w:right w:w="108" w:type="dxa"/>
          </w:tblCellMar>
        </w:tblPrEx>
        <w:trPr>
          <w:trHeight w:val="330" w:hRule="atLeast"/>
          <w:jc w:val="center"/>
        </w:trPr>
        <w:tc>
          <w:tcPr>
            <w:tcW w:w="52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6CB4D">
            <w:pPr>
              <w:keepNext w:val="0"/>
              <w:keepLines w:val="0"/>
              <w:pageBreakBefore w:val="0"/>
              <w:widowControl w:val="0"/>
              <w:kinsoku/>
              <w:wordWrap/>
              <w:overflowPunct/>
              <w:topLinePunct w:val="0"/>
              <w:autoSpaceDE w:val="0"/>
              <w:autoSpaceDN w:val="0"/>
              <w:bidi w:val="0"/>
              <w:ind w:left="0" w:leftChars="0" w:firstLine="0" w:firstLineChars="0"/>
              <w:jc w:val="center"/>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序号</w:t>
            </w:r>
          </w:p>
        </w:tc>
        <w:tc>
          <w:tcPr>
            <w:tcW w:w="837" w:type="pct"/>
            <w:tcBorders>
              <w:top w:val="single" w:color="auto" w:sz="4" w:space="0"/>
              <w:left w:val="nil"/>
              <w:bottom w:val="single" w:color="auto" w:sz="4" w:space="0"/>
              <w:right w:val="single" w:color="auto" w:sz="4" w:space="0"/>
            </w:tcBorders>
            <w:shd w:val="clear" w:color="000000" w:fill="FFFFFF"/>
            <w:noWrap w:val="0"/>
            <w:vAlign w:val="center"/>
          </w:tcPr>
          <w:p w14:paraId="085E1EC0">
            <w:pPr>
              <w:keepNext w:val="0"/>
              <w:keepLines w:val="0"/>
              <w:pageBreakBefore w:val="0"/>
              <w:widowControl w:val="0"/>
              <w:kinsoku/>
              <w:wordWrap/>
              <w:overflowPunct/>
              <w:topLinePunct w:val="0"/>
              <w:autoSpaceDE w:val="0"/>
              <w:autoSpaceDN w:val="0"/>
              <w:bidi w:val="0"/>
              <w:ind w:left="0" w:leftChars="0" w:firstLine="0" w:firstLineChars="0"/>
              <w:jc w:val="center"/>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名称</w:t>
            </w:r>
          </w:p>
        </w:tc>
        <w:tc>
          <w:tcPr>
            <w:tcW w:w="1080" w:type="pct"/>
            <w:tcBorders>
              <w:top w:val="single" w:color="auto" w:sz="4" w:space="0"/>
              <w:left w:val="nil"/>
              <w:bottom w:val="single" w:color="auto" w:sz="4" w:space="0"/>
              <w:right w:val="single" w:color="auto" w:sz="4" w:space="0"/>
            </w:tcBorders>
            <w:shd w:val="clear" w:color="000000" w:fill="FFFFFF"/>
            <w:noWrap w:val="0"/>
            <w:vAlign w:val="center"/>
          </w:tcPr>
          <w:p w14:paraId="30BA0827">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品牌</w:t>
            </w:r>
          </w:p>
        </w:tc>
        <w:tc>
          <w:tcPr>
            <w:tcW w:w="991" w:type="pct"/>
            <w:tcBorders>
              <w:top w:val="single" w:color="auto" w:sz="4" w:space="0"/>
              <w:left w:val="nil"/>
              <w:bottom w:val="single" w:color="auto" w:sz="4" w:space="0"/>
              <w:right w:val="single" w:color="auto" w:sz="4" w:space="0"/>
            </w:tcBorders>
            <w:shd w:val="clear" w:color="000000" w:fill="FFFFFF"/>
            <w:noWrap w:val="0"/>
            <w:vAlign w:val="center"/>
          </w:tcPr>
          <w:p w14:paraId="52310DAE">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型号</w:t>
            </w:r>
          </w:p>
        </w:tc>
        <w:tc>
          <w:tcPr>
            <w:tcW w:w="729" w:type="pct"/>
            <w:tcBorders>
              <w:top w:val="single" w:color="auto" w:sz="4" w:space="0"/>
              <w:left w:val="nil"/>
              <w:bottom w:val="single" w:color="auto" w:sz="4" w:space="0"/>
              <w:right w:val="single" w:color="auto" w:sz="4" w:space="0"/>
            </w:tcBorders>
            <w:shd w:val="clear" w:color="000000" w:fill="FFFFFF"/>
            <w:noWrap w:val="0"/>
            <w:vAlign w:val="center"/>
          </w:tcPr>
          <w:p w14:paraId="371FB280">
            <w:pPr>
              <w:keepNext w:val="0"/>
              <w:keepLines w:val="0"/>
              <w:pageBreakBefore w:val="0"/>
              <w:widowControl w:val="0"/>
              <w:kinsoku/>
              <w:wordWrap/>
              <w:overflowPunct/>
              <w:topLinePunct w:val="0"/>
              <w:autoSpaceDE w:val="0"/>
              <w:autoSpaceDN w:val="0"/>
              <w:bidi w:val="0"/>
              <w:ind w:left="0" w:leftChars="0" w:firstLine="0" w:firstLineChars="0"/>
              <w:jc w:val="center"/>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数量</w:t>
            </w:r>
          </w:p>
        </w:tc>
        <w:tc>
          <w:tcPr>
            <w:tcW w:w="838" w:type="pct"/>
            <w:tcBorders>
              <w:top w:val="single" w:color="auto" w:sz="4" w:space="0"/>
              <w:left w:val="nil"/>
              <w:bottom w:val="single" w:color="auto" w:sz="4" w:space="0"/>
              <w:right w:val="single" w:color="auto" w:sz="4" w:space="0"/>
            </w:tcBorders>
            <w:shd w:val="clear" w:color="000000" w:fill="FFFFFF"/>
            <w:noWrap w:val="0"/>
            <w:vAlign w:val="center"/>
          </w:tcPr>
          <w:p w14:paraId="4C9B17A3">
            <w:pPr>
              <w:keepNext w:val="0"/>
              <w:keepLines w:val="0"/>
              <w:pageBreakBefore w:val="0"/>
              <w:widowControl w:val="0"/>
              <w:kinsoku/>
              <w:wordWrap/>
              <w:overflowPunct/>
              <w:topLinePunct w:val="0"/>
              <w:autoSpaceDE w:val="0"/>
              <w:autoSpaceDN w:val="0"/>
              <w:bidi w:val="0"/>
              <w:ind w:left="0" w:leftChars="0" w:firstLine="0" w:firstLineChars="0"/>
              <w:jc w:val="center"/>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kern w:val="0"/>
                <w:highlight w:val="none"/>
              </w:rPr>
              <w:t>单价</w:t>
            </w:r>
          </w:p>
        </w:tc>
      </w:tr>
      <w:tr w14:paraId="0D30AA3F">
        <w:tblPrEx>
          <w:tblCellMar>
            <w:top w:w="0" w:type="dxa"/>
            <w:left w:w="108" w:type="dxa"/>
            <w:bottom w:w="0" w:type="dxa"/>
            <w:right w:w="108" w:type="dxa"/>
          </w:tblCellMar>
        </w:tblPrEx>
        <w:trPr>
          <w:trHeight w:val="330" w:hRule="atLeast"/>
          <w:jc w:val="center"/>
        </w:trPr>
        <w:tc>
          <w:tcPr>
            <w:tcW w:w="52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1515E6">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1</w:t>
            </w:r>
          </w:p>
        </w:tc>
        <w:tc>
          <w:tcPr>
            <w:tcW w:w="837" w:type="pct"/>
            <w:tcBorders>
              <w:top w:val="single" w:color="auto" w:sz="4" w:space="0"/>
              <w:left w:val="nil"/>
              <w:bottom w:val="single" w:color="auto" w:sz="4" w:space="0"/>
              <w:right w:val="single" w:color="auto" w:sz="4" w:space="0"/>
            </w:tcBorders>
            <w:shd w:val="clear" w:color="000000" w:fill="FFFFFF"/>
            <w:noWrap w:val="0"/>
            <w:vAlign w:val="center"/>
          </w:tcPr>
          <w:p w14:paraId="63F8D628">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行李拖斗</w:t>
            </w:r>
          </w:p>
        </w:tc>
        <w:tc>
          <w:tcPr>
            <w:tcW w:w="1080" w:type="pct"/>
            <w:tcBorders>
              <w:top w:val="single" w:color="auto" w:sz="4" w:space="0"/>
              <w:left w:val="nil"/>
              <w:bottom w:val="single" w:color="auto" w:sz="4" w:space="0"/>
              <w:right w:val="single" w:color="auto" w:sz="4" w:space="0"/>
            </w:tcBorders>
            <w:shd w:val="clear" w:color="000000" w:fill="FFFFFF"/>
            <w:noWrap w:val="0"/>
            <w:vAlign w:val="center"/>
          </w:tcPr>
          <w:p w14:paraId="29A1A3CF">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rPr>
            </w:pPr>
          </w:p>
        </w:tc>
        <w:tc>
          <w:tcPr>
            <w:tcW w:w="991" w:type="pct"/>
            <w:tcBorders>
              <w:top w:val="single" w:color="auto" w:sz="4" w:space="0"/>
              <w:left w:val="nil"/>
              <w:bottom w:val="single" w:color="auto" w:sz="4" w:space="0"/>
              <w:right w:val="single" w:color="auto" w:sz="4" w:space="0"/>
            </w:tcBorders>
            <w:shd w:val="clear" w:color="000000" w:fill="FFFFFF"/>
            <w:noWrap w:val="0"/>
            <w:vAlign w:val="center"/>
          </w:tcPr>
          <w:p w14:paraId="3983067A">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rPr>
            </w:pPr>
          </w:p>
        </w:tc>
        <w:tc>
          <w:tcPr>
            <w:tcW w:w="729" w:type="pct"/>
            <w:tcBorders>
              <w:top w:val="single" w:color="auto" w:sz="4" w:space="0"/>
              <w:left w:val="nil"/>
              <w:bottom w:val="single" w:color="auto" w:sz="4" w:space="0"/>
              <w:right w:val="single" w:color="auto" w:sz="4" w:space="0"/>
            </w:tcBorders>
            <w:shd w:val="clear" w:color="000000" w:fill="FFFFFF"/>
            <w:noWrap w:val="0"/>
            <w:vAlign w:val="center"/>
          </w:tcPr>
          <w:p w14:paraId="053EFEB0">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5</w:t>
            </w:r>
          </w:p>
        </w:tc>
        <w:tc>
          <w:tcPr>
            <w:tcW w:w="838" w:type="pct"/>
            <w:tcBorders>
              <w:top w:val="single" w:color="auto" w:sz="4" w:space="0"/>
              <w:left w:val="nil"/>
              <w:bottom w:val="single" w:color="auto" w:sz="4" w:space="0"/>
              <w:right w:val="single" w:color="auto" w:sz="4" w:space="0"/>
            </w:tcBorders>
            <w:shd w:val="clear" w:color="000000" w:fill="FFFFFF"/>
            <w:noWrap w:val="0"/>
            <w:vAlign w:val="center"/>
          </w:tcPr>
          <w:p w14:paraId="2BA35780">
            <w:pPr>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kern w:val="0"/>
                <w:highlight w:val="none"/>
                <w:lang w:eastAsia="zh-CN"/>
              </w:rPr>
            </w:pPr>
          </w:p>
        </w:tc>
      </w:tr>
    </w:tbl>
    <w:p w14:paraId="1FFA4A6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乙方向甲方免费提供上述</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的送货、安装、调试、售后</w:t>
      </w:r>
      <w:r>
        <w:rPr>
          <w:rFonts w:hint="eastAsia" w:asciiTheme="minorEastAsia" w:hAnsiTheme="minorEastAsia" w:eastAsiaTheme="minorEastAsia" w:cstheme="minorEastAsia"/>
          <w:spacing w:val="0"/>
          <w:kern w:val="0"/>
          <w:highlight w:val="none"/>
          <w:lang w:val="en-US" w:eastAsia="zh-CN"/>
        </w:rPr>
        <w:t>服务、</w:t>
      </w:r>
      <w:r>
        <w:rPr>
          <w:rFonts w:hint="eastAsia" w:asciiTheme="minorEastAsia" w:hAnsiTheme="minorEastAsia" w:eastAsiaTheme="minorEastAsia" w:cstheme="minorEastAsia"/>
          <w:spacing w:val="0"/>
          <w:kern w:val="0"/>
          <w:highlight w:val="none"/>
        </w:rPr>
        <w:t>技术支持、培训等服务。</w:t>
      </w:r>
    </w:p>
    <w:p w14:paraId="6014990E">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合同价款</w:t>
      </w:r>
    </w:p>
    <w:p w14:paraId="2309E38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highlight w:val="none"/>
        </w:rPr>
        <w:t>本合同甲、乙</w:t>
      </w:r>
      <w:r>
        <w:rPr>
          <w:rFonts w:hint="eastAsia" w:asciiTheme="minorEastAsia" w:hAnsiTheme="minorEastAsia" w:eastAsiaTheme="minorEastAsia" w:cstheme="minorEastAsia"/>
          <w:spacing w:val="0"/>
          <w:highlight w:val="none"/>
          <w:lang w:val="en-US" w:eastAsia="zh-CN"/>
        </w:rPr>
        <w:t>双</w:t>
      </w:r>
      <w:r>
        <w:rPr>
          <w:rFonts w:hint="eastAsia" w:asciiTheme="minorEastAsia" w:hAnsiTheme="minorEastAsia" w:eastAsiaTheme="minorEastAsia" w:cstheme="minorEastAsia"/>
          <w:spacing w:val="0"/>
          <w:highlight w:val="none"/>
        </w:rPr>
        <w:t>方之间发生的一切费用均以人民币结算支付。</w:t>
      </w:r>
      <w:r>
        <w:rPr>
          <w:rFonts w:hint="eastAsia" w:asciiTheme="minorEastAsia" w:hAnsiTheme="minorEastAsia" w:eastAsiaTheme="minorEastAsia" w:cstheme="minorEastAsia"/>
          <w:spacing w:val="0"/>
          <w:highlight w:val="none"/>
          <w:lang w:val="en-US" w:eastAsia="zh-CN"/>
        </w:rPr>
        <w:t>付款方应将款项</w:t>
      </w:r>
      <w:r>
        <w:rPr>
          <w:rFonts w:hint="eastAsia" w:asciiTheme="minorEastAsia" w:hAnsiTheme="minorEastAsia" w:eastAsiaTheme="minorEastAsia" w:cstheme="minorEastAsia"/>
          <w:spacing w:val="0"/>
          <w:highlight w:val="none"/>
        </w:rPr>
        <w:t>付</w:t>
      </w:r>
      <w:r>
        <w:rPr>
          <w:rFonts w:hint="eastAsia" w:asciiTheme="minorEastAsia" w:hAnsiTheme="minorEastAsia" w:eastAsiaTheme="minorEastAsia" w:cstheme="minorEastAsia"/>
          <w:spacing w:val="0"/>
          <w:highlight w:val="none"/>
          <w:lang w:val="en-US" w:eastAsia="zh-CN"/>
        </w:rPr>
        <w:t>至收款方</w:t>
      </w:r>
      <w:r>
        <w:rPr>
          <w:rFonts w:hint="eastAsia" w:asciiTheme="minorEastAsia" w:hAnsiTheme="minorEastAsia" w:eastAsiaTheme="minorEastAsia" w:cstheme="minorEastAsia"/>
          <w:spacing w:val="0"/>
          <w:highlight w:val="none"/>
        </w:rPr>
        <w:t>于合同指定的开户银行和账户。</w:t>
      </w:r>
    </w:p>
    <w:p w14:paraId="0C61FC6D">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本合同含税总价为</w:t>
      </w:r>
      <w:r>
        <w:rPr>
          <w:rFonts w:hint="eastAsia" w:asciiTheme="minorEastAsia" w:hAnsiTheme="minorEastAsia" w:eastAsiaTheme="minorEastAsia" w:cstheme="minorEastAsia"/>
          <w:spacing w:val="0"/>
          <w:kern w:val="0"/>
          <w:highlight w:val="none"/>
          <w:lang w:val="en-US" w:eastAsia="zh-CN"/>
        </w:rPr>
        <w:t>人民币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元</w:t>
      </w:r>
      <w:r>
        <w:rPr>
          <w:rFonts w:hint="eastAsia" w:asciiTheme="minorEastAsia" w:hAnsiTheme="minorEastAsia" w:eastAsiaTheme="minorEastAsia" w:cstheme="minorEastAsia"/>
          <w:spacing w:val="0"/>
          <w:highlight w:val="none"/>
        </w:rPr>
        <w:t>（</w:t>
      </w:r>
      <w:r>
        <w:rPr>
          <w:rFonts w:hint="eastAsia" w:asciiTheme="minorEastAsia" w:hAnsiTheme="minorEastAsia" w:eastAsiaTheme="minorEastAsia" w:cstheme="minorEastAsia"/>
          <w:spacing w:val="0"/>
          <w:highlight w:val="none"/>
          <w:lang w:val="en-US" w:eastAsia="zh-CN"/>
        </w:rPr>
        <w:t>大写</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元）</w:t>
      </w:r>
      <w:r>
        <w:rPr>
          <w:rFonts w:hint="eastAsia" w:asciiTheme="minorEastAsia" w:hAnsiTheme="minorEastAsia" w:eastAsiaTheme="minorEastAsia" w:cstheme="minorEastAsia"/>
          <w:spacing w:val="0"/>
          <w:kern w:val="0"/>
          <w:highlight w:val="none"/>
        </w:rPr>
        <w:t>。</w:t>
      </w:r>
      <w:r>
        <w:rPr>
          <w:rFonts w:hint="eastAsia" w:asciiTheme="minorEastAsia" w:hAnsiTheme="minorEastAsia" w:eastAsiaTheme="minorEastAsia" w:cstheme="minorEastAsia"/>
          <w:spacing w:val="0"/>
          <w:highlight w:val="none"/>
          <w:lang w:val="en-US" w:eastAsia="zh-CN"/>
        </w:rPr>
        <w:t>其中不含税额为人民币【】元，税额为人民币【】元（税率：【】）。</w:t>
      </w:r>
    </w:p>
    <w:p w14:paraId="5C41A03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rPr>
        <w:t>因国家税务政策变化导致增值税率发生变化时，按新的增值税率执行，合同价=合同签订时的不含税价*(1+新税率)。合同签订时的不含税价＝(合同约定的含税价、价外费用)/(1+合同签订时适用的税率)</w:t>
      </w:r>
    </w:p>
    <w:p w14:paraId="627F29C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本合同单价或合价(总价)均已包含所供</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及所有零部件费用及最终验收后质保期内所需全部备品、备件、耗材，专用检测设备、仪器及专用工具的费用，并包含设计、制造(含原材料供给)、安装调试、检测、培训、保险、运输、交货现场技术服务、与其它承包商的协调、现场调试、提交图纸和技术资料、提交相关设备和专用工具、质保期内售后服务、卫生防控等一切与完成本项目有关的所有费用</w:t>
      </w:r>
      <w:r>
        <w:rPr>
          <w:rFonts w:hint="eastAsia" w:asciiTheme="minorEastAsia" w:hAnsiTheme="minorEastAsia" w:eastAsiaTheme="minorEastAsia" w:cstheme="minorEastAsia"/>
          <w:spacing w:val="0"/>
          <w:highlight w:val="none"/>
          <w:lang w:eastAsia="zh-CN"/>
        </w:rPr>
        <w:t>。</w:t>
      </w:r>
    </w:p>
    <w:p w14:paraId="7D4E13A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如国内生产设备中的关键部件或主要部件为进口的，该关键部件或主要部件的进口关税和增值税须包含在本合同单价或合价(总价)。如乙方投标的</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(国内</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)含境外供应的进口整机机电</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，乙方必须在报价表中详细列出整机进口机电</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的进口关税及增值税金额并包括在本合同单价或合价(总价)之中。进口关税及增值税由乙方自己或其进口代理直接向主管海关交纳。乙方须提供进口部件或设备的报关单。</w:t>
      </w:r>
    </w:p>
    <w:p w14:paraId="54DB5EC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对甲方招标文件中未列出数量或品名的随车器材及备品备件等，以及乙方未在分项报价表中列出数量或品名的随车器材及备品备件等，但根据招标文件规定又属于乙方为完成本项目实施而必需提供的，乙方必须补足，且所需费用均包含在本合同单价或合价(总价)，甲方对此不单独进行支付。</w:t>
      </w:r>
    </w:p>
    <w:p w14:paraId="3CFADF0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本合同履行过程中如有未实施的项目或因技术标准调整等原因导致费用减少的，甲方有权据实扣减相应款项；如因甲方原因导致费用增加的，甲方同意据实支付增加的费用。</w:t>
      </w:r>
    </w:p>
    <w:p w14:paraId="5E7EB94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包装</w:t>
      </w:r>
    </w:p>
    <w:p w14:paraId="6258B05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highlight w:val="none"/>
        </w:rPr>
        <w:t>乙方应为</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提供适宜运输的包装方式，</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采用密封性形式，包装上应注明防潮、防湿、防震、防锈、耐粗暴搬运等</w:t>
      </w:r>
      <w:r>
        <w:rPr>
          <w:rFonts w:hint="eastAsia" w:asciiTheme="minorEastAsia" w:hAnsiTheme="minorEastAsia" w:eastAsiaTheme="minorEastAsia" w:cstheme="minorEastAsia"/>
          <w:spacing w:val="0"/>
          <w:kern w:val="0"/>
          <w:highlight w:val="none"/>
          <w:lang w:val="en-US" w:eastAsia="zh-CN"/>
        </w:rPr>
        <w:t>标识</w:t>
      </w:r>
      <w:r>
        <w:rPr>
          <w:rFonts w:hint="eastAsia" w:asciiTheme="minorEastAsia" w:hAnsiTheme="minorEastAsia" w:eastAsiaTheme="minorEastAsia" w:cstheme="minorEastAsia"/>
          <w:spacing w:val="0"/>
          <w:kern w:val="0"/>
          <w:highlight w:val="none"/>
        </w:rPr>
        <w:t>。对于由于包装不良所发生的损失及由于采用不充分或不妥善的防护措施而造成的任何锈损，乙方应承担由此而产生的一切费用和</w:t>
      </w:r>
      <w:r>
        <w:rPr>
          <w:rFonts w:hint="eastAsia" w:asciiTheme="minorEastAsia" w:hAnsiTheme="minorEastAsia" w:eastAsiaTheme="minorEastAsia" w:cstheme="minorEastAsia"/>
          <w:spacing w:val="0"/>
          <w:kern w:val="0"/>
          <w:highlight w:val="none"/>
          <w:lang w:val="en-US" w:eastAsia="zh-CN"/>
        </w:rPr>
        <w:t>责任</w:t>
      </w:r>
      <w:r>
        <w:rPr>
          <w:rFonts w:hint="eastAsia" w:asciiTheme="minorEastAsia" w:hAnsiTheme="minorEastAsia" w:eastAsiaTheme="minorEastAsia" w:cstheme="minorEastAsia"/>
          <w:spacing w:val="0"/>
          <w:kern w:val="0"/>
          <w:highlight w:val="none"/>
        </w:rPr>
        <w:t>。</w:t>
      </w:r>
    </w:p>
    <w:p w14:paraId="60030EE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危险物品</w:t>
      </w:r>
      <w:r>
        <w:rPr>
          <w:rFonts w:hint="eastAsia" w:asciiTheme="minorEastAsia" w:hAnsi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val="en-US" w:eastAsia="zh-CN"/>
        </w:rPr>
        <w:t>如有</w:t>
      </w:r>
      <w:r>
        <w:rPr>
          <w:rFonts w:hint="eastAsia" w:asciiTheme="minorEastAsia" w:hAnsiTheme="minorEastAsia" w:cstheme="minorEastAsia"/>
          <w:spacing w:val="0"/>
          <w:highlight w:val="none"/>
          <w:lang w:eastAsia="zh-CN"/>
        </w:rPr>
        <w:t>）</w:t>
      </w:r>
    </w:p>
    <w:p w14:paraId="713D7200">
      <w:pPr>
        <w:pStyle w:val="76"/>
        <w:keepNext w:val="0"/>
        <w:keepLines w:val="0"/>
        <w:pageBreakBefore w:val="0"/>
        <w:widowControl w:val="0"/>
        <w:numPr>
          <w:ilvl w:val="2"/>
          <w:numId w:val="1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如果产品设备由危险材料及生化物品制成或包含危险材料成分，需要特殊处理，应在交货前至少【7】日内以书面形式说明材料的详细情况，并对安全运输和存放等方面所采取的必要的保护措施进行说明。并且每次供货时均应对产品设备做明显标记，说明材料的特性和相关的安全参数。</w:t>
      </w:r>
    </w:p>
    <w:p w14:paraId="5D67F49F">
      <w:pPr>
        <w:pStyle w:val="76"/>
        <w:keepNext w:val="0"/>
        <w:keepLines w:val="0"/>
        <w:pageBreakBefore w:val="0"/>
        <w:widowControl w:val="0"/>
        <w:numPr>
          <w:ilvl w:val="2"/>
          <w:numId w:val="1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对于需采用专用运输工具运输以确保安全的产品设备，应按照法律法规及运输危险物品的有关规定进行运输。</w:t>
      </w:r>
    </w:p>
    <w:p w14:paraId="5B2FE910">
      <w:pPr>
        <w:pStyle w:val="76"/>
        <w:keepNext w:val="0"/>
        <w:keepLines w:val="0"/>
        <w:pageBreakBefore w:val="0"/>
        <w:widowControl w:val="0"/>
        <w:numPr>
          <w:ilvl w:val="2"/>
          <w:numId w:val="1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乙方应承担运输或处理产品设备不当而造成的相关法律责任。</w:t>
      </w:r>
    </w:p>
    <w:p w14:paraId="1E009C21">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交付</w:t>
      </w:r>
    </w:p>
    <w:p w14:paraId="163EB48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lang w:val="en-US" w:eastAsia="zh-CN"/>
        </w:rPr>
        <w:t>甲方指定</w:t>
      </w:r>
      <w:r>
        <w:rPr>
          <w:rFonts w:hint="eastAsia" w:asciiTheme="minorEastAsia" w:hAnsiTheme="minorEastAsia" w:eastAsiaTheme="minorEastAsia" w:cstheme="minorEastAsia"/>
          <w:spacing w:val="0"/>
          <w:kern w:val="0"/>
          <w:highlight w:val="none"/>
        </w:rPr>
        <w:t>交货地点：</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湖北省恩施许家坪国际机场</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w:t>
      </w:r>
    </w:p>
    <w:p w14:paraId="2D36AB1B">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乙方应当在合同生效后</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30个日历</w:t>
      </w:r>
      <w:r>
        <w:rPr>
          <w:rFonts w:hint="eastAsia" w:asciiTheme="minorEastAsia" w:hAnsiTheme="minorEastAsia" w:eastAsiaTheme="minorEastAsia" w:cstheme="minorEastAsia"/>
          <w:spacing w:val="0"/>
          <w:kern w:val="0"/>
          <w:highlight w:val="none"/>
        </w:rPr>
        <w:t>日</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内将</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运送到交付地点</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并</w:t>
      </w:r>
      <w:r>
        <w:rPr>
          <w:rFonts w:hint="eastAsia" w:asciiTheme="minorEastAsia" w:hAnsiTheme="minorEastAsia" w:eastAsiaTheme="minorEastAsia" w:cstheme="minorEastAsia"/>
          <w:spacing w:val="0"/>
          <w:kern w:val="0"/>
          <w:highlight w:val="none"/>
        </w:rPr>
        <w:t>完成安装</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调试。</w:t>
      </w:r>
      <w:r>
        <w:rPr>
          <w:rFonts w:hint="eastAsia" w:asciiTheme="minorEastAsia" w:hAnsiTheme="minorEastAsia" w:eastAsiaTheme="minorEastAsia" w:cstheme="minorEastAsia"/>
          <w:spacing w:val="0"/>
          <w:kern w:val="0"/>
          <w:highlight w:val="none"/>
          <w:lang w:val="en-US" w:eastAsia="zh-CN"/>
        </w:rPr>
        <w:t>具体交货时间在此期限内以甲方通知为准。</w:t>
      </w:r>
    </w:p>
    <w:p w14:paraId="5DA9B3D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所有</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运抵现场并经过甲方验收的日期为交货日期。</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数量、型号等不符或者有明显瑕疵的，甲方有权拒收。</w:t>
      </w:r>
    </w:p>
    <w:p w14:paraId="370067F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乙方负责无偿将</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运送至甲方</w:t>
      </w:r>
      <w:r>
        <w:rPr>
          <w:rFonts w:hint="eastAsia" w:asciiTheme="minorEastAsia" w:hAnsiTheme="minorEastAsia" w:eastAsiaTheme="minorEastAsia" w:cstheme="minorEastAsia"/>
          <w:spacing w:val="0"/>
          <w:kern w:val="0"/>
          <w:highlight w:val="none"/>
          <w:lang w:val="en-US" w:eastAsia="zh-CN"/>
        </w:rPr>
        <w:t>的交货</w:t>
      </w:r>
      <w:r>
        <w:rPr>
          <w:rFonts w:hint="eastAsia" w:asciiTheme="minorEastAsia" w:hAnsiTheme="minorEastAsia" w:eastAsiaTheme="minorEastAsia" w:cstheme="minorEastAsia"/>
          <w:spacing w:val="0"/>
          <w:kern w:val="0"/>
          <w:highlight w:val="none"/>
        </w:rPr>
        <w:t>地点。运输过程中，</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毁损、灭失的风险由乙方承担。</w:t>
      </w:r>
    </w:p>
    <w:p w14:paraId="2A022A5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运送至甲方指定地点后，由甲乙双方共同对</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进行检验并办理相关移交手续</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产品设备</w:t>
      </w:r>
      <w:r>
        <w:rPr>
          <w:rFonts w:hint="eastAsia" w:asciiTheme="minorEastAsia" w:hAnsiTheme="minorEastAsia" w:eastAsiaTheme="minorEastAsia" w:cstheme="minorEastAsia"/>
          <w:spacing w:val="0"/>
          <w:sz w:val="24"/>
          <w:highlight w:val="none"/>
        </w:rPr>
        <w:t>移交给甲方后，毁损、灭失的风险由甲方承担。</w:t>
      </w:r>
      <w:r>
        <w:rPr>
          <w:rFonts w:hint="eastAsia" w:asciiTheme="minorEastAsia" w:hAnsiTheme="minorEastAsia" w:eastAsiaTheme="minorEastAsia" w:cstheme="minorEastAsia"/>
          <w:spacing w:val="0"/>
          <w:sz w:val="24"/>
          <w:highlight w:val="none"/>
          <w:lang w:val="en-US" w:eastAsia="zh-CN"/>
        </w:rPr>
        <w:t>甲方接收产品设备不代表甲方对产品设备质量的认可。</w:t>
      </w:r>
    </w:p>
    <w:p w14:paraId="5326DC7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bCs/>
          <w:spacing w:val="0"/>
          <w:sz w:val="24"/>
          <w:highlight w:val="none"/>
        </w:rPr>
      </w:pPr>
      <w:r>
        <w:rPr>
          <w:rFonts w:hint="eastAsia" w:asciiTheme="minorEastAsia" w:hAnsiTheme="minorEastAsia" w:eastAsiaTheme="minorEastAsia" w:cstheme="minorEastAsia"/>
          <w:spacing w:val="0"/>
          <w:highlight w:val="none"/>
          <w:lang w:val="en-US" w:eastAsia="zh-CN"/>
        </w:rPr>
        <w:t>交付标准</w:t>
      </w:r>
    </w:p>
    <w:p w14:paraId="0B29220C">
      <w:pPr>
        <w:pStyle w:val="75"/>
        <w:keepNext w:val="0"/>
        <w:keepLines w:val="0"/>
        <w:pageBreakBefore w:val="0"/>
        <w:widowControl w:val="0"/>
        <w:numPr>
          <w:ilvl w:val="0"/>
          <w:numId w:val="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bCs/>
          <w:spacing w:val="0"/>
          <w:sz w:val="24"/>
          <w:highlight w:val="none"/>
        </w:rPr>
      </w:pPr>
      <w:r>
        <w:rPr>
          <w:rFonts w:hint="eastAsia" w:asciiTheme="minorEastAsia" w:hAnsiTheme="minorEastAsia" w:eastAsiaTheme="minorEastAsia" w:cstheme="minorEastAsia"/>
          <w:bCs/>
          <w:spacing w:val="0"/>
          <w:sz w:val="24"/>
          <w:highlight w:val="none"/>
        </w:rPr>
        <w:t>所有</w:t>
      </w:r>
      <w:r>
        <w:rPr>
          <w:rFonts w:hint="eastAsia" w:asciiTheme="minorEastAsia" w:hAnsiTheme="minorEastAsia" w:eastAsiaTheme="minorEastAsia" w:cstheme="minorEastAsia"/>
          <w:bCs/>
          <w:spacing w:val="0"/>
          <w:sz w:val="24"/>
          <w:highlight w:val="none"/>
          <w:lang w:val="en-US" w:eastAsia="zh-CN"/>
        </w:rPr>
        <w:t>产品设备</w:t>
      </w:r>
      <w:r>
        <w:rPr>
          <w:rFonts w:hint="eastAsia" w:asciiTheme="minorEastAsia" w:hAnsiTheme="minorEastAsia" w:eastAsiaTheme="minorEastAsia" w:cstheme="minorEastAsia"/>
          <w:bCs/>
          <w:spacing w:val="0"/>
          <w:sz w:val="24"/>
          <w:highlight w:val="none"/>
        </w:rPr>
        <w:t>均须按照甲方要求喷涂标识及车漆，其费用包含在合同总价中。所有进口部件均需提供进口报关单。</w:t>
      </w:r>
    </w:p>
    <w:p w14:paraId="1CBCABA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检验</w:t>
      </w:r>
    </w:p>
    <w:p w14:paraId="44C8D3B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货到后，甲方按本合同约定及招投标文件的要求进行检验收货，</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的规格型号均以合同及招、投标文件的要求为准。</w:t>
      </w:r>
    </w:p>
    <w:p w14:paraId="52FA663B">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甲方收到</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后履行收货验收手续，经验收确认</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符合要求后，由甲方在收货验收单</w:t>
      </w:r>
      <w:r>
        <w:rPr>
          <w:rFonts w:hint="eastAsia" w:asciiTheme="minorEastAsia" w:hAnsiTheme="minorEastAsia" w:eastAsiaTheme="minorEastAsia" w:cstheme="minorEastAsia"/>
          <w:spacing w:val="0"/>
          <w:kern w:val="0"/>
          <w:highlight w:val="none"/>
          <w:lang w:val="en-US" w:eastAsia="zh-CN"/>
        </w:rPr>
        <w:t>或试运行报告（如有）</w:t>
      </w:r>
      <w:r>
        <w:rPr>
          <w:rFonts w:hint="eastAsia" w:asciiTheme="minorEastAsia" w:hAnsiTheme="minorEastAsia" w:eastAsiaTheme="minorEastAsia" w:cstheme="minorEastAsia"/>
          <w:spacing w:val="0"/>
          <w:kern w:val="0"/>
          <w:highlight w:val="none"/>
        </w:rPr>
        <w:t>上签字。甲方收货验收并不免除乙方对</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质量应当承担的责任，如果甲方在使用</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时发现设计、安装、制造、材料、工艺等方面的缺陷导致的任何质量问题，乙方仍应承担责任</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sz w:val="24"/>
          <w:highlight w:val="none"/>
        </w:rPr>
        <w:t>试运行报告须体现项目达到最终验收合格标准的试运行结论。试运行期间由于乙方</w:t>
      </w:r>
      <w:r>
        <w:rPr>
          <w:rFonts w:hint="eastAsia" w:asciiTheme="minorEastAsia" w:hAnsiTheme="minorEastAsia" w:eastAsiaTheme="minorEastAsia" w:cstheme="minorEastAsia"/>
          <w:spacing w:val="0"/>
          <w:sz w:val="24"/>
          <w:highlight w:val="none"/>
          <w:lang w:eastAsia="zh-CN"/>
        </w:rPr>
        <w:t>产品设备</w:t>
      </w:r>
      <w:r>
        <w:rPr>
          <w:rFonts w:hint="eastAsia" w:asciiTheme="minorEastAsia" w:hAnsiTheme="minorEastAsia" w:eastAsiaTheme="minorEastAsia" w:cstheme="minorEastAsia"/>
          <w:spacing w:val="0"/>
          <w:sz w:val="24"/>
          <w:highlight w:val="none"/>
        </w:rPr>
        <w:t>质量问题造成的财产损失和人员伤害，由乙方承担全部责任及赔偿。</w:t>
      </w:r>
    </w:p>
    <w:p w14:paraId="644A71A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highlight w:val="none"/>
        </w:rPr>
        <w:t>如本合同所采购的</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因其自身特点导致甲方无法在收货验收当时发现其质量、设计、安装、制造、材料、工艺等</w:t>
      </w:r>
      <w:r>
        <w:rPr>
          <w:rFonts w:hint="eastAsia" w:asciiTheme="minorEastAsia" w:hAnsiTheme="minorEastAsia" w:eastAsiaTheme="minorEastAsia" w:cstheme="minorEastAsia"/>
          <w:spacing w:val="0"/>
          <w:kern w:val="0"/>
          <w:highlight w:val="none"/>
          <w:lang w:val="en-US" w:eastAsia="zh-CN"/>
        </w:rPr>
        <w:t>方面的问题及</w:t>
      </w:r>
      <w:r>
        <w:rPr>
          <w:rFonts w:hint="eastAsia" w:asciiTheme="minorEastAsia" w:hAnsiTheme="minorEastAsia" w:eastAsiaTheme="minorEastAsia" w:cstheme="minorEastAsia"/>
          <w:spacing w:val="0"/>
          <w:kern w:val="0"/>
          <w:highlight w:val="none"/>
        </w:rPr>
        <w:t>缺陷，则甲方享有合理的适用或测试使用时间，如该期间内发现上述问题，则乙方应无条件为甲方提供换货或退货处理，在此情况下乙方无权以甲方收货验收作为</w:t>
      </w:r>
      <w:r>
        <w:rPr>
          <w:rFonts w:hint="eastAsia" w:asciiTheme="minorEastAsia" w:hAnsiTheme="minorEastAsia" w:eastAsiaTheme="minorEastAsia" w:cstheme="minorEastAsia"/>
          <w:spacing w:val="0"/>
          <w:kern w:val="0"/>
          <w:highlight w:val="none"/>
          <w:lang w:val="en-US" w:eastAsia="zh-CN"/>
        </w:rPr>
        <w:t>其</w:t>
      </w:r>
      <w:r>
        <w:rPr>
          <w:rFonts w:hint="eastAsia" w:asciiTheme="minorEastAsia" w:hAnsiTheme="minorEastAsia" w:eastAsiaTheme="minorEastAsia" w:cstheme="minorEastAsia"/>
          <w:spacing w:val="0"/>
          <w:kern w:val="0"/>
          <w:highlight w:val="none"/>
        </w:rPr>
        <w:t>已交付</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的抗辩。</w:t>
      </w:r>
    </w:p>
    <w:p w14:paraId="6C8CEC27">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质量保证</w:t>
      </w:r>
    </w:p>
    <w:p w14:paraId="4492160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乙方保证所提供的</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符合招、投标文件的要求，以标准孰高为准且有利于甲方为准。在交货之前，乙方应就</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的品质、规格、性能、数量及重量</w:t>
      </w:r>
      <w:r>
        <w:rPr>
          <w:rFonts w:hint="eastAsia" w:asciiTheme="minorEastAsia" w:hAnsiTheme="minorEastAsia" w:eastAsiaTheme="minorEastAsia" w:cstheme="minorEastAsia"/>
          <w:spacing w:val="0"/>
          <w:highlight w:val="none"/>
          <w:lang w:val="en-US" w:eastAsia="zh-CN"/>
        </w:rPr>
        <w:t>等</w:t>
      </w:r>
      <w:r>
        <w:rPr>
          <w:rFonts w:hint="eastAsia" w:asciiTheme="minorEastAsia" w:hAnsiTheme="minorEastAsia" w:eastAsiaTheme="minorEastAsia" w:cstheme="minorEastAsia"/>
          <w:spacing w:val="0"/>
          <w:highlight w:val="none"/>
        </w:rPr>
        <w:t>做出准确和全面的检验，保证</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不存在任何瑕疵，质量符合相应的国家和行业标准及招、投标文件的要求。</w:t>
      </w:r>
    </w:p>
    <w:p w14:paraId="348F86E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乙方保证所提供的</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为甲方所规定之原始生产厂家生产和制造的</w:t>
      </w:r>
      <w:r>
        <w:rPr>
          <w:rFonts w:hint="eastAsia" w:asciiTheme="minorEastAsia" w:hAnsiTheme="minorEastAsia" w:eastAsiaTheme="minorEastAsia" w:cstheme="minorEastAsia"/>
          <w:spacing w:val="0"/>
          <w:kern w:val="0"/>
          <w:highlight w:val="none"/>
          <w:lang w:val="en-US" w:eastAsia="zh-CN"/>
        </w:rPr>
        <w:t>全新</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，如前述</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说明书中包含排除乙方法定或约定义务内容的，或该说明书中承诺的质量标准低于国家或行业推荐性标准的，均属无效；除非甲方明确书面同意接受，否则本合同附属、补充文件及</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支持文件中规定的乙方责任限制条款不适用于甲方。</w:t>
      </w:r>
    </w:p>
    <w:p w14:paraId="3AF91E8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在投标时已明确了品牌的材料和设备，乙方须自行确认所供材料和设备在近</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年是否会面临停供、停产等</w:t>
      </w:r>
      <w:r>
        <w:rPr>
          <w:rFonts w:hint="eastAsia" w:asciiTheme="minorEastAsia" w:hAnsiTheme="minorEastAsia" w:eastAsiaTheme="minorEastAsia" w:cstheme="minorEastAsia"/>
          <w:spacing w:val="0"/>
          <w:highlight w:val="none"/>
          <w:lang w:val="en-US" w:eastAsia="zh-CN"/>
        </w:rPr>
        <w:t>问题，以及其他</w:t>
      </w:r>
      <w:r>
        <w:rPr>
          <w:rFonts w:hint="eastAsia" w:asciiTheme="minorEastAsia" w:hAnsiTheme="minorEastAsia" w:eastAsiaTheme="minorEastAsia" w:cstheme="minorEastAsia"/>
          <w:spacing w:val="0"/>
          <w:highlight w:val="none"/>
        </w:rPr>
        <w:t>可能导致发生材料和设备变更的不利</w:t>
      </w:r>
      <w:r>
        <w:rPr>
          <w:rFonts w:hint="eastAsia" w:asciiTheme="minorEastAsia" w:hAnsiTheme="minorEastAsia" w:eastAsiaTheme="minorEastAsia" w:cstheme="minorEastAsia"/>
          <w:spacing w:val="0"/>
          <w:highlight w:val="none"/>
          <w:lang w:val="en-US" w:eastAsia="zh-CN"/>
        </w:rPr>
        <w:t>信息</w:t>
      </w:r>
      <w:r>
        <w:rPr>
          <w:rFonts w:hint="eastAsia" w:asciiTheme="minorEastAsia" w:hAnsiTheme="minorEastAsia" w:eastAsiaTheme="minorEastAsia" w:cstheme="minorEastAsia"/>
          <w:spacing w:val="0"/>
          <w:highlight w:val="none"/>
        </w:rPr>
        <w:t>。乙方变更材料和设备，必须经过甲方</w:t>
      </w:r>
      <w:r>
        <w:rPr>
          <w:rFonts w:hint="eastAsia" w:asciiTheme="minorEastAsia" w:hAnsiTheme="minorEastAsia" w:eastAsiaTheme="minorEastAsia" w:cstheme="minorEastAsia"/>
          <w:spacing w:val="0"/>
          <w:highlight w:val="none"/>
          <w:lang w:val="en-US" w:eastAsia="zh-CN"/>
        </w:rPr>
        <w:t>书面</w:t>
      </w:r>
      <w:r>
        <w:rPr>
          <w:rFonts w:hint="eastAsia" w:asciiTheme="minorEastAsia" w:hAnsiTheme="minorEastAsia" w:eastAsiaTheme="minorEastAsia" w:cstheme="minorEastAsia"/>
          <w:spacing w:val="0"/>
          <w:highlight w:val="none"/>
        </w:rPr>
        <w:t>同意，且档次和质量等不能低于投标的品牌。如因变更导致费用增加，乙方自行承担增加费用；如导致费用减少的，甲方有权据实扣除差额部分；且无论因变更导致费用的增减，乙方均须按照变更部分总金额的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承担违约金。如乙方以停产、停供、或工期延误等理由申请变更的，则须无条件按照变更部分总金额的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承担违约金。</w:t>
      </w:r>
    </w:p>
    <w:p w14:paraId="3B433AA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乙方变更材料和设备，</w:t>
      </w:r>
      <w:r>
        <w:rPr>
          <w:rFonts w:hint="eastAsia" w:asciiTheme="minorEastAsia" w:hAnsiTheme="minorEastAsia" w:eastAsiaTheme="minorEastAsia" w:cstheme="minorEastAsia"/>
          <w:spacing w:val="0"/>
          <w:highlight w:val="none"/>
          <w:lang w:val="en-US" w:eastAsia="zh-CN"/>
        </w:rPr>
        <w:t>需</w:t>
      </w:r>
      <w:r>
        <w:rPr>
          <w:rFonts w:hint="eastAsia" w:asciiTheme="minorEastAsia" w:hAnsiTheme="minorEastAsia" w:eastAsiaTheme="minorEastAsia" w:cstheme="minorEastAsia"/>
          <w:spacing w:val="0"/>
          <w:highlight w:val="none"/>
        </w:rPr>
        <w:t>提供下述资料供甲方做出经济性、安全性等方面的评估且承担甲方因评估工作产生的费用：①拟被替代的合同约定的材料和设备的名称、数量、规格、型号、品牌、性能、价格及其他任何详细资料；②拟采用的替代品的名称、数量、规格、型号、品牌、性能、价格及其他任何必要的详细资料；③替代品使用的部位；④采用替代品的理由和原因说明；⑤替代品与合同中约定的产品之间的差异以及使用替代品后可能产生的任何影响；⑥价格上的差异；⑦甲方为做出适当的决定而随时要求乙方提供的任何其他文件。</w:t>
      </w:r>
    </w:p>
    <w:p w14:paraId="6BB7E33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甲方同意变更材料和设备，但因乙方更换材料和设备导致交货期限延后，乙方须按照合同约定承担延期违约金</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val="en-US" w:eastAsia="zh-CN"/>
        </w:rPr>
        <w:t>若</w:t>
      </w:r>
      <w:r>
        <w:rPr>
          <w:rFonts w:hint="eastAsia" w:asciiTheme="minorEastAsia" w:hAnsiTheme="minorEastAsia" w:eastAsiaTheme="minorEastAsia" w:cstheme="minorEastAsia"/>
          <w:spacing w:val="0"/>
          <w:highlight w:val="none"/>
        </w:rPr>
        <w:t>造成了安全隐患</w:t>
      </w:r>
      <w:r>
        <w:rPr>
          <w:rFonts w:hint="eastAsia" w:asciiTheme="minorEastAsia" w:hAnsiTheme="minorEastAsia" w:eastAsiaTheme="minorEastAsia" w:cstheme="minorEastAsia"/>
          <w:spacing w:val="0"/>
          <w:highlight w:val="none"/>
          <w:lang w:val="en-US" w:eastAsia="zh-CN"/>
        </w:rPr>
        <w:t>或</w:t>
      </w:r>
      <w:r>
        <w:rPr>
          <w:rFonts w:hint="eastAsia" w:asciiTheme="minorEastAsia" w:hAnsiTheme="minorEastAsia" w:eastAsiaTheme="minorEastAsia" w:cstheme="minorEastAsia"/>
          <w:spacing w:val="0"/>
          <w:highlight w:val="none"/>
        </w:rPr>
        <w:t>采购无法顺利推进等问题，乙方应承担全部责任，给甲方造成的损失，还须据实赔偿。</w:t>
      </w:r>
    </w:p>
    <w:p w14:paraId="32BC97A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乙方因材料和设备的变更所承担的违约金和赔偿责任，根据乙方申请的原因和造成的后果，</w:t>
      </w:r>
      <w:r>
        <w:rPr>
          <w:rFonts w:hint="eastAsia" w:asciiTheme="minorEastAsia" w:hAnsiTheme="minorEastAsia" w:eastAsiaTheme="minorEastAsia" w:cstheme="minorEastAsia"/>
          <w:spacing w:val="0"/>
          <w:highlight w:val="none"/>
          <w:lang w:val="en-US" w:eastAsia="zh-CN"/>
        </w:rPr>
        <w:t>甲方</w:t>
      </w:r>
      <w:r>
        <w:rPr>
          <w:rFonts w:hint="eastAsia" w:asciiTheme="minorEastAsia" w:hAnsiTheme="minorEastAsia" w:eastAsiaTheme="minorEastAsia" w:cstheme="minorEastAsia"/>
          <w:spacing w:val="0"/>
          <w:highlight w:val="none"/>
        </w:rPr>
        <w:t>可累计计算并从应付给乙方的款项中直接扣除。</w:t>
      </w:r>
    </w:p>
    <w:p w14:paraId="1D5C0A3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如果</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质量不能达到相关标准，乙方应负责免费更换，所更换之</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必须为全新的并符合约定的品质、规格和性能。若更换之</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仍不能达到甲方的要求，甲方有权要求退货，并由乙方负担因此而产生的一切费用和甲方遭受的一切损失。</w:t>
      </w:r>
    </w:p>
    <w:p w14:paraId="57DF17E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乙方提供</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质保期为</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2</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年，自甲方对</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最终验收合格并按</w:t>
      </w:r>
      <w:r>
        <w:rPr>
          <w:rFonts w:hint="eastAsia" w:asciiTheme="minorEastAsia" w:hAnsiTheme="minorEastAsia" w:eastAsiaTheme="minorEastAsia" w:cstheme="minorEastAsia"/>
          <w:spacing w:val="0"/>
          <w:kern w:val="0"/>
          <w:highlight w:val="none"/>
          <w:lang w:val="en-US" w:eastAsia="zh-CN"/>
        </w:rPr>
        <w:t>装</w:t>
      </w:r>
      <w:r>
        <w:rPr>
          <w:rFonts w:hint="eastAsia" w:asciiTheme="minorEastAsia" w:hAnsiTheme="minorEastAsia" w:eastAsiaTheme="minorEastAsia" w:cstheme="minorEastAsia"/>
          <w:spacing w:val="0"/>
          <w:kern w:val="0"/>
          <w:highlight w:val="none"/>
        </w:rPr>
        <w:t>调试完毕能够正常使用之次日起计算。</w:t>
      </w:r>
      <w:r>
        <w:rPr>
          <w:rFonts w:hint="eastAsia" w:asciiTheme="minorEastAsia" w:hAnsiTheme="minorEastAsia" w:eastAsiaTheme="minorEastAsia" w:cstheme="minorEastAsia"/>
          <w:spacing w:val="0"/>
          <w:sz w:val="24"/>
          <w:highlight w:val="none"/>
        </w:rPr>
        <w:t>具体以招标文件及投标文件为准，以孰长且对甲方有利为准。</w:t>
      </w:r>
    </w:p>
    <w:p w14:paraId="1205940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质保期内</w:t>
      </w:r>
      <w:r>
        <w:rPr>
          <w:rFonts w:hint="eastAsia" w:asciiTheme="minorEastAsia" w:hAnsiTheme="minorEastAsia" w:eastAsiaTheme="minorEastAsia" w:cstheme="minorEastAsia"/>
          <w:spacing w:val="0"/>
          <w:highlight w:val="none"/>
        </w:rPr>
        <w:t>除故障的维修外，还包括</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的常规检查、调校、润滑等保养内容。</w:t>
      </w:r>
    </w:p>
    <w:p w14:paraId="0A4205F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质保期结束前必须由乙方的工程师和甲方代表一起对</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进行一次全面测试和检查。出现任何问题乙方必须负责解决，并得到甲方代表的认可，同时质保期顺延。在修理之后5天内，乙方应将问题成因、补救措施、完成情况及</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恢复正常的时间、日期以及质保期内保养计划执行情况等</w:t>
      </w:r>
      <w:r>
        <w:rPr>
          <w:rFonts w:hint="eastAsia" w:asciiTheme="minorEastAsia" w:hAnsiTheme="minorEastAsia" w:eastAsiaTheme="minorEastAsia" w:cstheme="minorEastAsia"/>
          <w:spacing w:val="0"/>
          <w:highlight w:val="none"/>
          <w:lang w:val="en-US" w:eastAsia="zh-CN"/>
        </w:rPr>
        <w:t>书面</w:t>
      </w:r>
      <w:r>
        <w:rPr>
          <w:rFonts w:hint="eastAsia" w:asciiTheme="minorEastAsia" w:hAnsiTheme="minorEastAsia" w:eastAsiaTheme="minorEastAsia" w:cstheme="minorEastAsia"/>
          <w:spacing w:val="0"/>
          <w:highlight w:val="none"/>
        </w:rPr>
        <w:t>报告甲方。该报告一式两份。</w:t>
      </w:r>
    </w:p>
    <w:p w14:paraId="57B20AA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质保期内乙方应至少走访最终用户两次，以了解</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使用情况并解决存在的问题。</w:t>
      </w:r>
    </w:p>
    <w:p w14:paraId="52977B8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乙方应在其承诺的质保期内对</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免费提供每年两次保养服务。</w:t>
      </w:r>
    </w:p>
    <w:p w14:paraId="12664F85">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售后及其他服务</w:t>
      </w:r>
    </w:p>
    <w:p w14:paraId="5E655F4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lang w:val="en-US" w:eastAsia="zh-CN"/>
        </w:rPr>
        <w:t>乙方提供终身售后和技术支持。</w:t>
      </w:r>
    </w:p>
    <w:p w14:paraId="7FE581E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乙方应做好定期客户回访工作，及时发现、回复客户提出的问题，并根据客户需求提供相关的数据。</w:t>
      </w:r>
    </w:p>
    <w:p w14:paraId="2F0F45E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乙方应在中国设有常驻售后服务机构，处理所有报修服务，该服务必须是</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24</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小时提供的，在接到甲方报修通知后</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48</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小时内维修人员应赶到现场，并进行连续维修，直到故障完全排除</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恢复正常运行为止。乙方须备有足够的零备件，以满足甲方的维修需要。在接到甲方的故障通知后，若乙方未能在</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48</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小时内到达现场，甲方有权要求乙方给予赔偿，其计算方法是：从接到甲方故障通知</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48</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小时后，每次迟到</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小时（不足</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小时按</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小时计），乙方赔偿甲方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eastAsia="zh-CN"/>
        </w:rPr>
        <w:t>合同总价金额</w:t>
      </w:r>
      <w:r>
        <w:rPr>
          <w:rFonts w:hint="eastAsia" w:asciiTheme="minorEastAsia" w:hAnsiTheme="minorEastAsia" w:eastAsiaTheme="minorEastAsia" w:cstheme="minorEastAsia"/>
          <w:spacing w:val="0"/>
          <w:highlight w:val="none"/>
          <w:lang w:val="en-US" w:eastAsia="zh-CN"/>
        </w:rPr>
        <w:t>20%的违约金</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w:t>
      </w:r>
    </w:p>
    <w:p w14:paraId="2E929F1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乙方在投标时应</w:t>
      </w:r>
      <w:bookmarkStart w:id="46" w:name="OLE_LINK2"/>
      <w:r>
        <w:rPr>
          <w:rFonts w:hint="eastAsia" w:asciiTheme="minorEastAsia" w:hAnsiTheme="minorEastAsia" w:eastAsiaTheme="minorEastAsia" w:cstheme="minorEastAsia"/>
          <w:spacing w:val="0"/>
          <w:highlight w:val="none"/>
        </w:rPr>
        <w:t>提供</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验收合格后正常运行3年所需的备品备件及易损件，其验收标准应与所提供设备的要求一致，</w:t>
      </w:r>
      <w:bookmarkEnd w:id="46"/>
      <w:r>
        <w:rPr>
          <w:rFonts w:hint="eastAsia" w:asciiTheme="minorEastAsia" w:hAnsiTheme="minorEastAsia" w:eastAsiaTheme="minorEastAsia" w:cstheme="minorEastAsia"/>
          <w:spacing w:val="0"/>
          <w:highlight w:val="none"/>
        </w:rPr>
        <w:t>乙方必须提供备品备件的名称、规格、数量及单价并列明清单，该价格包含在总价中。如在项目实施阶段，因</w:t>
      </w:r>
      <w:r>
        <w:rPr>
          <w:rFonts w:hint="eastAsia" w:asciiTheme="minorEastAsia" w:hAnsiTheme="minorEastAsia" w:eastAsiaTheme="minorEastAsia" w:cstheme="minorEastAsia"/>
          <w:spacing w:val="0"/>
          <w:highlight w:val="none"/>
          <w:lang w:val="en-US" w:eastAsia="zh-CN"/>
        </w:rPr>
        <w:t>备品备件及易损件等</w:t>
      </w:r>
      <w:r>
        <w:rPr>
          <w:rFonts w:hint="eastAsia" w:asciiTheme="minorEastAsia" w:hAnsiTheme="minorEastAsia" w:eastAsiaTheme="minorEastAsia" w:cstheme="minorEastAsia"/>
          <w:spacing w:val="0"/>
          <w:highlight w:val="none"/>
        </w:rPr>
        <w:t>停产导致乙方交付的</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不能按照招、投标文件响应，包括但不限品牌、等级、规格等，甲方有权拒绝接收该直至解除合同。乙方承担由此给甲方造成的全部损失，并按照合同约定承担相应违约责任。</w:t>
      </w:r>
    </w:p>
    <w:p w14:paraId="1424FDB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bCs/>
          <w:spacing w:val="0"/>
          <w:highlight w:val="none"/>
        </w:rPr>
      </w:pPr>
      <w:r>
        <w:rPr>
          <w:rFonts w:hint="eastAsia" w:asciiTheme="minorEastAsia" w:hAnsiTheme="minorEastAsia" w:eastAsiaTheme="minorEastAsia" w:cstheme="minorEastAsia"/>
          <w:spacing w:val="0"/>
          <w:highlight w:val="none"/>
        </w:rPr>
        <w:t>在备件停止生产的情况下，乙方应提前3个月将要停止生产的计划书面通知甲方，使甲方有足够的时间采购所需的备件。</w:t>
      </w:r>
    </w:p>
    <w:p w14:paraId="44AD528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bCs/>
          <w:spacing w:val="0"/>
          <w:highlight w:val="none"/>
        </w:rPr>
      </w:pPr>
      <w:r>
        <w:rPr>
          <w:rFonts w:hint="eastAsia" w:asciiTheme="minorEastAsia" w:hAnsiTheme="minorEastAsia" w:eastAsiaTheme="minorEastAsia" w:cstheme="minorEastAsia"/>
          <w:spacing w:val="0"/>
          <w:highlight w:val="none"/>
        </w:rPr>
        <w:t>乙方应单独编报质保期满后5年内日常维修所需的备件清单及单价，费用不计入投标总报价，也不计入合同价格，乙方承诺</w:t>
      </w:r>
      <w:r>
        <w:rPr>
          <w:rFonts w:hint="eastAsia" w:asciiTheme="minorEastAsia" w:hAnsiTheme="minorEastAsia" w:eastAsiaTheme="minorEastAsia" w:cstheme="minorEastAsia"/>
          <w:spacing w:val="0"/>
          <w:highlight w:val="none"/>
          <w:lang w:val="en-US" w:eastAsia="zh-CN"/>
        </w:rPr>
        <w:t>在</w:t>
      </w:r>
      <w:r>
        <w:rPr>
          <w:rFonts w:hint="eastAsia" w:asciiTheme="minorEastAsia" w:hAnsiTheme="minorEastAsia" w:eastAsiaTheme="minorEastAsia" w:cstheme="minorEastAsia"/>
          <w:spacing w:val="0"/>
          <w:highlight w:val="none"/>
        </w:rPr>
        <w:t>质保期满后</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年内以投标时列明</w:t>
      </w:r>
      <w:r>
        <w:rPr>
          <w:rFonts w:hint="eastAsia" w:asciiTheme="minorEastAsia" w:hAnsiTheme="minorEastAsia" w:eastAsiaTheme="minorEastAsia" w:cstheme="minorEastAsia"/>
          <w:spacing w:val="0"/>
          <w:highlight w:val="none"/>
          <w:lang w:val="en-US" w:eastAsia="zh-CN"/>
        </w:rPr>
        <w:t>或合同约定</w:t>
      </w:r>
      <w:r>
        <w:rPr>
          <w:rFonts w:hint="eastAsia" w:asciiTheme="minorEastAsia" w:hAnsiTheme="minorEastAsia" w:eastAsiaTheme="minorEastAsia" w:cstheme="minorEastAsia"/>
          <w:spacing w:val="0"/>
          <w:highlight w:val="none"/>
        </w:rPr>
        <w:t>的优惠价格提供给甲方维持</w:t>
      </w:r>
      <w:r>
        <w:rPr>
          <w:rFonts w:hint="eastAsia" w:asciiTheme="minorEastAsia" w:hAnsiTheme="minorEastAsia" w:eastAsiaTheme="minorEastAsia" w:cstheme="minorEastAsia"/>
          <w:spacing w:val="0"/>
          <w:highlight w:val="none"/>
          <w:lang w:eastAsia="zh-CN"/>
        </w:rPr>
        <w:t>产品设备</w:t>
      </w:r>
      <w:r>
        <w:rPr>
          <w:rFonts w:hint="eastAsia" w:asciiTheme="minorEastAsia" w:hAnsiTheme="minorEastAsia" w:eastAsiaTheme="minorEastAsia" w:cstheme="minorEastAsia"/>
          <w:spacing w:val="0"/>
          <w:highlight w:val="none"/>
        </w:rPr>
        <w:t>正常运转所必需的备品备件、专用工具、仪器仪表及技术支持</w:t>
      </w:r>
      <w:r>
        <w:rPr>
          <w:rFonts w:hint="eastAsia" w:asciiTheme="minorEastAsia" w:hAnsiTheme="minorEastAsia" w:eastAsiaTheme="minorEastAsia" w:cstheme="minorEastAsia"/>
          <w:spacing w:val="0"/>
          <w:highlight w:val="none"/>
          <w:lang w:val="en-US" w:eastAsia="zh-CN"/>
        </w:rPr>
        <w:t>等</w:t>
      </w:r>
      <w:r>
        <w:rPr>
          <w:rFonts w:hint="eastAsia" w:asciiTheme="minorEastAsia" w:hAnsiTheme="minorEastAsia" w:eastAsiaTheme="minorEastAsia" w:cstheme="minorEastAsia"/>
          <w:spacing w:val="0"/>
          <w:highlight w:val="none"/>
        </w:rPr>
        <w:t>。</w:t>
      </w:r>
    </w:p>
    <w:p w14:paraId="4FB582BE">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环保、安全及合法性要求</w:t>
      </w:r>
    </w:p>
    <w:p w14:paraId="64D93C06">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乙方承诺所提供的</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和服务符合国家环境保护的有关规定，不会对环境造成不良影响</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否则承担由此造成的法律责任。</w:t>
      </w:r>
    </w:p>
    <w:p w14:paraId="07AAFC2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乙方所提供的</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和服务不能对甲方的正常使用人员</w:t>
      </w:r>
      <w:r>
        <w:rPr>
          <w:rFonts w:hint="eastAsia" w:asciiTheme="minorEastAsia" w:hAnsiTheme="minorEastAsia" w:eastAsiaTheme="minorEastAsia" w:cstheme="minorEastAsia"/>
          <w:spacing w:val="0"/>
          <w:kern w:val="0"/>
          <w:highlight w:val="none"/>
          <w:lang w:val="en-US" w:eastAsia="zh-CN"/>
        </w:rPr>
        <w:t>及第三人</w:t>
      </w:r>
      <w:r>
        <w:rPr>
          <w:rFonts w:hint="eastAsia" w:asciiTheme="minorEastAsia" w:hAnsiTheme="minorEastAsia" w:eastAsiaTheme="minorEastAsia" w:cstheme="minorEastAsia"/>
          <w:spacing w:val="0"/>
          <w:kern w:val="0"/>
          <w:highlight w:val="none"/>
        </w:rPr>
        <w:t>的人身健康造成危害</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否则承担由此产生的法律责任。</w:t>
      </w:r>
    </w:p>
    <w:p w14:paraId="2506FD2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bCs/>
          <w:spacing w:val="0"/>
          <w:kern w:val="0"/>
          <w:sz w:val="24"/>
          <w:szCs w:val="24"/>
          <w:highlight w:val="none"/>
        </w:rPr>
      </w:pPr>
      <w:r>
        <w:rPr>
          <w:rFonts w:hint="eastAsia" w:asciiTheme="minorEastAsia" w:hAnsiTheme="minorEastAsia" w:eastAsiaTheme="minorEastAsia" w:cstheme="minorEastAsia"/>
          <w:spacing w:val="0"/>
          <w:kern w:val="0"/>
          <w:highlight w:val="none"/>
        </w:rPr>
        <w:t>乙方所提供的</w:t>
      </w:r>
      <w:r>
        <w:rPr>
          <w:rFonts w:hint="eastAsia" w:asciiTheme="minorEastAsia" w:hAnsiTheme="minorEastAsia" w:eastAsiaTheme="minorEastAsia" w:cstheme="minorEastAsia"/>
          <w:spacing w:val="0"/>
          <w:kern w:val="0"/>
          <w:highlight w:val="none"/>
          <w:lang w:eastAsia="zh-CN"/>
        </w:rPr>
        <w:t>产品设备</w:t>
      </w:r>
      <w:r>
        <w:rPr>
          <w:rFonts w:hint="eastAsia" w:asciiTheme="minorEastAsia" w:hAnsiTheme="minorEastAsia" w:eastAsiaTheme="minorEastAsia" w:cstheme="minorEastAsia"/>
          <w:spacing w:val="0"/>
          <w:kern w:val="0"/>
          <w:highlight w:val="none"/>
        </w:rPr>
        <w:t>和服务，符合中华人民共和国以及甲方所在地的相关</w:t>
      </w:r>
      <w:r>
        <w:rPr>
          <w:rFonts w:hint="eastAsia" w:asciiTheme="minorEastAsia" w:hAnsiTheme="minorEastAsia" w:eastAsiaTheme="minorEastAsia" w:cstheme="minorEastAsia"/>
          <w:spacing w:val="0"/>
          <w:kern w:val="0"/>
          <w:highlight w:val="none"/>
          <w:lang w:val="en-US" w:eastAsia="zh-CN"/>
        </w:rPr>
        <w:t>法律</w:t>
      </w:r>
      <w:r>
        <w:rPr>
          <w:rFonts w:hint="eastAsia" w:asciiTheme="minorEastAsia" w:hAnsiTheme="minorEastAsia" w:eastAsiaTheme="minorEastAsia" w:cstheme="minorEastAsia"/>
          <w:spacing w:val="0"/>
          <w:kern w:val="0"/>
          <w:highlight w:val="none"/>
        </w:rPr>
        <w:t>法规及其他规范性文件的规定，不会对第三人的任何权益造成损害</w:t>
      </w:r>
      <w:r>
        <w:rPr>
          <w:rFonts w:hint="eastAsia" w:asciiTheme="minorEastAsia" w:hAnsiTheme="minorEastAsia" w:eastAsiaTheme="minorEastAsia" w:cstheme="minorEastAsia"/>
          <w:spacing w:val="0"/>
          <w:kern w:val="0"/>
          <w:szCs w:val="24"/>
          <w:highlight w:val="none"/>
        </w:rPr>
        <w:t>。</w:t>
      </w:r>
    </w:p>
    <w:p w14:paraId="1BB5506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乙方保证，乙方应投保相关保险，以保证</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方人员和</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人员给甲方人员以及第三方造成人身伤害或财产损失时能及时承担相应的赔偿责任。乙方对履行合同的一切安全责任和风险负责，并承担法律责任和经济赔偿，与甲方无关。乙方委派的工作人员发生伤亡事故，由乙方依法妥善处理并承担相关费用。若处置不力，甲方认为影响本合同履行的，甲方有权解除本合同并要求乙方赔偿损失，并按照合同总价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承</w:t>
      </w:r>
      <w:r>
        <w:rPr>
          <w:rFonts w:hint="eastAsia" w:asciiTheme="minorEastAsia" w:hAnsiTheme="minorEastAsia" w:eastAsiaTheme="minorEastAsia" w:cstheme="minorEastAsia"/>
          <w:spacing w:val="0"/>
          <w:highlight w:val="none"/>
        </w:rPr>
        <w:t>担违约责任。</w:t>
      </w:r>
    </w:p>
    <w:p w14:paraId="141B27FE">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合同结算方式</w:t>
      </w:r>
    </w:p>
    <w:p w14:paraId="2414F54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cstheme="minorEastAsia"/>
          <w:spacing w:val="0"/>
          <w:kern w:val="0"/>
          <w:highlight w:val="none"/>
          <w:lang w:val="en-US" w:eastAsia="zh-CN"/>
        </w:rPr>
      </w:pPr>
      <w:r>
        <w:rPr>
          <w:rFonts w:hint="eastAsia" w:asciiTheme="minorEastAsia" w:hAnsiTheme="minorEastAsia" w:cstheme="minorEastAsia"/>
          <w:spacing w:val="0"/>
          <w:kern w:val="0"/>
          <w:highlight w:val="none"/>
          <w:lang w:val="en-US" w:eastAsia="zh-CN"/>
        </w:rPr>
        <w:t>经双方协商一致，同意选择以下付款方式：</w:t>
      </w:r>
    </w:p>
    <w:p w14:paraId="37122FCF">
      <w:pPr>
        <w:pStyle w:val="75"/>
        <w:keepNext w:val="0"/>
        <w:keepLines w:val="0"/>
        <w:pageBreakBefore w:val="0"/>
        <w:widowControl w:val="0"/>
        <w:numPr>
          <w:ilvl w:val="0"/>
          <w:numId w:val="0"/>
        </w:numPr>
        <w:kinsoku/>
        <w:wordWrap/>
        <w:overflowPunct/>
        <w:topLinePunct w:val="0"/>
        <w:autoSpaceDE w:val="0"/>
        <w:autoSpaceDN w:val="0"/>
        <w:bidi w:val="0"/>
        <w:ind w:firstLine="480" w:firstLineChars="200"/>
        <w:jc w:val="both"/>
        <w:outlineLvl w:val="9"/>
        <w:rPr>
          <w:rFonts w:hint="eastAsia" w:asciiTheme="minorEastAsia" w:hAnsiTheme="minorEastAsia" w:cstheme="minorEastAsia"/>
          <w:spacing w:val="0"/>
          <w:kern w:val="0"/>
          <w:highlight w:val="none"/>
          <w:lang w:val="en-US" w:eastAsia="zh-CN"/>
        </w:rPr>
      </w:pPr>
      <w:r>
        <w:rPr>
          <w:rFonts w:hint="eastAsia" w:asciiTheme="minorEastAsia" w:hAnsiTheme="minorEastAsia" w:cstheme="minorEastAsia"/>
          <w:spacing w:val="0"/>
          <w:kern w:val="0"/>
          <w:highlight w:val="none"/>
          <w:lang w:val="en-US" w:eastAsia="zh-CN"/>
        </w:rPr>
        <w:t>合同签订后乙方负责将货物运到甲方指定地点，安装调试且甲方验收合格，待收到乙方开具的全额增值税专用发票后，甲方在</w:t>
      </w:r>
      <w:r>
        <w:rPr>
          <w:rFonts w:hint="eastAsia" w:asciiTheme="minorEastAsia" w:hAnsiTheme="minorEastAsia" w:cstheme="minorEastAsia"/>
          <w:spacing w:val="0"/>
          <w:kern w:val="0"/>
          <w:highlight w:val="none"/>
          <w:u w:val="single"/>
          <w:lang w:val="en-US" w:eastAsia="zh-CN"/>
        </w:rPr>
        <w:t xml:space="preserve">  30  </w:t>
      </w:r>
      <w:r>
        <w:rPr>
          <w:rFonts w:hint="eastAsia" w:asciiTheme="minorEastAsia" w:hAnsiTheme="minorEastAsia" w:cstheme="minorEastAsia"/>
          <w:spacing w:val="0"/>
          <w:kern w:val="0"/>
          <w:highlight w:val="none"/>
          <w:u w:val="none"/>
          <w:lang w:val="en-US" w:eastAsia="zh-CN"/>
        </w:rPr>
        <w:t>个</w:t>
      </w:r>
      <w:r>
        <w:rPr>
          <w:rFonts w:hint="eastAsia" w:asciiTheme="minorEastAsia" w:hAnsiTheme="minorEastAsia" w:cstheme="minorEastAsia"/>
          <w:spacing w:val="0"/>
          <w:kern w:val="0"/>
          <w:highlight w:val="none"/>
          <w:lang w:val="en-US" w:eastAsia="zh-CN"/>
        </w:rPr>
        <w:t>工作日内向乙方支付合同金额的95%，即人民币</w:t>
      </w:r>
      <w:r>
        <w:rPr>
          <w:rFonts w:hint="eastAsia" w:asciiTheme="minorEastAsia" w:hAnsiTheme="minorEastAsia" w:cstheme="minorEastAsia"/>
          <w:spacing w:val="0"/>
          <w:kern w:val="0"/>
          <w:highlight w:val="none"/>
          <w:u w:val="single"/>
          <w:lang w:val="en-US" w:eastAsia="zh-CN"/>
        </w:rPr>
        <w:t xml:space="preserve">           </w:t>
      </w:r>
      <w:r>
        <w:rPr>
          <w:rFonts w:hint="eastAsia" w:asciiTheme="minorEastAsia" w:hAnsiTheme="minorEastAsia" w:cstheme="minorEastAsia"/>
          <w:spacing w:val="0"/>
          <w:kern w:val="0"/>
          <w:highlight w:val="none"/>
          <w:lang w:val="en-US" w:eastAsia="zh-CN"/>
        </w:rPr>
        <w:t>(￥</w:t>
      </w:r>
      <w:r>
        <w:rPr>
          <w:rFonts w:hint="eastAsia" w:asciiTheme="minorEastAsia" w:hAnsiTheme="minorEastAsia" w:cstheme="minorEastAsia"/>
          <w:spacing w:val="0"/>
          <w:kern w:val="0"/>
          <w:highlight w:val="none"/>
          <w:u w:val="single"/>
          <w:lang w:val="en-US" w:eastAsia="zh-CN"/>
        </w:rPr>
        <w:t xml:space="preserve">       </w:t>
      </w:r>
      <w:r>
        <w:rPr>
          <w:rFonts w:hint="eastAsia" w:asciiTheme="minorEastAsia" w:hAnsiTheme="minorEastAsia" w:cstheme="minorEastAsia"/>
          <w:spacing w:val="0"/>
          <w:kern w:val="0"/>
          <w:highlight w:val="none"/>
          <w:lang w:val="en-US" w:eastAsia="zh-CN"/>
        </w:rPr>
        <w:t>)；余款（合同金额的5 %）即人民币</w:t>
      </w:r>
      <w:r>
        <w:rPr>
          <w:rFonts w:hint="eastAsia" w:asciiTheme="minorEastAsia" w:hAnsiTheme="minorEastAsia" w:cstheme="minorEastAsia"/>
          <w:spacing w:val="0"/>
          <w:kern w:val="0"/>
          <w:highlight w:val="none"/>
          <w:u w:val="single"/>
          <w:lang w:val="en-US" w:eastAsia="zh-CN"/>
        </w:rPr>
        <w:t xml:space="preserve">             </w:t>
      </w:r>
      <w:r>
        <w:rPr>
          <w:rFonts w:hint="eastAsia" w:asciiTheme="minorEastAsia" w:hAnsiTheme="minorEastAsia" w:cstheme="minorEastAsia"/>
          <w:spacing w:val="0"/>
          <w:kern w:val="0"/>
          <w:highlight w:val="none"/>
          <w:lang w:val="en-US" w:eastAsia="zh-CN"/>
        </w:rPr>
        <w:t>(￥</w:t>
      </w:r>
      <w:r>
        <w:rPr>
          <w:rFonts w:hint="eastAsia" w:asciiTheme="minorEastAsia" w:hAnsiTheme="minorEastAsia" w:cstheme="minorEastAsia"/>
          <w:spacing w:val="0"/>
          <w:kern w:val="0"/>
          <w:highlight w:val="none"/>
          <w:u w:val="single"/>
          <w:lang w:val="en-US" w:eastAsia="zh-CN"/>
        </w:rPr>
        <w:t xml:space="preserve">       </w:t>
      </w:r>
      <w:r>
        <w:rPr>
          <w:rFonts w:hint="eastAsia" w:asciiTheme="minorEastAsia" w:hAnsiTheme="minorEastAsia" w:cstheme="minorEastAsia"/>
          <w:spacing w:val="0"/>
          <w:kern w:val="0"/>
          <w:highlight w:val="none"/>
          <w:lang w:val="en-US" w:eastAsia="zh-CN"/>
        </w:rPr>
        <w:t>)，作为质保金，待2年质保期届满且履行了质保义务，甲方收到质保金收据后，于</w:t>
      </w:r>
      <w:r>
        <w:rPr>
          <w:rFonts w:hint="eastAsia" w:asciiTheme="minorEastAsia" w:hAnsiTheme="minorEastAsia" w:cstheme="minorEastAsia"/>
          <w:spacing w:val="0"/>
          <w:kern w:val="0"/>
          <w:highlight w:val="none"/>
          <w:u w:val="single"/>
          <w:lang w:val="en-US" w:eastAsia="zh-CN"/>
        </w:rPr>
        <w:t xml:space="preserve">  30  </w:t>
      </w:r>
      <w:r>
        <w:rPr>
          <w:rFonts w:hint="eastAsia" w:asciiTheme="minorEastAsia" w:hAnsiTheme="minorEastAsia" w:cstheme="minorEastAsia"/>
          <w:spacing w:val="0"/>
          <w:kern w:val="0"/>
          <w:highlight w:val="none"/>
          <w:lang w:val="en-US" w:eastAsia="zh-CN"/>
        </w:rPr>
        <w:t>个工作日内向乙方支付，不计利息。</w:t>
      </w:r>
    </w:p>
    <w:p w14:paraId="37EEE14B">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highlight w:val="none"/>
          <w:lang w:val="en-US" w:eastAsia="zh-CN"/>
        </w:rPr>
        <w:t>达到本合同项下付款条件的，乙方应向甲方提交付款申请单，甲方确认付款金额并收到乙方提交的符合法律规定的增值税专用发票后按合同约定支付款项</w:t>
      </w:r>
      <w:r>
        <w:rPr>
          <w:rFonts w:hint="eastAsia" w:asciiTheme="minorEastAsia" w:hAnsiTheme="minorEastAsia" w:eastAsiaTheme="minorEastAsia" w:cstheme="minorEastAsia"/>
          <w:color w:val="auto"/>
          <w:spacing w:val="0"/>
          <w:kern w:val="0"/>
          <w:sz w:val="24"/>
          <w:szCs w:val="24"/>
          <w:highlight w:val="none"/>
          <w:lang w:val="en-US" w:eastAsia="zh-CN"/>
        </w:rPr>
        <w:t>。</w:t>
      </w:r>
    </w:p>
    <w:p w14:paraId="56B6ECF0">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不可抗力、保密及知识产权</w:t>
      </w:r>
    </w:p>
    <w:p w14:paraId="3E825CFB">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不可抗力条款</w:t>
      </w:r>
    </w:p>
    <w:p w14:paraId="191CAC3F">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02D2280E">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不可抗力的后果</w:t>
      </w:r>
    </w:p>
    <w:p w14:paraId="1364FC77">
      <w:pPr>
        <w:pStyle w:val="77"/>
        <w:keepNext w:val="0"/>
        <w:keepLines w:val="0"/>
        <w:pageBreakBefore w:val="0"/>
        <w:widowControl w:val="0"/>
        <w:numPr>
          <w:ilvl w:val="3"/>
          <w:numId w:val="12"/>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如果发生不可抗力事件，影响一方履行其在本合同项下的义务，则其在不可抗力造成的延误期内中止履行的，不视为违约。</w:t>
      </w:r>
    </w:p>
    <w:p w14:paraId="29988033">
      <w:pPr>
        <w:pStyle w:val="77"/>
        <w:keepNext w:val="0"/>
        <w:keepLines w:val="0"/>
        <w:pageBreakBefore w:val="0"/>
        <w:widowControl w:val="0"/>
        <w:numPr>
          <w:ilvl w:val="3"/>
          <w:numId w:val="12"/>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因发生不可抗力不能履行合同的一方应在不可抗力发生后迅速书面通知其他各方，并在不可抗力发生后</w:t>
      </w:r>
      <w:r>
        <w:rPr>
          <w:rFonts w:hint="eastAsia" w:asciiTheme="minorEastAsia" w:hAnsiTheme="minorEastAsia" w:eastAsiaTheme="minorEastAsia" w:cstheme="minorEastAsia"/>
          <w:spacing w:val="0"/>
          <w:kern w:val="0"/>
          <w:highlight w:val="none"/>
          <w:lang w:val="en-US" w:eastAsia="zh-CN"/>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72小时</w:t>
      </w:r>
      <w:r>
        <w:rPr>
          <w:rFonts w:hint="eastAsia" w:asciiTheme="minorEastAsia" w:hAnsiTheme="minorEastAsia" w:eastAsiaTheme="minorEastAsia" w:cstheme="minorEastAsia"/>
          <w:spacing w:val="0"/>
          <w:kern w:val="0"/>
          <w:highlight w:val="none"/>
          <w:lang w:val="en-US" w:eastAsia="zh-CN"/>
        </w:rPr>
        <w:t>】内向其他各方提供不可抗力发生及持续时间的证据，且证据必须充分。</w:t>
      </w:r>
    </w:p>
    <w:p w14:paraId="00B2848D">
      <w:pPr>
        <w:pStyle w:val="77"/>
        <w:keepNext w:val="0"/>
        <w:keepLines w:val="0"/>
        <w:pageBreakBefore w:val="0"/>
        <w:widowControl w:val="0"/>
        <w:numPr>
          <w:ilvl w:val="3"/>
          <w:numId w:val="12"/>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如果发生不可抗力事件，各方应立即互相协商，以找到公平的解决办法，并且应尽一切合理努力将不可抗力的影响减少到最低限度。</w:t>
      </w:r>
    </w:p>
    <w:p w14:paraId="6B55510E">
      <w:pPr>
        <w:pStyle w:val="77"/>
        <w:keepNext w:val="0"/>
        <w:keepLines w:val="0"/>
        <w:pageBreakBefore w:val="0"/>
        <w:widowControl w:val="0"/>
        <w:numPr>
          <w:ilvl w:val="3"/>
          <w:numId w:val="12"/>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金钱债务的迟延责任不得因不可抗力而免除。</w:t>
      </w:r>
    </w:p>
    <w:p w14:paraId="44EA5F82">
      <w:pPr>
        <w:pStyle w:val="77"/>
        <w:keepNext w:val="0"/>
        <w:keepLines w:val="0"/>
        <w:pageBreakBefore w:val="0"/>
        <w:widowControl w:val="0"/>
        <w:numPr>
          <w:ilvl w:val="3"/>
          <w:numId w:val="12"/>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迟延履行期间发生的不可抗力不具有免责效力。</w:t>
      </w:r>
    </w:p>
    <w:p w14:paraId="68E8B44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保密条款</w:t>
      </w:r>
    </w:p>
    <w:p w14:paraId="5C28B8BE">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本合同涉及的保密内容（以下简称“保密信息”）包括但不限于：（1）【甲方】及其关联公司的商业秘密、技术秘密、经营秘密、管理秘密、财务秘密、客户信息、供应商信息等；（2）【甲方】拥有的专利、商标、著作权、技术秘密等知识产权及其相关信息；（3）【甲方】正在研发、生产、销售的产品设备、技术、工艺、配方、图纸等；（4）【甲方】与第三方签订的合同、协议、保密协议等文件中的内容；（5）其他保密信息【】(根据实际情况填写)</w:t>
      </w:r>
    </w:p>
    <w:p w14:paraId="1EE1EBB2">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保密义务</w:t>
      </w:r>
    </w:p>
    <w:p w14:paraId="0786564F">
      <w:pPr>
        <w:pStyle w:val="77"/>
        <w:keepNext w:val="0"/>
        <w:keepLines w:val="0"/>
        <w:pageBreakBefore w:val="0"/>
        <w:widowControl w:val="0"/>
        <w:numPr>
          <w:ilvl w:val="3"/>
          <w:numId w:val="14"/>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w:t>
      </w:r>
      <w:r>
        <w:rPr>
          <w:rFonts w:hint="eastAsia" w:asciiTheme="minorEastAsia" w:hAnsiTheme="minorEastAsia" w:cstheme="minorEastAsia"/>
          <w:spacing w:val="0"/>
          <w:kern w:val="0"/>
          <w:highlight w:val="none"/>
          <w:lang w:val="en-US" w:eastAsia="zh-CN"/>
        </w:rPr>
        <w:t>乙方</w:t>
      </w:r>
      <w:r>
        <w:rPr>
          <w:rFonts w:hint="eastAsia" w:asciiTheme="minorEastAsia" w:hAnsiTheme="minorEastAsia" w:eastAsiaTheme="minorEastAsia" w:cstheme="minorEastAsia"/>
          <w:spacing w:val="0"/>
          <w:kern w:val="0"/>
          <w:highlight w:val="none"/>
          <w:lang w:val="en-US" w:eastAsia="zh-CN"/>
        </w:rPr>
        <w:t>】在本合同有效期内，对保密信息负有严格的保密义务，未经【</w:t>
      </w:r>
      <w:r>
        <w:rPr>
          <w:rFonts w:hint="eastAsia" w:asciiTheme="minorEastAsia" w:hAnsiTheme="minorEastAsia" w:cstheme="minorEastAsia"/>
          <w:spacing w:val="0"/>
          <w:kern w:val="0"/>
          <w:highlight w:val="none"/>
          <w:lang w:val="en-US" w:eastAsia="zh-CN"/>
        </w:rPr>
        <w:t>甲方</w:t>
      </w:r>
      <w:r>
        <w:rPr>
          <w:rFonts w:hint="eastAsia" w:asciiTheme="minorEastAsia" w:hAnsiTheme="minorEastAsia" w:eastAsiaTheme="minorEastAsia" w:cstheme="minorEastAsia"/>
          <w:spacing w:val="0"/>
          <w:kern w:val="0"/>
          <w:highlight w:val="none"/>
          <w:lang w:val="en-US" w:eastAsia="zh-CN"/>
        </w:rPr>
        <w:t>】书面同意，不得以任何方式泄露、披露、使用或允许他人使用保密信息。</w:t>
      </w:r>
    </w:p>
    <w:p w14:paraId="3161FF0C">
      <w:pPr>
        <w:pStyle w:val="77"/>
        <w:keepNext w:val="0"/>
        <w:keepLines w:val="0"/>
        <w:pageBreakBefore w:val="0"/>
        <w:widowControl w:val="0"/>
        <w:numPr>
          <w:ilvl w:val="3"/>
          <w:numId w:val="14"/>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w:t>
      </w:r>
      <w:r>
        <w:rPr>
          <w:rFonts w:hint="eastAsia" w:asciiTheme="minorEastAsia" w:hAnsiTheme="minorEastAsia" w:cstheme="minorEastAsia"/>
          <w:spacing w:val="0"/>
          <w:kern w:val="0"/>
          <w:highlight w:val="none"/>
          <w:lang w:val="en-US" w:eastAsia="zh-CN"/>
        </w:rPr>
        <w:t>乙方</w:t>
      </w:r>
      <w:r>
        <w:rPr>
          <w:rFonts w:hint="eastAsia" w:asciiTheme="minorEastAsia" w:hAnsiTheme="minorEastAsia" w:eastAsiaTheme="minorEastAsia" w:cstheme="minorEastAsia"/>
          <w:spacing w:val="0"/>
          <w:kern w:val="0"/>
          <w:highlight w:val="none"/>
          <w:lang w:val="en-US" w:eastAsia="zh-CN"/>
        </w:rPr>
        <w:t>】应采取合理的保密措施，防止保密信</w:t>
      </w:r>
      <w:r>
        <w:rPr>
          <w:rFonts w:hint="eastAsia" w:asciiTheme="minorEastAsia" w:hAnsiTheme="minorEastAsia" w:eastAsiaTheme="minorEastAsia" w:cstheme="minorEastAsia"/>
          <w:spacing w:val="0"/>
          <w:kern w:val="0"/>
          <w:highlight w:val="none"/>
          <w:lang w:val="en-US" w:eastAsia="zh-CN"/>
        </w:rPr>
        <w:t>息被泄露，包括但不限于：不得将保密信息复制、传播、公开或以任何形式提供给第三方；不得将保密信息存储在未经授权的设备或介质上；不得将保密信息用于与甲方业务无关的活动。</w:t>
      </w:r>
    </w:p>
    <w:p w14:paraId="09F7A5CD">
      <w:pPr>
        <w:pStyle w:val="77"/>
        <w:keepNext w:val="0"/>
        <w:keepLines w:val="0"/>
        <w:pageBreakBefore w:val="0"/>
        <w:widowControl w:val="0"/>
        <w:numPr>
          <w:ilvl w:val="3"/>
          <w:numId w:val="14"/>
        </w:numPr>
        <w:tabs>
          <w:tab w:val="left" w:pos="84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违反本条约定的，除承担违约责任外，还应承担由此给对方造成的损失。</w:t>
      </w:r>
    </w:p>
    <w:p w14:paraId="04BF2DC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sz w:val="24"/>
          <w:highlight w:val="none"/>
        </w:rPr>
      </w:pPr>
      <w:r>
        <w:rPr>
          <w:rFonts w:hint="eastAsia" w:asciiTheme="minorEastAsia" w:hAnsiTheme="minorEastAsia" w:eastAsiaTheme="minorEastAsia" w:cstheme="minorEastAsia"/>
          <w:spacing w:val="0"/>
          <w:kern w:val="0"/>
          <w:highlight w:val="none"/>
          <w:lang w:val="en-US" w:eastAsia="zh-CN"/>
        </w:rPr>
        <w:t>知识产权条款</w:t>
      </w:r>
    </w:p>
    <w:p w14:paraId="6437EC35">
      <w:pPr>
        <w:pStyle w:val="76"/>
        <w:keepNext w:val="0"/>
        <w:keepLines w:val="0"/>
        <w:pageBreakBefore w:val="0"/>
        <w:widowControl w:val="0"/>
        <w:numPr>
          <w:ilvl w:val="2"/>
          <w:numId w:val="15"/>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乙方应保证甲方在使用该产品设备或其任何一部分软、硬件时，不侵犯任何第三人的知识产权，不会涉及任何第三人提出甲方侵犯其专利权、商标权和工业设计权等知识产权的纠纷、诉讼。任何第三人提出侵权主张时，乙方必须妥善处理，并承担一切法律责任和费用（包括诉讼支出的诉讼费、律师费等），若甲方因此承担责任、遭到损失，有权向乙方追偿。</w:t>
      </w:r>
    </w:p>
    <w:p w14:paraId="6AF0855D">
      <w:pPr>
        <w:pStyle w:val="76"/>
        <w:keepNext w:val="0"/>
        <w:keepLines w:val="0"/>
        <w:pageBreakBefore w:val="0"/>
        <w:widowControl w:val="0"/>
        <w:numPr>
          <w:ilvl w:val="2"/>
          <w:numId w:val="15"/>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0"/>
          <w:sz w:val="24"/>
          <w:szCs w:val="22"/>
          <w:highlight w:val="none"/>
          <w:lang w:val="en-US" w:eastAsia="zh-CN" w:bidi="ar-SA"/>
        </w:rPr>
      </w:pPr>
      <w:r>
        <w:rPr>
          <w:rFonts w:hint="eastAsia" w:asciiTheme="minorEastAsia" w:hAnsiTheme="minorEastAsia" w:eastAsiaTheme="minorEastAsia" w:cstheme="minorEastAsia"/>
          <w:snapToGrid/>
          <w:color w:val="000000"/>
          <w:spacing w:val="0"/>
          <w:kern w:val="0"/>
          <w:sz w:val="24"/>
          <w:szCs w:val="22"/>
          <w:highlight w:val="none"/>
          <w:lang w:val="en-US" w:eastAsia="zh-CN" w:bidi="ar-SA"/>
        </w:rPr>
        <w:t>乙方承诺所售产品设备的知识产权或生产权如被出售或转让给第三方，乙方应能继续负责所售产品设备正常运转所必需的备品、备件、和专用工具、仪器仪表的供应和技术支持，并不得损害甲方利益。</w:t>
      </w:r>
    </w:p>
    <w:p w14:paraId="7249AAE9">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违约责任</w:t>
      </w:r>
    </w:p>
    <w:p w14:paraId="3B05C12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highlight w:val="none"/>
        </w:rPr>
        <w:t>损失包括直接损失和间接损失，同时</w:t>
      </w:r>
      <w:r>
        <w:rPr>
          <w:rFonts w:hint="eastAsia" w:asciiTheme="minorEastAsia" w:hAnsiTheme="minorEastAsia" w:eastAsiaTheme="minorEastAsia" w:cstheme="minorEastAsia"/>
          <w:spacing w:val="0"/>
          <w:highlight w:val="none"/>
          <w:lang w:val="en-US" w:eastAsia="zh-CN"/>
        </w:rPr>
        <w:t>包</w:t>
      </w:r>
      <w:r>
        <w:rPr>
          <w:rFonts w:hint="eastAsia" w:asciiTheme="minorEastAsia" w:hAnsiTheme="minorEastAsia" w:eastAsiaTheme="minorEastAsia" w:cstheme="minorEastAsia"/>
          <w:spacing w:val="0"/>
          <w:highlight w:val="none"/>
        </w:rPr>
        <w:t>含诉讼费、律师费、鉴定费、公证费、差旅费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val="en-US" w:eastAsia="zh-CN"/>
        </w:rPr>
        <w:t>一方因此支出的罚款、向他人作出的赔偿</w:t>
      </w:r>
      <w:r>
        <w:rPr>
          <w:rFonts w:hint="eastAsia" w:asciiTheme="minorEastAsia" w:hAnsiTheme="minorEastAsia" w:eastAsiaTheme="minorEastAsia" w:cstheme="minorEastAsia"/>
          <w:spacing w:val="0"/>
          <w:highlight w:val="none"/>
        </w:rPr>
        <w:t>等。</w:t>
      </w:r>
    </w:p>
    <w:p w14:paraId="7143F84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乙方逾期交付</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安装的</w:t>
      </w:r>
      <w:r>
        <w:rPr>
          <w:rFonts w:hint="eastAsia" w:asciiTheme="minorEastAsia" w:hAnsiTheme="minorEastAsia" w:eastAsiaTheme="minorEastAsia" w:cstheme="minorEastAsia"/>
          <w:spacing w:val="0"/>
          <w:kern w:val="0"/>
          <w:highlight w:val="none"/>
          <w:u w:val="none"/>
        </w:rPr>
        <w:t>（经甲方允许可以延期交付的</w:t>
      </w:r>
      <w:r>
        <w:rPr>
          <w:rFonts w:hint="eastAsia" w:asciiTheme="minorEastAsia" w:hAnsiTheme="minorEastAsia" w:eastAsiaTheme="minorEastAsia" w:cstheme="minorEastAsia"/>
          <w:spacing w:val="0"/>
          <w:kern w:val="0"/>
          <w:highlight w:val="none"/>
          <w:u w:val="none"/>
          <w:lang w:eastAsia="zh-CN"/>
        </w:rPr>
        <w:t>产品设备</w:t>
      </w:r>
      <w:r>
        <w:rPr>
          <w:rFonts w:hint="eastAsia" w:asciiTheme="minorEastAsia" w:hAnsiTheme="minorEastAsia" w:eastAsiaTheme="minorEastAsia" w:cstheme="minorEastAsia"/>
          <w:spacing w:val="0"/>
          <w:kern w:val="0"/>
          <w:highlight w:val="none"/>
          <w:u w:val="none"/>
        </w:rPr>
        <w:t>除外）</w:t>
      </w:r>
      <w:r>
        <w:rPr>
          <w:rFonts w:hint="eastAsia" w:asciiTheme="minorEastAsia" w:hAnsiTheme="minorEastAsia" w:eastAsiaTheme="minorEastAsia" w:cstheme="minorEastAsia"/>
          <w:spacing w:val="0"/>
          <w:highlight w:val="none"/>
        </w:rPr>
        <w:t>，每逾期一天，应按合同价款的</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千分之二</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向甲方支付违约金，同时仍应履行合同义务</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逾期超过</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30</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天的，甲方有权解除本合同。</w:t>
      </w:r>
      <w:r>
        <w:rPr>
          <w:rFonts w:hint="eastAsia" w:asciiTheme="minorEastAsia" w:hAnsiTheme="minorEastAsia" w:eastAsiaTheme="minorEastAsia" w:cstheme="minorEastAsia"/>
          <w:spacing w:val="0"/>
          <w:sz w:val="24"/>
          <w:highlight w:val="none"/>
        </w:rPr>
        <w:t>如违约金不足以弥补甲方损失的，甲方</w:t>
      </w:r>
      <w:r>
        <w:rPr>
          <w:rFonts w:hint="eastAsia" w:asciiTheme="minorEastAsia" w:hAnsiTheme="minorEastAsia" w:eastAsiaTheme="minorEastAsia" w:cstheme="minorEastAsia"/>
          <w:spacing w:val="0"/>
          <w:sz w:val="24"/>
          <w:highlight w:val="none"/>
          <w:lang w:val="en-US" w:eastAsia="zh-CN"/>
        </w:rPr>
        <w:t>还</w:t>
      </w:r>
      <w:r>
        <w:rPr>
          <w:rFonts w:hint="eastAsia" w:asciiTheme="minorEastAsia" w:hAnsiTheme="minorEastAsia" w:eastAsiaTheme="minorEastAsia" w:cstheme="minorEastAsia"/>
          <w:spacing w:val="0"/>
          <w:sz w:val="24"/>
          <w:highlight w:val="none"/>
        </w:rPr>
        <w:t>有权要求乙方赔偿损失。</w:t>
      </w:r>
    </w:p>
    <w:p w14:paraId="47DAC54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乙方所供</w:t>
      </w:r>
      <w:r>
        <w:rPr>
          <w:rFonts w:hint="eastAsia" w:asciiTheme="minorEastAsia" w:hAnsiTheme="minorEastAsia" w:eastAsiaTheme="minorEastAsia" w:cstheme="minorEastAsia"/>
          <w:spacing w:val="0"/>
          <w:highlight w:val="none"/>
          <w:lang w:val="en-US" w:eastAsia="zh-CN"/>
        </w:rPr>
        <w:t>产品设备</w:t>
      </w:r>
      <w:r>
        <w:rPr>
          <w:rFonts w:hint="eastAsia" w:asciiTheme="minorEastAsia" w:hAnsiTheme="minorEastAsia" w:eastAsiaTheme="minorEastAsia" w:cstheme="minorEastAsia"/>
          <w:spacing w:val="0"/>
          <w:highlight w:val="none"/>
        </w:rPr>
        <w:t>的质量不合格，导致甲方换货、退货或解除</w:t>
      </w:r>
      <w:r>
        <w:rPr>
          <w:rFonts w:hint="eastAsia" w:asciiTheme="minorEastAsia" w:hAnsiTheme="minorEastAsia" w:eastAsiaTheme="minorEastAsia" w:cstheme="minorEastAsia"/>
          <w:spacing w:val="0"/>
          <w:highlight w:val="none"/>
        </w:rPr>
        <w:t>合同的，除承担退换货责任外，乙方还应向甲方支付换货、退货价值或合同总价</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的违约金，因此导致乙方逾期交付</w:t>
      </w:r>
      <w:r>
        <w:rPr>
          <w:rFonts w:hint="eastAsia" w:asciiTheme="minorEastAsia" w:hAnsiTheme="minorEastAsia" w:eastAsiaTheme="minorEastAsia" w:cstheme="minorEastAsia"/>
          <w:spacing w:val="0"/>
          <w:highlight w:val="none"/>
          <w:lang w:val="en-US" w:eastAsia="zh-CN"/>
        </w:rPr>
        <w:t>产品</w:t>
      </w:r>
      <w:r>
        <w:rPr>
          <w:rFonts w:hint="eastAsia" w:asciiTheme="minorEastAsia" w:hAnsiTheme="minorEastAsia" w:eastAsiaTheme="minorEastAsia" w:cstheme="minorEastAsia"/>
          <w:spacing w:val="0"/>
          <w:highlight w:val="none"/>
        </w:rPr>
        <w:t>设备的，乙方除承担前述违约责任外，还应按照上述第</w:t>
      </w:r>
      <w:r>
        <w:rPr>
          <w:rFonts w:hint="eastAsia" w:asciiTheme="minorEastAsia" w:hAnsiTheme="minorEastAsia" w:eastAsiaTheme="minorEastAsia" w:cstheme="minorEastAsia"/>
          <w:spacing w:val="0"/>
          <w:highlight w:val="none"/>
          <w:lang w:val="en-US" w:eastAsia="zh-CN"/>
        </w:rPr>
        <w:t>五十</w:t>
      </w:r>
      <w:r>
        <w:rPr>
          <w:rFonts w:hint="eastAsia" w:asciiTheme="minorEastAsia" w:hAnsiTheme="minorEastAsia" w:eastAsiaTheme="minorEastAsia" w:cstheme="minorEastAsia"/>
          <w:spacing w:val="0"/>
          <w:highlight w:val="none"/>
        </w:rPr>
        <w:t>条的约定向甲方承担违约责任。</w:t>
      </w:r>
    </w:p>
    <w:p w14:paraId="4DE4077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乙方未按甲方要求响应质保责任，每次按</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1000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元/次承担违约金，且甲方有权委托第三方进行质保，所有费用从质保金中扣除，不足部分由乙方另行承担且不免除乙方的质保责任。</w:t>
      </w:r>
    </w:p>
    <w:p w14:paraId="4C71471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sz w:val="24"/>
          <w:highlight w:val="none"/>
        </w:rPr>
        <w:t>甲方有权从应付当期款项中扣除乙方应承担的违约金和相关费</w:t>
      </w:r>
      <w:r>
        <w:rPr>
          <w:rFonts w:hint="eastAsia" w:asciiTheme="minorEastAsia" w:hAnsiTheme="minorEastAsia" w:eastAsiaTheme="minorEastAsia" w:cstheme="minorEastAsia"/>
          <w:spacing w:val="0"/>
          <w:sz w:val="24"/>
          <w:highlight w:val="none"/>
          <w:lang w:val="en-US" w:eastAsia="zh-CN"/>
        </w:rPr>
        <w:t>用。</w:t>
      </w:r>
    </w:p>
    <w:p w14:paraId="616CE97D">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合同的变更和解除</w:t>
      </w:r>
    </w:p>
    <w:p w14:paraId="6DA8929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除非遇到不可抗力因素，导致本合同不能履行，未经甲乙双方书面同意，任何一方无权单方面变更或解除合同。</w:t>
      </w:r>
    </w:p>
    <w:p w14:paraId="2921BC1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如本合同任何一方违反约定，另一方可向违约方发出书面纠正通知。违约方应于收到书面纠正通知之日起30日内纠正违约行为，否则守约方有权解除合同并要求违约方赔偿因解除合同而造成的一切损失。</w:t>
      </w:r>
    </w:p>
    <w:p w14:paraId="3EA2283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任何一方破产、解散，本合同自动终止。</w:t>
      </w:r>
    </w:p>
    <w:p w14:paraId="683C703C">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其他</w:t>
      </w:r>
    </w:p>
    <w:p w14:paraId="787306D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除双方另有约定外，甲乙双方之间任何与本合同相关的正式信函以及</w:t>
      </w:r>
      <w:r>
        <w:rPr>
          <w:rFonts w:hint="eastAsia" w:asciiTheme="minorEastAsia" w:hAnsiTheme="minorEastAsia" w:eastAsiaTheme="minorEastAsia" w:cstheme="minorEastAsia"/>
          <w:spacing w:val="0"/>
          <w:kern w:val="0"/>
          <w:highlight w:val="none"/>
          <w:lang w:val="en-US" w:eastAsia="zh-CN"/>
        </w:rPr>
        <w:t>款项</w:t>
      </w:r>
      <w:r>
        <w:rPr>
          <w:rFonts w:hint="eastAsia" w:asciiTheme="minorEastAsia" w:hAnsiTheme="minorEastAsia" w:eastAsiaTheme="minorEastAsia" w:cstheme="minorEastAsia"/>
          <w:spacing w:val="0"/>
          <w:kern w:val="0"/>
          <w:highlight w:val="none"/>
        </w:rPr>
        <w:t>结算，均应使用本合同中甲、乙双方指定的地址和银行</w:t>
      </w:r>
      <w:r>
        <w:rPr>
          <w:rFonts w:hint="eastAsia" w:asciiTheme="minorEastAsia" w:hAnsiTheme="minorEastAsia" w:eastAsiaTheme="minorEastAsia" w:cstheme="minorEastAsia"/>
          <w:spacing w:val="0"/>
          <w:kern w:val="0"/>
          <w:highlight w:val="none"/>
          <w:lang w:eastAsia="zh-CN"/>
        </w:rPr>
        <w:t>账号</w:t>
      </w:r>
      <w:r>
        <w:rPr>
          <w:rFonts w:hint="eastAsia" w:asciiTheme="minorEastAsia" w:hAnsiTheme="minorEastAsia" w:eastAsiaTheme="minorEastAsia" w:cstheme="minorEastAsia"/>
          <w:spacing w:val="0"/>
          <w:kern w:val="0"/>
          <w:highlight w:val="none"/>
        </w:rPr>
        <w:t>。</w:t>
      </w:r>
    </w:p>
    <w:tbl>
      <w:tblPr>
        <w:tblStyle w:val="23"/>
        <w:tblW w:w="5005" w:type="pct"/>
        <w:tblInd w:w="0" w:type="dxa"/>
        <w:tblLayout w:type="autofit"/>
        <w:tblCellMar>
          <w:top w:w="0" w:type="dxa"/>
          <w:left w:w="108" w:type="dxa"/>
          <w:bottom w:w="0" w:type="dxa"/>
          <w:right w:w="108" w:type="dxa"/>
        </w:tblCellMar>
      </w:tblPr>
      <w:tblGrid>
        <w:gridCol w:w="1700"/>
        <w:gridCol w:w="2760"/>
        <w:gridCol w:w="1653"/>
        <w:gridCol w:w="2418"/>
      </w:tblGrid>
      <w:tr w14:paraId="6CF3577B">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207FFDC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1A2659D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lang w:val="en-US" w:eastAsia="zh-CN"/>
              </w:rPr>
              <w:t>乙方</w:t>
            </w:r>
          </w:p>
        </w:tc>
      </w:tr>
      <w:tr w14:paraId="0704AA7D">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259CE2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rPr>
              <w:t>名</w:t>
            </w:r>
            <w:r>
              <w:rPr>
                <w:rFonts w:hint="eastAsia" w:asciiTheme="minorEastAsia" w:hAnsiTheme="minorEastAsia" w:eastAsiaTheme="minorEastAsia" w:cstheme="minorEastAsia"/>
                <w:spacing w:val="0"/>
                <w:highlight w:val="none"/>
                <w:lang w:val="en-US" w:eastAsia="zh-CN"/>
              </w:rPr>
              <w:t>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03CA805C">
            <w:pPr>
              <w:keepNext w:val="0"/>
              <w:keepLines w:val="0"/>
              <w:pageBreakBefore w:val="0"/>
              <w:widowControl w:val="0"/>
              <w:kinsoku/>
              <w:wordWrap/>
              <w:overflowPunct/>
              <w:topLinePunct w:val="0"/>
              <w:autoSpaceDE w:val="0"/>
              <w:autoSpaceDN w:val="0"/>
              <w:bidi w:val="0"/>
              <w:adjustRightInd w:val="0"/>
              <w:snapToGrid w:val="0"/>
              <w:textAlignment w:val="auto"/>
              <w:rPr>
                <w:rFonts w:hint="default" w:asciiTheme="minorEastAsia" w:hAnsiTheme="minorEastAsia" w:eastAsiaTheme="minorEastAsia" w:cstheme="minorEastAsia"/>
                <w:spacing w:val="0"/>
                <w:sz w:val="24"/>
                <w:szCs w:val="24"/>
                <w:highlight w:val="none"/>
                <w:lang w:val="en-US" w:eastAsia="zh-CN"/>
              </w:rPr>
            </w:pP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03A4CA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285C79FD">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13B5ECDF">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3CEC8C0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25AEB4B5">
            <w:pPr>
              <w:keepNext w:val="0"/>
              <w:keepLines w:val="0"/>
              <w:pageBreakBefore w:val="0"/>
              <w:widowControl w:val="0"/>
              <w:kinsoku/>
              <w:wordWrap/>
              <w:overflowPunct/>
              <w:topLinePunct w:val="0"/>
              <w:autoSpaceDE w:val="0"/>
              <w:autoSpaceDN w:val="0"/>
              <w:bidi w:val="0"/>
              <w:adjustRightInd w:val="0"/>
              <w:snapToGrid w:val="0"/>
              <w:textAlignment w:val="auto"/>
              <w:rPr>
                <w:rFonts w:hint="default" w:asciiTheme="minorEastAsia" w:hAnsiTheme="minorEastAsia" w:eastAsiaTheme="minorEastAsia" w:cstheme="minorEastAsia"/>
                <w:spacing w:val="0"/>
                <w:sz w:val="24"/>
                <w:szCs w:val="24"/>
                <w:highlight w:val="none"/>
                <w:lang w:val="en-US" w:eastAsia="zh-CN"/>
              </w:rPr>
            </w:pPr>
          </w:p>
        </w:tc>
        <w:tc>
          <w:tcPr>
            <w:tcW w:w="1704" w:type="dxa"/>
            <w:tcBorders>
              <w:top w:val="single" w:color="auto" w:sz="6" w:space="0"/>
              <w:left w:val="single" w:color="auto" w:sz="6" w:space="0"/>
              <w:bottom w:val="single" w:color="auto" w:sz="6" w:space="0"/>
              <w:right w:val="single" w:color="auto" w:sz="6" w:space="0"/>
            </w:tcBorders>
            <w:vAlign w:val="center"/>
          </w:tcPr>
          <w:p w14:paraId="37990AD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68AC34E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317754C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B3A38E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6FAC4F6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6A3EB4DC">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default" w:asciiTheme="minorEastAsia" w:hAnsiTheme="minorEastAsia" w:eastAsiaTheme="minorEastAsia" w:cstheme="minorEastAsia"/>
                <w:spacing w:val="0"/>
                <w:sz w:val="24"/>
                <w:szCs w:val="24"/>
                <w:highlight w:val="none"/>
                <w:lang w:val="en-US" w:eastAsia="zh-CN"/>
              </w:rPr>
            </w:pPr>
          </w:p>
        </w:tc>
        <w:tc>
          <w:tcPr>
            <w:tcW w:w="1704" w:type="dxa"/>
            <w:tcBorders>
              <w:top w:val="single" w:color="auto" w:sz="6" w:space="0"/>
              <w:left w:val="single" w:color="auto" w:sz="6" w:space="0"/>
              <w:bottom w:val="single" w:color="auto" w:sz="6" w:space="0"/>
              <w:right w:val="single" w:color="auto" w:sz="6" w:space="0"/>
            </w:tcBorders>
            <w:vAlign w:val="center"/>
          </w:tcPr>
          <w:p w14:paraId="6E07924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71B237D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46945B54">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3065113B">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C8FAFD6">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884" w:type="dxa"/>
            <w:tcBorders>
              <w:top w:val="single" w:color="auto" w:sz="6" w:space="0"/>
              <w:left w:val="single" w:color="auto" w:sz="6" w:space="0"/>
              <w:bottom w:val="single" w:color="auto" w:sz="6" w:space="0"/>
              <w:right w:val="single" w:color="auto" w:sz="6" w:space="0"/>
            </w:tcBorders>
            <w:vAlign w:val="center"/>
          </w:tcPr>
          <w:p w14:paraId="2DA11DF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default" w:asciiTheme="minorEastAsia" w:hAnsiTheme="minorEastAsia" w:eastAsiaTheme="minorEastAsia" w:cstheme="minorEastAsia"/>
                <w:spacing w:val="0"/>
                <w:sz w:val="24"/>
                <w:szCs w:val="24"/>
                <w:highlight w:val="none"/>
                <w:lang w:val="en-US" w:eastAsia="zh-CN"/>
              </w:rPr>
            </w:pPr>
          </w:p>
        </w:tc>
        <w:tc>
          <w:tcPr>
            <w:tcW w:w="1704" w:type="dxa"/>
            <w:tcBorders>
              <w:top w:val="single" w:color="auto" w:sz="6" w:space="0"/>
              <w:left w:val="single" w:color="auto" w:sz="6" w:space="0"/>
              <w:bottom w:val="single" w:color="auto" w:sz="6" w:space="0"/>
              <w:right w:val="single" w:color="auto" w:sz="6" w:space="0"/>
            </w:tcBorders>
            <w:vAlign w:val="center"/>
          </w:tcPr>
          <w:p w14:paraId="7115FA8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524" w:type="dxa"/>
            <w:tcBorders>
              <w:top w:val="single" w:color="auto" w:sz="6" w:space="0"/>
              <w:left w:val="single" w:color="auto" w:sz="6" w:space="0"/>
              <w:bottom w:val="single" w:color="auto" w:sz="6" w:space="0"/>
              <w:right w:val="single" w:color="auto" w:sz="6" w:space="0"/>
            </w:tcBorders>
            <w:vAlign w:val="center"/>
          </w:tcPr>
          <w:p w14:paraId="4ACAA624">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78437239">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7226510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333574B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5480B7A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4C9E394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563182EF">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0289056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19CFA29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13D4C2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60AB710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6432FA63">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2D740D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18DE6C0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6C20C81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3324471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059D2BA1">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526A56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0D5E3720">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465D53C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63E13C27">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10E19DE5">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318D52D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eastAsia="zh-CN"/>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06DCC8E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3D2F55C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eastAsia="zh-CN"/>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584A9AB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r w14:paraId="1CA0D32B">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7EE0FB7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2C80C3DC">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75D5333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1004EBC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highlight w:val="none"/>
              </w:rPr>
            </w:pPr>
          </w:p>
        </w:tc>
      </w:tr>
    </w:tbl>
    <w:p w14:paraId="023E2D8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highlight w:val="none"/>
          <w:lang w:val="en-US" w:eastAsia="zh-CN"/>
        </w:rPr>
        <w:t>，</w:t>
      </w:r>
      <w:r>
        <w:rPr>
          <w:rFonts w:hint="eastAsia" w:asciiTheme="minorEastAsia" w:hAnsiTheme="minorEastAsia" w:eastAsiaTheme="minorEastAsia" w:cstheme="minorEastAsia"/>
          <w:spacing w:val="0"/>
          <w:kern w:val="0"/>
          <w:highlight w:val="none"/>
          <w:lang w:val="en-US" w:eastAsia="zh-TW"/>
        </w:rPr>
        <w:t>甲乙双方的任何书面文件均需加盖单位公章方为有效。</w:t>
      </w:r>
    </w:p>
    <w:p w14:paraId="7A23FDE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通过电子邮箱及其它电子方式送达时，发出之日即视为有效送达</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通过快递等方式送达时，对方签收之日视为有效送达；对方拒收或退回的，视为签收。上述联系方式同时作为有效司法送达地址。</w:t>
      </w:r>
    </w:p>
    <w:p w14:paraId="2E850546">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rPr>
        <w:t>甲乙任一方的地址</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联系人（项目负责人）、联系方式</w:t>
      </w:r>
      <w:r>
        <w:rPr>
          <w:rFonts w:hint="eastAsia" w:asciiTheme="minorEastAsia" w:hAnsiTheme="minorEastAsia" w:eastAsiaTheme="minorEastAsia" w:cstheme="minorEastAsia"/>
          <w:spacing w:val="0"/>
          <w:kern w:val="0"/>
          <w:highlight w:val="none"/>
        </w:rPr>
        <w:t>变更，变更一方应在变更后</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7</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个工作日内书面通知对方。书面通知须加盖公章并经本合同</w:t>
      </w:r>
      <w:r>
        <w:rPr>
          <w:rFonts w:hint="eastAsia" w:asciiTheme="minorEastAsia" w:hAnsiTheme="minorEastAsia" w:eastAsiaTheme="minorEastAsia" w:cstheme="minorEastAsia"/>
          <w:spacing w:val="0"/>
          <w:kern w:val="0"/>
          <w:highlight w:val="none"/>
          <w:lang w:val="en-US" w:eastAsia="zh-CN"/>
        </w:rPr>
        <w:t>授权代表</w:t>
      </w:r>
      <w:r>
        <w:rPr>
          <w:rFonts w:hint="eastAsia" w:asciiTheme="minorEastAsia" w:hAnsiTheme="minorEastAsia" w:eastAsiaTheme="minorEastAsia" w:cstheme="minorEastAsia"/>
          <w:spacing w:val="0"/>
          <w:kern w:val="0"/>
          <w:highlight w:val="none"/>
        </w:rPr>
        <w:t>签字确认</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否则，</w:t>
      </w:r>
      <w:r>
        <w:rPr>
          <w:rFonts w:hint="eastAsia" w:asciiTheme="minorEastAsia" w:hAnsiTheme="minorEastAsia" w:eastAsiaTheme="minorEastAsia" w:cstheme="minorEastAsia"/>
          <w:spacing w:val="0"/>
          <w:kern w:val="0"/>
          <w:highlight w:val="none"/>
          <w:lang w:val="en-US" w:eastAsia="zh-CN"/>
        </w:rPr>
        <w:t>原地址、联系人（项目负责人）、联系方式等</w:t>
      </w:r>
      <w:r>
        <w:rPr>
          <w:rFonts w:hint="eastAsia" w:asciiTheme="minorEastAsia" w:hAnsiTheme="minorEastAsia" w:eastAsiaTheme="minorEastAsia" w:cstheme="minorEastAsia"/>
          <w:spacing w:val="0"/>
          <w:kern w:val="0"/>
          <w:highlight w:val="none"/>
        </w:rPr>
        <w:t>仍视为有效，由未通知方承担由此而引起的相关责任；</w:t>
      </w:r>
      <w:r>
        <w:rPr>
          <w:rFonts w:hint="eastAsia" w:asciiTheme="minorEastAsia" w:hAnsiTheme="minorEastAsia" w:eastAsiaTheme="minorEastAsia" w:cstheme="minorEastAsia"/>
          <w:spacing w:val="0"/>
          <w:kern w:val="0"/>
          <w:highlight w:val="none"/>
          <w:lang w:val="en-US" w:eastAsia="zh-CN"/>
        </w:rPr>
        <w:t>任一方账户信息</w:t>
      </w:r>
      <w:r>
        <w:rPr>
          <w:rFonts w:hint="eastAsia" w:asciiTheme="minorEastAsia" w:hAnsiTheme="minorEastAsia" w:eastAsiaTheme="minorEastAsia" w:cstheme="minorEastAsia"/>
          <w:spacing w:val="0"/>
          <w:kern w:val="0"/>
          <w:highlight w:val="none"/>
        </w:rPr>
        <w:t>有变更的，变更方应在付款期限个</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7</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工作日前以加盖财务专用章的书面方式通知对方。如未及时履行约定告知程序，而导致另一方未按合同约定付款时间付款，不视为另一方付款延迟，不承担延迟付款的违约责任。</w:t>
      </w:r>
    </w:p>
    <w:p w14:paraId="3315357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color w:val="000000"/>
          <w:spacing w:val="0"/>
          <w:kern w:val="0"/>
          <w:sz w:val="24"/>
          <w:szCs w:val="24"/>
          <w:highlight w:val="none"/>
          <w:lang w:val="en-US" w:eastAsia="zh-CN"/>
        </w:rPr>
      </w:pPr>
      <w:r>
        <w:rPr>
          <w:rFonts w:hint="eastAsia" w:asciiTheme="minorEastAsia" w:hAnsiTheme="minorEastAsia" w:eastAsiaTheme="minorEastAsia" w:cstheme="minorEastAsia"/>
          <w:spacing w:val="0"/>
          <w:kern w:val="0"/>
          <w:highlight w:val="none"/>
        </w:rPr>
        <w:t>本联系方式条款为独立条款，不受合同整体或其他条款的效力影响，始终有效。</w:t>
      </w:r>
    </w:p>
    <w:p w14:paraId="07231CD7">
      <w:pPr>
        <w:pStyle w:val="74"/>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法律适用及</w:t>
      </w:r>
      <w:r>
        <w:rPr>
          <w:rFonts w:hint="eastAsia" w:asciiTheme="minorEastAsia" w:hAnsiTheme="minorEastAsia" w:eastAsiaTheme="minorEastAsia" w:cstheme="minorEastAsia"/>
          <w:spacing w:val="0"/>
          <w:highlight w:val="none"/>
        </w:rPr>
        <w:t>争议解决</w:t>
      </w:r>
    </w:p>
    <w:p w14:paraId="7C43414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rPr>
      </w:pPr>
      <w:r>
        <w:rPr>
          <w:rFonts w:hint="eastAsia" w:asciiTheme="minorEastAsia" w:hAnsiTheme="minorEastAsia" w:eastAsiaTheme="minorEastAsia" w:cstheme="minorEastAsia"/>
          <w:spacing w:val="0"/>
          <w:kern w:val="0"/>
          <w:highlight w:val="none"/>
          <w:lang w:val="en-US" w:eastAsia="zh-CN"/>
        </w:rPr>
        <w:t>本</w:t>
      </w:r>
      <w:r>
        <w:rPr>
          <w:rFonts w:hint="eastAsia" w:asciiTheme="minorEastAsia" w:hAnsiTheme="minorEastAsia" w:eastAsiaTheme="minorEastAsia" w:cstheme="minorEastAsia"/>
          <w:spacing w:val="0"/>
          <w:kern w:val="0"/>
          <w:highlight w:val="none"/>
        </w:rPr>
        <w:t>合同的订立、效力、履行及争议的解决适用中华人民共和国法律。</w:t>
      </w:r>
    </w:p>
    <w:p w14:paraId="5237398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rPr>
        <w:t>因本合同以及本合同项下</w:t>
      </w:r>
      <w:r>
        <w:rPr>
          <w:rFonts w:hint="eastAsia" w:asciiTheme="minorEastAsia" w:hAnsiTheme="minorEastAsia" w:eastAsiaTheme="minorEastAsia" w:cstheme="minorEastAsia"/>
          <w:spacing w:val="0"/>
          <w:kern w:val="0"/>
          <w:highlight w:val="none"/>
          <w:lang w:val="en-US" w:eastAsia="zh-CN"/>
        </w:rPr>
        <w:t>的</w:t>
      </w:r>
      <w:r>
        <w:rPr>
          <w:rFonts w:hint="eastAsia" w:asciiTheme="minorEastAsia" w:hAnsiTheme="minorEastAsia" w:eastAsiaTheme="minorEastAsia" w:cstheme="minorEastAsia"/>
          <w:spacing w:val="0"/>
          <w:kern w:val="0"/>
          <w:highlight w:val="none"/>
        </w:rPr>
        <w:t>附件/补充协议等（如有）引起或有关的任何争议，</w:t>
      </w:r>
      <w:r>
        <w:rPr>
          <w:rFonts w:hint="eastAsia" w:asciiTheme="minorEastAsia" w:hAnsiTheme="minorEastAsia" w:eastAsiaTheme="minorEastAsia" w:cstheme="minorEastAsia"/>
          <w:spacing w:val="0"/>
          <w:kern w:val="0"/>
          <w:highlight w:val="none"/>
          <w:lang w:val="en-US" w:eastAsia="zh-CN"/>
        </w:rPr>
        <w:t>合同各方应</w:t>
      </w:r>
      <w:r>
        <w:rPr>
          <w:rFonts w:hint="eastAsia" w:asciiTheme="minorEastAsia" w:hAnsiTheme="minorEastAsia" w:eastAsiaTheme="minorEastAsia" w:cstheme="minorEastAsia"/>
          <w:spacing w:val="0"/>
          <w:kern w:val="0"/>
          <w:highlight w:val="none"/>
        </w:rPr>
        <w:t>协商解决</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协商或调解不成的</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任何一方均选择下列第</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种方式解决争议：</w:t>
      </w:r>
    </w:p>
    <w:p w14:paraId="60F039E9">
      <w:pPr>
        <w:pStyle w:val="76"/>
        <w:keepNext w:val="0"/>
        <w:keepLines w:val="0"/>
        <w:pageBreakBefore w:val="0"/>
        <w:widowControl w:val="0"/>
        <w:numPr>
          <w:ilvl w:val="2"/>
          <w:numId w:val="16"/>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rPr>
        <w:t>向</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甲方</w:t>
      </w:r>
      <w:r>
        <w:rPr>
          <w:rFonts w:hint="eastAsia" w:asciiTheme="minorEastAsia" w:hAnsiTheme="minorEastAsia" w:eastAsiaTheme="minorEastAsia" w:cstheme="minorEastAsia"/>
          <w:spacing w:val="0"/>
          <w:highlight w:val="none"/>
          <w:lang w:val="en-US" w:eastAsia="zh-CN"/>
        </w:rPr>
        <w:t>】住所地</w:t>
      </w:r>
      <w:r>
        <w:rPr>
          <w:rFonts w:hint="eastAsia" w:asciiTheme="minorEastAsia" w:hAnsiTheme="minorEastAsia" w:eastAsiaTheme="minorEastAsia" w:cstheme="minorEastAsia"/>
          <w:spacing w:val="0"/>
          <w:highlight w:val="none"/>
        </w:rPr>
        <w:t>有管辖权的人民法院起诉</w:t>
      </w:r>
      <w:r>
        <w:rPr>
          <w:rFonts w:hint="eastAsia" w:asciiTheme="minorEastAsia" w:hAnsiTheme="minorEastAsia" w:eastAsiaTheme="minorEastAsia" w:cstheme="minorEastAsia"/>
          <w:spacing w:val="0"/>
          <w:highlight w:val="none"/>
          <w:lang w:eastAsia="zh-CN"/>
        </w:rPr>
        <w:t>；</w:t>
      </w:r>
    </w:p>
    <w:p w14:paraId="4A5F15AA">
      <w:pPr>
        <w:pStyle w:val="76"/>
        <w:keepNext w:val="0"/>
        <w:keepLines w:val="0"/>
        <w:pageBreakBefore w:val="0"/>
        <w:widowControl w:val="0"/>
        <w:numPr>
          <w:ilvl w:val="2"/>
          <w:numId w:val="16"/>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向【】仲裁委员会提起仲裁。</w:t>
      </w:r>
    </w:p>
    <w:p w14:paraId="0E72C4B2">
      <w:pPr>
        <w:pStyle w:val="74"/>
        <w:bidi w:val="0"/>
        <w:rPr>
          <w:rFonts w:hint="eastAsia"/>
          <w:highlight w:val="none"/>
          <w:lang w:val="en-US" w:eastAsia="zh-CN"/>
        </w:rPr>
      </w:pPr>
      <w:r>
        <w:rPr>
          <w:rFonts w:hint="eastAsia"/>
          <w:highlight w:val="none"/>
          <w:lang w:val="en-US" w:eastAsia="zh-CN"/>
        </w:rPr>
        <w:t>附则</w:t>
      </w:r>
    </w:p>
    <w:p w14:paraId="0BA601D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合同期限为</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年，</w:t>
      </w:r>
      <w:r>
        <w:rPr>
          <w:rFonts w:hint="eastAsia" w:asciiTheme="minorEastAsia" w:hAnsiTheme="minorEastAsia" w:eastAsiaTheme="minorEastAsia" w:cstheme="minorEastAsia"/>
          <w:spacing w:val="0"/>
          <w:kern w:val="0"/>
          <w:highlight w:val="none"/>
        </w:rPr>
        <w:t>自</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u w:val="none"/>
          <w:lang w:val="en-US" w:eastAsia="zh-CN"/>
        </w:rPr>
        <w:t>起至</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止。</w:t>
      </w:r>
    </w:p>
    <w:p w14:paraId="582ECF6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u w:val="none"/>
          <w:lang w:val="en-US" w:eastAsia="zh-CN"/>
        </w:rPr>
      </w:pPr>
      <w:r>
        <w:rPr>
          <w:rFonts w:hint="eastAsia" w:asciiTheme="minorEastAsia" w:hAnsiTheme="minorEastAsia" w:eastAsiaTheme="minorEastAsia" w:cstheme="minorEastAsia"/>
          <w:spacing w:val="0"/>
          <w:kern w:val="0"/>
          <w:highlight w:val="none"/>
          <w:u w:val="none"/>
          <w:lang w:val="en-US" w:eastAsia="zh-CN"/>
        </w:rPr>
        <w:t>本合同自各方法定代表人或授权代表签字并加盖公章</w:t>
      </w:r>
      <w:r>
        <w:rPr>
          <w:rFonts w:hint="eastAsia" w:asciiTheme="minorEastAsia" w:hAnsiTheme="minorEastAsia" w:eastAsiaTheme="minorEastAsia" w:cstheme="minorEastAsia"/>
          <w:spacing w:val="0"/>
          <w:highlight w:val="none"/>
          <w:u w:val="none"/>
          <w:lang w:val="en-US" w:eastAsia="zh-CN"/>
        </w:rPr>
        <w:t>或合同专用章</w:t>
      </w:r>
      <w:r>
        <w:rPr>
          <w:rFonts w:hint="eastAsia" w:asciiTheme="minorEastAsia" w:hAnsiTheme="minorEastAsia" w:eastAsiaTheme="minorEastAsia" w:cstheme="minorEastAsia"/>
          <w:spacing w:val="0"/>
          <w:kern w:val="0"/>
          <w:highlight w:val="none"/>
          <w:u w:val="none"/>
          <w:lang w:val="en-US" w:eastAsia="zh-CN"/>
        </w:rPr>
        <w:t>生效。</w:t>
      </w:r>
    </w:p>
    <w:p w14:paraId="2B5A64B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本合同未尽事宜及对本合同的任何修改、补充，双方经协商一致后另行签订书面补充协议。在补充协议生效前，仍按本合同执行。</w:t>
      </w:r>
    </w:p>
    <w:p w14:paraId="490B24AD">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rPr>
        <w:t>本合同的附件和补充</w:t>
      </w:r>
      <w:r>
        <w:rPr>
          <w:rFonts w:hint="eastAsia" w:asciiTheme="minorEastAsia" w:hAnsiTheme="minorEastAsia" w:eastAsiaTheme="minorEastAsia" w:cstheme="minorEastAsia"/>
          <w:spacing w:val="0"/>
          <w:kern w:val="0"/>
          <w:highlight w:val="none"/>
          <w:lang w:val="en-US" w:eastAsia="zh-CN"/>
        </w:rPr>
        <w:t>协议</w:t>
      </w:r>
      <w:r>
        <w:rPr>
          <w:rFonts w:hint="eastAsia" w:asciiTheme="minorEastAsia" w:hAnsiTheme="minorEastAsia" w:eastAsiaTheme="minorEastAsia" w:cstheme="minorEastAsia"/>
          <w:spacing w:val="0"/>
          <w:kern w:val="0"/>
          <w:highlight w:val="none"/>
        </w:rPr>
        <w:t>均为本合同不可分割的组成部分，与本合同具有同等的法律效力。</w:t>
      </w:r>
    </w:p>
    <w:p w14:paraId="1448622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本合同一式</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肆</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份，甲方执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贰</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份，乙方执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贰</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份，均具有同等法律效力。</w:t>
      </w:r>
    </w:p>
    <w:p w14:paraId="33704EE6">
      <w:pPr>
        <w:pStyle w:val="75"/>
        <w:keepNext w:val="0"/>
        <w:keepLines w:val="0"/>
        <w:pageBreakBefore w:val="0"/>
        <w:widowControl w:val="0"/>
        <w:numPr>
          <w:ilvl w:val="0"/>
          <w:numId w:val="0"/>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（以下无合同正文）</w:t>
      </w:r>
    </w:p>
    <w:p w14:paraId="2B49FDE8">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lang w:val="en-US" w:eastAsia="zh-CN"/>
        </w:rPr>
      </w:pPr>
    </w:p>
    <w:p w14:paraId="310FA7F6">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lang w:val="en-US" w:eastAsia="zh-CN"/>
        </w:rPr>
      </w:pPr>
    </w:p>
    <w:p w14:paraId="7B8DE334">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lang w:val="en-US" w:eastAsia="zh-CN"/>
        </w:rPr>
      </w:pPr>
    </w:p>
    <w:p w14:paraId="4A5B6D7E">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甲方（盖章）：</w:t>
      </w:r>
    </w:p>
    <w:p w14:paraId="79A918FA">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法定代表人或授权代表（签名）：</w:t>
      </w:r>
    </w:p>
    <w:p w14:paraId="65B55F05">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日期：</w:t>
      </w:r>
    </w:p>
    <w:p w14:paraId="7DF8E800">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p>
    <w:p w14:paraId="43B12113">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乙方（盖章）：</w:t>
      </w:r>
    </w:p>
    <w:p w14:paraId="3C2FE46D">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法定代表人或授权代表（签名）：</w:t>
      </w:r>
    </w:p>
    <w:p w14:paraId="5D983908">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r>
        <w:rPr>
          <w:rFonts w:hint="eastAsia" w:asciiTheme="minorEastAsia" w:hAnsiTheme="minorEastAsia" w:eastAsiaTheme="minorEastAsia" w:cstheme="minorEastAsia"/>
          <w:b/>
          <w:bCs/>
          <w:color w:val="auto"/>
          <w:spacing w:val="0"/>
          <w:kern w:val="0"/>
          <w:sz w:val="24"/>
          <w:szCs w:val="24"/>
          <w:highlight w:val="none"/>
          <w:lang w:val="en-US" w:eastAsia="zh-CN"/>
        </w:rPr>
        <w:t>日期：</w:t>
      </w:r>
    </w:p>
    <w:p w14:paraId="20EC19D1">
      <w:pPr>
        <w:rPr>
          <w:highlight w:val="none"/>
        </w:rPr>
      </w:pPr>
    </w:p>
    <w:p w14:paraId="0BC20277">
      <w:pPr>
        <w:pStyle w:val="20"/>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highlight w:val="none"/>
          <w:lang w:val="en-US" w:eastAsia="zh-CN"/>
        </w:rPr>
      </w:pPr>
    </w:p>
    <w:p w14:paraId="6C0152B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注：询价文件内的合同为参考版本，采购人和成交供应商可共同协商细化合同条款，但不得违背询价文件和报价文件实质性内容（实质性内容指：合同标的、合同价款、付款方式、质量标准、质保期、履行期限）</w:t>
      </w: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86"/>
    <w:family w:val="auto"/>
    <w:pitch w:val="default"/>
    <w:sig w:usb0="00000283" w:usb1="180F1C10" w:usb2="00000016" w:usb3="00000000" w:csb0="40020001" w:csb1="C0D6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A432">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3F01">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5136C">
                          <w:pPr>
                            <w:pStyle w:val="14"/>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1E55136C">
                    <w:pPr>
                      <w:pStyle w:val="14"/>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E26A">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6B90A">
                          <w:pPr>
                            <w:pStyle w:val="14"/>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7EE6B90A">
                    <w:pPr>
                      <w:pStyle w:val="14"/>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A77B">
    <w:pPr>
      <w:pStyle w:val="14"/>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4540B">
                          <w:pPr>
                            <w:pStyle w:val="14"/>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2694540B">
                    <w:pPr>
                      <w:pStyle w:val="14"/>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C7E3">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A9D7">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8DA72"/>
    <w:multiLevelType w:val="multilevel"/>
    <w:tmpl w:val="9F68DA7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5FDFD3D"/>
    <w:multiLevelType w:val="multilevel"/>
    <w:tmpl w:val="B5FDFD3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7"/>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46CCB7C"/>
    <w:multiLevelType w:val="singleLevel"/>
    <w:tmpl w:val="D46CCB7C"/>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4">
    <w:nsid w:val="DBF373F5"/>
    <w:multiLevelType w:val="multilevel"/>
    <w:tmpl w:val="DBF373F5"/>
    <w:lvl w:ilvl="0" w:tentative="0">
      <w:start w:val="1"/>
      <w:numFmt w:val="chineseCounting"/>
      <w:pStyle w:val="7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00000002"/>
    <w:multiLevelType w:val="singleLevel"/>
    <w:tmpl w:val="00000002"/>
    <w:lvl w:ilvl="0" w:tentative="0">
      <w:start w:val="1"/>
      <w:numFmt w:val="decimal"/>
      <w:suff w:val="nothing"/>
      <w:lvlText w:val="%1、"/>
      <w:lvlJc w:val="left"/>
    </w:lvl>
  </w:abstractNum>
  <w:abstractNum w:abstractNumId="6">
    <w:nsid w:val="0CE3D4C5"/>
    <w:multiLevelType w:val="multilevel"/>
    <w:tmpl w:val="0CE3D4C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3AFFC0F8"/>
    <w:multiLevelType w:val="multilevel"/>
    <w:tmpl w:val="3AFFC0F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default" w:asciiTheme="minorEastAsia" w:hAnsiTheme="minorEastAsia" w:eastAsiaTheme="minorEastAsia" w:cstheme="minor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4BBD7475"/>
    <w:multiLevelType w:val="multilevel"/>
    <w:tmpl w:val="4BBD7475"/>
    <w:lvl w:ilvl="0" w:tentative="0">
      <w:start w:val="1"/>
      <w:numFmt w:val="chineseCounting"/>
      <w:pStyle w:val="74"/>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6"/>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FBA3FAF"/>
    <w:multiLevelType w:val="multilevel"/>
    <w:tmpl w:val="5FBA3FA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8"/>
  </w:num>
  <w:num w:numId="2">
    <w:abstractNumId w:val="4"/>
  </w:num>
  <w:num w:numId="3">
    <w:abstractNumId w:val="9"/>
  </w:num>
  <w:num w:numId="4">
    <w:abstractNumId w:val="2"/>
  </w:num>
  <w:num w:numId="5">
    <w:abstractNumId w:val="3"/>
  </w:num>
  <w:num w:numId="6">
    <w:abstractNumId w:val="5"/>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4MGQ4OTc0OWVhZDFmMmRkNDg1ZWY2MjNlOTVkMTc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842AA6"/>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5E3BCF"/>
    <w:rsid w:val="08610ACC"/>
    <w:rsid w:val="087D297A"/>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AD145B"/>
    <w:rsid w:val="0CC96515"/>
    <w:rsid w:val="0CFA3503"/>
    <w:rsid w:val="0D115FF7"/>
    <w:rsid w:val="0D1E7971"/>
    <w:rsid w:val="0D202562"/>
    <w:rsid w:val="0D2D19A9"/>
    <w:rsid w:val="0D3F09CA"/>
    <w:rsid w:val="0D462716"/>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803E6A"/>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450A60"/>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2C77AB"/>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594DAB"/>
    <w:rsid w:val="15655C97"/>
    <w:rsid w:val="15684108"/>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4E7ED7"/>
    <w:rsid w:val="1B813443"/>
    <w:rsid w:val="1B83192A"/>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66AF2"/>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664BF"/>
    <w:rsid w:val="28D77ECE"/>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7E1B14"/>
    <w:rsid w:val="2A9943F8"/>
    <w:rsid w:val="2AA80A1D"/>
    <w:rsid w:val="2ACE1AD5"/>
    <w:rsid w:val="2AD05D43"/>
    <w:rsid w:val="2AE941D7"/>
    <w:rsid w:val="2AF31C43"/>
    <w:rsid w:val="2B01328B"/>
    <w:rsid w:val="2B085BA8"/>
    <w:rsid w:val="2B0B2174"/>
    <w:rsid w:val="2B104199"/>
    <w:rsid w:val="2B3B051E"/>
    <w:rsid w:val="2B43250A"/>
    <w:rsid w:val="2BA20D75"/>
    <w:rsid w:val="2BA916E9"/>
    <w:rsid w:val="2BAB7C1B"/>
    <w:rsid w:val="2BAF299F"/>
    <w:rsid w:val="2BC94961"/>
    <w:rsid w:val="2BF42F40"/>
    <w:rsid w:val="2BF8505C"/>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755089"/>
    <w:rsid w:val="2E931BED"/>
    <w:rsid w:val="2E970698"/>
    <w:rsid w:val="2E9A78DD"/>
    <w:rsid w:val="2EA11B8C"/>
    <w:rsid w:val="2EB1741B"/>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B68F8"/>
    <w:rsid w:val="30EC0F07"/>
    <w:rsid w:val="30F008C4"/>
    <w:rsid w:val="31154A18"/>
    <w:rsid w:val="313120A2"/>
    <w:rsid w:val="317C672F"/>
    <w:rsid w:val="31B41E12"/>
    <w:rsid w:val="31C205E6"/>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619BC"/>
    <w:rsid w:val="343953C0"/>
    <w:rsid w:val="343F0D74"/>
    <w:rsid w:val="34450E37"/>
    <w:rsid w:val="34496DED"/>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B46497"/>
    <w:rsid w:val="35DC4333"/>
    <w:rsid w:val="35F9471D"/>
    <w:rsid w:val="36052BA0"/>
    <w:rsid w:val="360A18A9"/>
    <w:rsid w:val="361E10D9"/>
    <w:rsid w:val="364B6B65"/>
    <w:rsid w:val="36645C7E"/>
    <w:rsid w:val="367F34D9"/>
    <w:rsid w:val="368D765C"/>
    <w:rsid w:val="3698771E"/>
    <w:rsid w:val="36B64520"/>
    <w:rsid w:val="36C1187F"/>
    <w:rsid w:val="36D10B7D"/>
    <w:rsid w:val="36DA1082"/>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E7368D"/>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370A9"/>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F6B57"/>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127C0E"/>
    <w:rsid w:val="45313B95"/>
    <w:rsid w:val="453155E3"/>
    <w:rsid w:val="453B0C21"/>
    <w:rsid w:val="45496AC2"/>
    <w:rsid w:val="455805DB"/>
    <w:rsid w:val="455B6F58"/>
    <w:rsid w:val="456055DE"/>
    <w:rsid w:val="457C4F0E"/>
    <w:rsid w:val="457D67E2"/>
    <w:rsid w:val="457F6B89"/>
    <w:rsid w:val="4590091B"/>
    <w:rsid w:val="45BF6C7C"/>
    <w:rsid w:val="45E11D7E"/>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8C26EF"/>
    <w:rsid w:val="47962FFF"/>
    <w:rsid w:val="47972E45"/>
    <w:rsid w:val="47A50FC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65A00"/>
    <w:rsid w:val="4C3A4044"/>
    <w:rsid w:val="4C411429"/>
    <w:rsid w:val="4C577CFD"/>
    <w:rsid w:val="4C6A6076"/>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3656FB"/>
    <w:rsid w:val="52370149"/>
    <w:rsid w:val="525C358A"/>
    <w:rsid w:val="5295070D"/>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36D3E"/>
    <w:rsid w:val="552B6361"/>
    <w:rsid w:val="559B68D4"/>
    <w:rsid w:val="559E4304"/>
    <w:rsid w:val="55A2658D"/>
    <w:rsid w:val="55CD253C"/>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262959"/>
    <w:rsid w:val="59282B75"/>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285336"/>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217C66"/>
    <w:rsid w:val="5C3F0DD7"/>
    <w:rsid w:val="5C481E32"/>
    <w:rsid w:val="5C5123E2"/>
    <w:rsid w:val="5C586C41"/>
    <w:rsid w:val="5C6575A6"/>
    <w:rsid w:val="5C6920A5"/>
    <w:rsid w:val="5CC450FD"/>
    <w:rsid w:val="5CCA21AF"/>
    <w:rsid w:val="5CCE682E"/>
    <w:rsid w:val="5CF45691"/>
    <w:rsid w:val="5D19335A"/>
    <w:rsid w:val="5D290029"/>
    <w:rsid w:val="5D39568C"/>
    <w:rsid w:val="5D481D97"/>
    <w:rsid w:val="5D557DB6"/>
    <w:rsid w:val="5D63582F"/>
    <w:rsid w:val="5D6E6564"/>
    <w:rsid w:val="5D717950"/>
    <w:rsid w:val="5D8B3091"/>
    <w:rsid w:val="5DA600AE"/>
    <w:rsid w:val="5DA803D0"/>
    <w:rsid w:val="5DA8080C"/>
    <w:rsid w:val="5DB16F78"/>
    <w:rsid w:val="5DCD5A99"/>
    <w:rsid w:val="5DE828D3"/>
    <w:rsid w:val="5DF55733"/>
    <w:rsid w:val="5DFE3E44"/>
    <w:rsid w:val="5E302094"/>
    <w:rsid w:val="5E6C650C"/>
    <w:rsid w:val="5E797F0A"/>
    <w:rsid w:val="5E844274"/>
    <w:rsid w:val="5EA345D2"/>
    <w:rsid w:val="5EA361A9"/>
    <w:rsid w:val="5EA526ED"/>
    <w:rsid w:val="5EC6388D"/>
    <w:rsid w:val="5ED5571C"/>
    <w:rsid w:val="5EEC4F77"/>
    <w:rsid w:val="5EF26EF3"/>
    <w:rsid w:val="5F1D429B"/>
    <w:rsid w:val="5F261328"/>
    <w:rsid w:val="5F304531"/>
    <w:rsid w:val="5F3833B6"/>
    <w:rsid w:val="5F50294A"/>
    <w:rsid w:val="5F984D27"/>
    <w:rsid w:val="5F9E0D68"/>
    <w:rsid w:val="5FA2445B"/>
    <w:rsid w:val="5FD614CB"/>
    <w:rsid w:val="5FEA016C"/>
    <w:rsid w:val="5FF26453"/>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271E8"/>
    <w:rsid w:val="63A47F08"/>
    <w:rsid w:val="63B75221"/>
    <w:rsid w:val="63CF56AB"/>
    <w:rsid w:val="63D40DBB"/>
    <w:rsid w:val="63E16B6A"/>
    <w:rsid w:val="63E458E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11FFC"/>
    <w:rsid w:val="68A747C2"/>
    <w:rsid w:val="68AB1D20"/>
    <w:rsid w:val="68AB69D7"/>
    <w:rsid w:val="68B223CB"/>
    <w:rsid w:val="68B6083A"/>
    <w:rsid w:val="68CA6ECD"/>
    <w:rsid w:val="68D31FD3"/>
    <w:rsid w:val="68E15FAD"/>
    <w:rsid w:val="69286015"/>
    <w:rsid w:val="6937082E"/>
    <w:rsid w:val="695B1CE7"/>
    <w:rsid w:val="69657443"/>
    <w:rsid w:val="698C468F"/>
    <w:rsid w:val="69A27EDD"/>
    <w:rsid w:val="69A411D5"/>
    <w:rsid w:val="69C6294A"/>
    <w:rsid w:val="69E8123A"/>
    <w:rsid w:val="69ED7058"/>
    <w:rsid w:val="6A294973"/>
    <w:rsid w:val="6A505A77"/>
    <w:rsid w:val="6A6D2E29"/>
    <w:rsid w:val="6A763739"/>
    <w:rsid w:val="6A7B3237"/>
    <w:rsid w:val="6A7E0B45"/>
    <w:rsid w:val="6A9B2674"/>
    <w:rsid w:val="6AB14817"/>
    <w:rsid w:val="6ABB2BA8"/>
    <w:rsid w:val="6AC33838"/>
    <w:rsid w:val="6ACA31C3"/>
    <w:rsid w:val="6ACD5011"/>
    <w:rsid w:val="6AF6750A"/>
    <w:rsid w:val="6B2B49EC"/>
    <w:rsid w:val="6B2C421B"/>
    <w:rsid w:val="6B3B477B"/>
    <w:rsid w:val="6B525E41"/>
    <w:rsid w:val="6B772D94"/>
    <w:rsid w:val="6B8F25DF"/>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03C7E"/>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60B68"/>
    <w:rsid w:val="7ED72872"/>
    <w:rsid w:val="7EE556FE"/>
    <w:rsid w:val="7F194886"/>
    <w:rsid w:val="7F600889"/>
    <w:rsid w:val="7F602A87"/>
    <w:rsid w:val="7F710B4D"/>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autoRedefine/>
    <w:qFormat/>
    <w:uiPriority w:val="0"/>
    <w:pPr>
      <w:keepNext/>
      <w:keepLines/>
      <w:spacing w:line="360" w:lineRule="auto"/>
      <w:jc w:val="center"/>
      <w:outlineLvl w:val="0"/>
    </w:pPr>
    <w:rPr>
      <w:b/>
      <w:bCs/>
      <w:kern w:val="44"/>
      <w:sz w:val="32"/>
      <w:szCs w:val="44"/>
    </w:rPr>
  </w:style>
  <w:style w:type="paragraph" w:styleId="3">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4">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link w:val="36"/>
    <w:autoRedefine/>
    <w:qFormat/>
    <w:uiPriority w:val="0"/>
    <w:pPr>
      <w:jc w:val="left"/>
    </w:pPr>
  </w:style>
  <w:style w:type="paragraph" w:styleId="9">
    <w:name w:val="Body Text"/>
    <w:basedOn w:val="1"/>
    <w:next w:val="1"/>
    <w:autoRedefine/>
    <w:qFormat/>
    <w:uiPriority w:val="0"/>
    <w:pPr>
      <w:spacing w:line="480" w:lineRule="auto"/>
      <w:jc w:val="left"/>
    </w:pPr>
    <w:rPr>
      <w:sz w:val="24"/>
    </w:rPr>
  </w:style>
  <w:style w:type="paragraph" w:styleId="10">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1">
    <w:name w:val="Plain Text"/>
    <w:basedOn w:val="1"/>
    <w:link w:val="37"/>
    <w:autoRedefine/>
    <w:qFormat/>
    <w:uiPriority w:val="0"/>
    <w:rPr>
      <w:rFonts w:ascii="宋体" w:hAnsi="Courier New"/>
      <w:szCs w:val="21"/>
    </w:rPr>
  </w:style>
  <w:style w:type="paragraph" w:styleId="12">
    <w:name w:val="Date"/>
    <w:basedOn w:val="1"/>
    <w:next w:val="1"/>
    <w:link w:val="38"/>
    <w:autoRedefine/>
    <w:qFormat/>
    <w:uiPriority w:val="0"/>
    <w:pPr>
      <w:ind w:left="100" w:leftChars="2500"/>
    </w:pPr>
  </w:style>
  <w:style w:type="paragraph" w:styleId="13">
    <w:name w:val="Balloon Text"/>
    <w:basedOn w:val="1"/>
    <w:link w:val="39"/>
    <w:autoRedefine/>
    <w:qFormat/>
    <w:uiPriority w:val="0"/>
    <w:rPr>
      <w:sz w:val="18"/>
      <w:szCs w:val="18"/>
    </w:rPr>
  </w:style>
  <w:style w:type="paragraph" w:styleId="14">
    <w:name w:val="footer"/>
    <w:basedOn w:val="1"/>
    <w:link w:val="35"/>
    <w:autoRedefine/>
    <w:qFormat/>
    <w:uiPriority w:val="0"/>
    <w:pPr>
      <w:tabs>
        <w:tab w:val="center" w:pos="4140"/>
        <w:tab w:val="right" w:pos="8300"/>
      </w:tabs>
      <w:snapToGrid w:val="0"/>
      <w:jc w:val="left"/>
    </w:pPr>
    <w:rPr>
      <w:kern w:val="0"/>
      <w:sz w:val="18"/>
      <w:szCs w:val="18"/>
    </w:rPr>
  </w:style>
  <w:style w:type="paragraph" w:styleId="15">
    <w:name w:val="header"/>
    <w:basedOn w:val="1"/>
    <w:link w:val="40"/>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0"/>
    <w:pPr>
      <w:tabs>
        <w:tab w:val="right" w:leader="dot" w:pos="9420"/>
      </w:tabs>
      <w:spacing w:line="360" w:lineRule="auto"/>
    </w:pPr>
  </w:style>
  <w:style w:type="paragraph" w:styleId="17">
    <w:name w:val="Subtitle"/>
    <w:basedOn w:val="1"/>
    <w:next w:val="1"/>
    <w:link w:val="41"/>
    <w:autoRedefine/>
    <w:qFormat/>
    <w:uiPriority w:val="0"/>
    <w:pPr>
      <w:spacing w:before="240" w:after="60" w:line="312" w:lineRule="auto"/>
      <w:jc w:val="left"/>
      <w:outlineLvl w:val="1"/>
    </w:pPr>
    <w:rPr>
      <w:rFonts w:ascii="Cambria" w:hAnsi="Cambria"/>
      <w:b/>
      <w:bCs/>
      <w:kern w:val="28"/>
      <w:sz w:val="28"/>
      <w:szCs w:val="32"/>
    </w:rPr>
  </w:style>
  <w:style w:type="paragraph" w:styleId="18">
    <w:name w:val="toc 2"/>
    <w:basedOn w:val="1"/>
    <w:next w:val="1"/>
    <w:autoRedefine/>
    <w:qFormat/>
    <w:uiPriority w:val="0"/>
    <w:pPr>
      <w:ind w:left="420" w:leftChars="200"/>
    </w:pPr>
  </w:style>
  <w:style w:type="paragraph" w:styleId="19">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0">
    <w:name w:val="Normal (Web)"/>
    <w:basedOn w:val="1"/>
    <w:autoRedefine/>
    <w:qFormat/>
    <w:uiPriority w:val="0"/>
    <w:pPr>
      <w:spacing w:before="100" w:beforeAutospacing="1" w:after="100" w:afterAutospacing="1"/>
      <w:jc w:val="left"/>
    </w:pPr>
    <w:rPr>
      <w:kern w:val="0"/>
      <w:sz w:val="24"/>
    </w:rPr>
  </w:style>
  <w:style w:type="paragraph" w:styleId="21">
    <w:name w:val="Title"/>
    <w:basedOn w:val="1"/>
    <w:link w:val="42"/>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43"/>
    <w:autoRedefine/>
    <w:qFormat/>
    <w:uiPriority w:val="0"/>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rFonts w:ascii="Times New Roman" w:hAnsi="Times New Roman" w:eastAsia="宋体" w:cs="Times New Roman"/>
      <w:b/>
      <w:bCs/>
      <w:sz w:val="28"/>
    </w:rPr>
  </w:style>
  <w:style w:type="character" w:styleId="27">
    <w:name w:val="page number"/>
    <w:autoRedefine/>
    <w:qFormat/>
    <w:uiPriority w:val="0"/>
    <w:rPr>
      <w:rFonts w:ascii="Times New Roman" w:hAnsi="Times New Roman" w:eastAsia="宋体" w:cs="Times New Roman"/>
    </w:rPr>
  </w:style>
  <w:style w:type="character" w:styleId="28">
    <w:name w:val="Emphasis"/>
    <w:autoRedefine/>
    <w:qFormat/>
    <w:uiPriority w:val="0"/>
    <w:rPr>
      <w:rFonts w:ascii="Times New Roman" w:hAnsi="Times New Roman" w:eastAsia="宋体" w:cs="Times New Roman"/>
      <w:i/>
      <w:iCs/>
    </w:rPr>
  </w:style>
  <w:style w:type="character" w:styleId="29">
    <w:name w:val="Hyperlink"/>
    <w:autoRedefine/>
    <w:qFormat/>
    <w:uiPriority w:val="0"/>
    <w:rPr>
      <w:rFonts w:ascii="Times New Roman" w:hAnsi="Times New Roman" w:eastAsia="宋体" w:cs="Times New Roman"/>
      <w:color w:val="0000FF"/>
      <w:u w:val="single"/>
    </w:rPr>
  </w:style>
  <w:style w:type="character" w:styleId="30">
    <w:name w:val="annotation reference"/>
    <w:autoRedefine/>
    <w:qFormat/>
    <w:uiPriority w:val="0"/>
    <w:rPr>
      <w:rFonts w:ascii="Times New Roman" w:hAnsi="Times New Roman" w:eastAsia="宋体" w:cs="Times New Roman"/>
      <w:sz w:val="21"/>
      <w:szCs w:val="21"/>
    </w:rPr>
  </w:style>
  <w:style w:type="paragraph" w:customStyle="1" w:styleId="31">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标题 1 字符"/>
    <w:link w:val="2"/>
    <w:autoRedefine/>
    <w:qFormat/>
    <w:uiPriority w:val="0"/>
    <w:rPr>
      <w:rFonts w:ascii="Times New Roman" w:hAnsi="Times New Roman" w:eastAsia="宋体" w:cs="Times New Roman"/>
      <w:b/>
      <w:bCs/>
      <w:kern w:val="44"/>
      <w:sz w:val="32"/>
      <w:szCs w:val="44"/>
    </w:rPr>
  </w:style>
  <w:style w:type="character" w:customStyle="1" w:styleId="35">
    <w:name w:val="页脚 字符"/>
    <w:link w:val="14"/>
    <w:autoRedefine/>
    <w:qFormat/>
    <w:uiPriority w:val="0"/>
    <w:rPr>
      <w:rFonts w:ascii="Times New Roman" w:hAnsi="Times New Roman" w:eastAsia="宋体" w:cs="Times New Roman"/>
      <w:sz w:val="18"/>
      <w:szCs w:val="18"/>
    </w:rPr>
  </w:style>
  <w:style w:type="character" w:customStyle="1" w:styleId="36">
    <w:name w:val="批注文字 字符"/>
    <w:link w:val="8"/>
    <w:autoRedefine/>
    <w:qFormat/>
    <w:uiPriority w:val="0"/>
    <w:rPr>
      <w:rFonts w:ascii="Times New Roman" w:hAnsi="Times New Roman" w:eastAsia="宋体" w:cs="Times New Roman"/>
      <w:kern w:val="2"/>
      <w:sz w:val="21"/>
      <w:szCs w:val="22"/>
    </w:rPr>
  </w:style>
  <w:style w:type="character" w:customStyle="1" w:styleId="37">
    <w:name w:val="纯文本 字符"/>
    <w:link w:val="11"/>
    <w:autoRedefine/>
    <w:qFormat/>
    <w:uiPriority w:val="0"/>
    <w:rPr>
      <w:rFonts w:ascii="宋体" w:hAnsi="Courier New" w:eastAsia="宋体" w:cs="Times New Roman"/>
      <w:kern w:val="2"/>
      <w:sz w:val="21"/>
      <w:szCs w:val="21"/>
    </w:rPr>
  </w:style>
  <w:style w:type="character" w:customStyle="1" w:styleId="38">
    <w:name w:val="日期 字符"/>
    <w:link w:val="12"/>
    <w:autoRedefine/>
    <w:qFormat/>
    <w:uiPriority w:val="0"/>
    <w:rPr>
      <w:rFonts w:ascii="Times New Roman" w:hAnsi="Times New Roman" w:eastAsia="宋体" w:cs="Times New Roman"/>
      <w:kern w:val="2"/>
      <w:sz w:val="21"/>
      <w:szCs w:val="22"/>
    </w:rPr>
  </w:style>
  <w:style w:type="character" w:customStyle="1" w:styleId="39">
    <w:name w:val="批注框文本 字符"/>
    <w:link w:val="13"/>
    <w:autoRedefine/>
    <w:qFormat/>
    <w:uiPriority w:val="0"/>
    <w:rPr>
      <w:rFonts w:ascii="Times New Roman" w:hAnsi="Times New Roman" w:eastAsia="宋体" w:cs="Times New Roman"/>
      <w:kern w:val="2"/>
      <w:sz w:val="18"/>
      <w:szCs w:val="18"/>
    </w:rPr>
  </w:style>
  <w:style w:type="character" w:customStyle="1" w:styleId="40">
    <w:name w:val="页眉 字符"/>
    <w:link w:val="15"/>
    <w:autoRedefine/>
    <w:qFormat/>
    <w:uiPriority w:val="0"/>
    <w:rPr>
      <w:rFonts w:ascii="Times New Roman" w:hAnsi="Times New Roman" w:eastAsia="宋体" w:cs="Times New Roman"/>
      <w:sz w:val="18"/>
      <w:szCs w:val="18"/>
    </w:rPr>
  </w:style>
  <w:style w:type="character" w:customStyle="1" w:styleId="41">
    <w:name w:val="副标题 字符"/>
    <w:link w:val="17"/>
    <w:autoRedefine/>
    <w:qFormat/>
    <w:uiPriority w:val="0"/>
    <w:rPr>
      <w:rFonts w:ascii="Cambria" w:hAnsi="Cambria" w:eastAsia="宋体" w:cs="Times New Roman"/>
      <w:b/>
      <w:bCs/>
      <w:kern w:val="28"/>
      <w:sz w:val="28"/>
      <w:szCs w:val="32"/>
    </w:rPr>
  </w:style>
  <w:style w:type="character" w:customStyle="1" w:styleId="42">
    <w:name w:val="标题 字符"/>
    <w:link w:val="21"/>
    <w:autoRedefine/>
    <w:qFormat/>
    <w:uiPriority w:val="0"/>
    <w:rPr>
      <w:rFonts w:ascii="Cambria" w:hAnsi="Cambria" w:cs="Times New Roman"/>
      <w:b/>
      <w:bCs/>
      <w:kern w:val="2"/>
      <w:sz w:val="32"/>
      <w:szCs w:val="32"/>
    </w:rPr>
  </w:style>
  <w:style w:type="character" w:customStyle="1" w:styleId="43">
    <w:name w:val="批注主题 字符"/>
    <w:link w:val="22"/>
    <w:autoRedefine/>
    <w:qFormat/>
    <w:uiPriority w:val="0"/>
    <w:rPr>
      <w:rFonts w:ascii="Times New Roman" w:hAnsi="Times New Roman" w:eastAsia="宋体" w:cs="Times New Roman"/>
      <w:b/>
      <w:bCs/>
      <w:kern w:val="2"/>
      <w:sz w:val="21"/>
      <w:szCs w:val="22"/>
    </w:rPr>
  </w:style>
  <w:style w:type="character" w:customStyle="1" w:styleId="44">
    <w:name w:val="font41"/>
    <w:autoRedefine/>
    <w:qFormat/>
    <w:uiPriority w:val="0"/>
    <w:rPr>
      <w:rFonts w:hint="default" w:ascii="Times New Roman" w:hAnsi="Times New Roman" w:eastAsia="宋体" w:cs="Times New Roman"/>
      <w:color w:val="000000"/>
      <w:sz w:val="22"/>
      <w:szCs w:val="22"/>
      <w:u w:val="none"/>
    </w:rPr>
  </w:style>
  <w:style w:type="character" w:customStyle="1" w:styleId="45">
    <w:name w:val="font51"/>
    <w:autoRedefine/>
    <w:qFormat/>
    <w:uiPriority w:val="0"/>
    <w:rPr>
      <w:rFonts w:hint="eastAsia" w:ascii="宋体" w:hAnsi="宋体" w:eastAsia="宋体" w:cs="宋体"/>
      <w:color w:val="000000"/>
      <w:sz w:val="22"/>
      <w:szCs w:val="22"/>
      <w:u w:val="none"/>
    </w:rPr>
  </w:style>
  <w:style w:type="character" w:customStyle="1" w:styleId="46">
    <w:name w:val="font61"/>
    <w:autoRedefine/>
    <w:qFormat/>
    <w:uiPriority w:val="0"/>
    <w:rPr>
      <w:rFonts w:hint="eastAsia" w:ascii="宋体" w:hAnsi="宋体" w:eastAsia="宋体" w:cs="宋体"/>
      <w:b/>
      <w:color w:val="000000"/>
      <w:sz w:val="18"/>
      <w:szCs w:val="18"/>
      <w:u w:val="none"/>
    </w:rPr>
  </w:style>
  <w:style w:type="character" w:customStyle="1" w:styleId="47">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48">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49">
    <w:name w:val="font11"/>
    <w:autoRedefine/>
    <w:qFormat/>
    <w:uiPriority w:val="0"/>
    <w:rPr>
      <w:rFonts w:hint="default" w:ascii="Times New Roman" w:hAnsi="Times New Roman" w:eastAsia="宋体" w:cs="Times New Roman"/>
      <w:color w:val="000000"/>
      <w:sz w:val="22"/>
      <w:szCs w:val="22"/>
      <w:u w:val="none"/>
    </w:rPr>
  </w:style>
  <w:style w:type="character" w:customStyle="1" w:styleId="50">
    <w:name w:val="font21"/>
    <w:autoRedefine/>
    <w:qFormat/>
    <w:uiPriority w:val="0"/>
    <w:rPr>
      <w:rFonts w:hint="default" w:ascii="Times New Roman" w:hAnsi="Times New Roman" w:eastAsia="宋体" w:cs="Times New Roman"/>
      <w:color w:val="000000"/>
      <w:sz w:val="22"/>
      <w:szCs w:val="22"/>
      <w:u w:val="none"/>
    </w:rPr>
  </w:style>
  <w:style w:type="character" w:customStyle="1" w:styleId="51">
    <w:name w:val="纯文本 Char1"/>
    <w:autoRedefine/>
    <w:qFormat/>
    <w:uiPriority w:val="0"/>
    <w:rPr>
      <w:rFonts w:ascii="宋体" w:hAnsi="Courier New" w:eastAsia="宋体" w:cs="Times New Roman"/>
      <w:kern w:val="2"/>
      <w:sz w:val="21"/>
      <w:szCs w:val="21"/>
      <w:lang w:val="en-US" w:eastAsia="zh-CN" w:bidi="ar-SA"/>
    </w:rPr>
  </w:style>
  <w:style w:type="character" w:customStyle="1" w:styleId="52">
    <w:name w:val="页眉 Char1"/>
    <w:autoRedefine/>
    <w:qFormat/>
    <w:uiPriority w:val="0"/>
    <w:rPr>
      <w:rFonts w:ascii="Times New Roman" w:hAnsi="Times New Roman" w:eastAsia="宋体" w:cs="Times New Roman"/>
      <w:sz w:val="18"/>
      <w:szCs w:val="18"/>
    </w:rPr>
  </w:style>
  <w:style w:type="character" w:customStyle="1" w:styleId="53">
    <w:name w:val="font31"/>
    <w:autoRedefine/>
    <w:qFormat/>
    <w:uiPriority w:val="0"/>
    <w:rPr>
      <w:rFonts w:hint="eastAsia" w:ascii="宋体" w:hAnsi="宋体" w:eastAsia="宋体" w:cs="宋体"/>
      <w:color w:val="000000"/>
      <w:sz w:val="22"/>
      <w:szCs w:val="22"/>
      <w:u w:val="none"/>
    </w:rPr>
  </w:style>
  <w:style w:type="paragraph" w:customStyle="1" w:styleId="54">
    <w:name w:val="p0"/>
    <w:basedOn w:val="1"/>
    <w:autoRedefine/>
    <w:qFormat/>
    <w:uiPriority w:val="0"/>
    <w:pPr>
      <w:widowControl/>
      <w:jc w:val="left"/>
    </w:pPr>
    <w:rPr>
      <w:rFonts w:ascii="宋体" w:hAnsi="宋体" w:cs="宋体"/>
      <w:kern w:val="0"/>
      <w:sz w:val="24"/>
      <w:szCs w:val="24"/>
    </w:rPr>
  </w:style>
  <w:style w:type="paragraph" w:customStyle="1" w:styleId="55">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3"/>
    <w:basedOn w:val="1"/>
    <w:autoRedefine/>
    <w:qFormat/>
    <w:uiPriority w:val="0"/>
    <w:pPr>
      <w:spacing w:line="480" w:lineRule="auto"/>
      <w:jc w:val="left"/>
    </w:pPr>
    <w:rPr>
      <w:sz w:val="24"/>
    </w:rPr>
  </w:style>
  <w:style w:type="paragraph" w:customStyle="1" w:styleId="58">
    <w:name w:val="列表段落1"/>
    <w:basedOn w:val="1"/>
    <w:autoRedefine/>
    <w:qFormat/>
    <w:uiPriority w:val="0"/>
    <w:pPr>
      <w:ind w:firstLine="420" w:firstLineChars="200"/>
    </w:pPr>
  </w:style>
  <w:style w:type="paragraph" w:customStyle="1" w:styleId="59">
    <w:name w:val="Char Char Char Char Char Char Char"/>
    <w:basedOn w:val="7"/>
    <w:autoRedefine/>
    <w:qFormat/>
    <w:uiPriority w:val="0"/>
    <w:pPr>
      <w:adjustRightInd w:val="0"/>
      <w:spacing w:line="436" w:lineRule="exact"/>
      <w:ind w:left="357"/>
      <w:jc w:val="left"/>
      <w:outlineLvl w:val="3"/>
    </w:pPr>
  </w:style>
  <w:style w:type="paragraph" w:customStyle="1" w:styleId="60">
    <w:name w:val="列出段落1"/>
    <w:basedOn w:val="1"/>
    <w:autoRedefine/>
    <w:qFormat/>
    <w:uiPriority w:val="0"/>
    <w:pPr>
      <w:ind w:firstLine="420" w:firstLineChars="200"/>
    </w:pPr>
    <w:rPr>
      <w:rFonts w:ascii="Calibri" w:hAnsi="Calibri"/>
    </w:rPr>
  </w:style>
  <w:style w:type="paragraph" w:customStyle="1" w:styleId="61">
    <w:name w:val="_Style 57"/>
    <w:basedOn w:val="2"/>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2">
    <w:name w:val="正文文本1"/>
    <w:basedOn w:val="1"/>
    <w:autoRedefine/>
    <w:qFormat/>
    <w:uiPriority w:val="0"/>
    <w:pPr>
      <w:spacing w:line="480" w:lineRule="auto"/>
      <w:jc w:val="left"/>
      <w:textAlignment w:val="baseline"/>
    </w:pPr>
    <w:rPr>
      <w:sz w:val="24"/>
    </w:rPr>
  </w:style>
  <w:style w:type="paragraph" w:customStyle="1" w:styleId="63">
    <w:name w:val="正文字缩2字"/>
    <w:basedOn w:val="1"/>
    <w:autoRedefine/>
    <w:qFormat/>
    <w:uiPriority w:val="0"/>
    <w:pPr>
      <w:spacing w:before="60" w:after="60" w:line="360" w:lineRule="auto"/>
      <w:ind w:left="200" w:leftChars="200" w:firstLine="200" w:firstLineChars="200"/>
    </w:pPr>
    <w:rPr>
      <w:sz w:val="24"/>
    </w:rPr>
  </w:style>
  <w:style w:type="paragraph" w:customStyle="1" w:styleId="64">
    <w:name w:val="正文文本11"/>
    <w:basedOn w:val="1"/>
    <w:autoRedefine/>
    <w:qFormat/>
    <w:uiPriority w:val="0"/>
    <w:pPr>
      <w:spacing w:line="480" w:lineRule="auto"/>
      <w:jc w:val="left"/>
    </w:pPr>
    <w:rPr>
      <w:sz w:val="24"/>
    </w:rPr>
  </w:style>
  <w:style w:type="paragraph" w:customStyle="1" w:styleId="65">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6">
    <w:name w:val="Table Paragraph"/>
    <w:basedOn w:val="1"/>
    <w:autoRedefine/>
    <w:qFormat/>
    <w:uiPriority w:val="0"/>
  </w:style>
  <w:style w:type="paragraph" w:customStyle="1" w:styleId="67">
    <w:name w:val="UserStyle_0"/>
    <w:basedOn w:val="1"/>
    <w:autoRedefine/>
    <w:qFormat/>
    <w:uiPriority w:val="0"/>
    <w:pPr>
      <w:spacing w:line="480" w:lineRule="auto"/>
      <w:jc w:val="left"/>
      <w:textAlignment w:val="baseline"/>
    </w:pPr>
    <w:rPr>
      <w:sz w:val="24"/>
    </w:rPr>
  </w:style>
  <w:style w:type="paragraph" w:customStyle="1" w:styleId="68">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0">
    <w:name w:val="网格型2"/>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2">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3">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4">
    <w:name w:val="合同一级标题"/>
    <w:basedOn w:val="21"/>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5">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6">
    <w:name w:val="合同三级标题"/>
    <w:basedOn w:val="1"/>
    <w:next w:val="73"/>
    <w:link w:val="78"/>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7">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8">
    <w:name w:val="合同三级标题 Char1"/>
    <w:link w:val="76"/>
    <w:autoRedefine/>
    <w:qFormat/>
    <w:uiPriority w:val="0"/>
    <w:rPr>
      <w:rFonts w:asciiTheme="minorAscii" w:hAnsiTheme="minorAscii" w:eastAsiaTheme="minorEastAsia" w:cstheme="minorEastAsia"/>
      <w:snapToGrid w:val="0"/>
      <w:color w:val="000000"/>
      <w:kern w:val="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16162</Words>
  <Characters>16440</Characters>
  <Lines>123</Lines>
  <Paragraphs>34</Paragraphs>
  <TotalTime>4</TotalTime>
  <ScaleCrop>false</ScaleCrop>
  <LinksUpToDate>false</LinksUpToDate>
  <CharactersWithSpaces>17297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2025-11-03T07:24:41Z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EF6CD757B46942089C208B644A387B2A_13</vt:lpwstr>
  </property>
  <property fmtid="{D5CDD505-2E9C-101B-9397-08002B2CF9AE}" pid="4" name="KSOTemplateDocerSaveRecord">
    <vt:lpwstr>eyJoZGlkIjoiMzEwNTM5NzYwMDRjMzkwZTVkZjY2ODkwMGIxNGU0OTUifQ==</vt:lpwstr>
  </property>
</Properties>
</file>