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02E0B">
      <w:pPr>
        <w:pStyle w:val="3"/>
        <w:spacing w:line="360" w:lineRule="auto"/>
        <w:jc w:val="center"/>
        <w:rPr>
          <w:rFonts w:hint="eastAsia"/>
          <w:sz w:val="36"/>
          <w:highlight w:val="none"/>
        </w:rPr>
      </w:pPr>
      <w:bookmarkStart w:id="0" w:name="_Toc3011"/>
      <w:bookmarkStart w:id="1" w:name="_Toc25725118"/>
      <w:r>
        <w:rPr>
          <w:rFonts w:hint="eastAsia"/>
          <w:sz w:val="36"/>
          <w:highlight w:val="none"/>
          <w:lang w:eastAsia="zh-CN"/>
        </w:rPr>
        <w:t>物流信创电脑</w:t>
      </w:r>
      <w:r>
        <w:rPr>
          <w:rFonts w:hint="eastAsia"/>
          <w:sz w:val="36"/>
          <w:highlight w:val="none"/>
        </w:rPr>
        <w:t>采购项目询价公告</w:t>
      </w:r>
      <w:bookmarkEnd w:id="0"/>
      <w:bookmarkEnd w:id="1"/>
    </w:p>
    <w:p w14:paraId="34D43BCF">
      <w:pPr>
        <w:spacing w:line="360" w:lineRule="auto"/>
        <w:ind w:firstLine="480" w:firstLineChars="200"/>
      </w:pPr>
      <w:r>
        <w:rPr>
          <w:rFonts w:hint="eastAsia"/>
        </w:rPr>
        <w:t>湖北机场集团信息科技有限公司对物流信创电脑采购项目进行询价，湖北机场集团信息科技有限公司负责经办，所有询价采购事宜由湖北机场集团信息科技有限公司负责联系。</w:t>
      </w:r>
    </w:p>
    <w:p w14:paraId="6A41E3D1">
      <w:pPr>
        <w:pStyle w:val="4"/>
        <w:numPr>
          <w:ilvl w:val="0"/>
          <w:numId w:val="3"/>
        </w:numPr>
        <w:spacing w:line="360" w:lineRule="auto"/>
        <w:rPr>
          <w:sz w:val="30"/>
        </w:rPr>
      </w:pPr>
      <w:bookmarkStart w:id="2" w:name="_Toc7671"/>
      <w:bookmarkStart w:id="3" w:name="_Toc212214644"/>
      <w:bookmarkStart w:id="4" w:name="_Toc25725119"/>
      <w:bookmarkStart w:id="5" w:name="_Toc11641051"/>
      <w:r>
        <w:rPr>
          <w:rFonts w:hint="eastAsia"/>
          <w:sz w:val="30"/>
        </w:rPr>
        <w:t>询价内容：</w:t>
      </w:r>
      <w:bookmarkEnd w:id="2"/>
      <w:bookmarkEnd w:id="3"/>
    </w:p>
    <w:tbl>
      <w:tblPr>
        <w:tblStyle w:val="36"/>
        <w:tblW w:w="8418" w:type="dxa"/>
        <w:tblInd w:w="113" w:type="dxa"/>
        <w:tblLayout w:type="fixed"/>
        <w:tblCellMar>
          <w:top w:w="0" w:type="dxa"/>
          <w:left w:w="108" w:type="dxa"/>
          <w:bottom w:w="0" w:type="dxa"/>
          <w:right w:w="108" w:type="dxa"/>
        </w:tblCellMar>
      </w:tblPr>
      <w:tblGrid>
        <w:gridCol w:w="903"/>
        <w:gridCol w:w="1605"/>
        <w:gridCol w:w="4740"/>
        <w:gridCol w:w="1170"/>
      </w:tblGrid>
      <w:tr w14:paraId="3674C6F0">
        <w:tblPrEx>
          <w:tblCellMar>
            <w:top w:w="0" w:type="dxa"/>
            <w:left w:w="108" w:type="dxa"/>
            <w:bottom w:w="0" w:type="dxa"/>
            <w:right w:w="108" w:type="dxa"/>
          </w:tblCellMar>
        </w:tblPrEx>
        <w:trPr>
          <w:trHeight w:val="140" w:hRule="atLeast"/>
        </w:trPr>
        <w:tc>
          <w:tcPr>
            <w:tcW w:w="903" w:type="dxa"/>
            <w:tcBorders>
              <w:top w:val="single" w:color="auto" w:sz="4" w:space="0"/>
              <w:left w:val="single" w:color="auto" w:sz="4" w:space="0"/>
              <w:bottom w:val="single" w:color="auto" w:sz="4" w:space="0"/>
              <w:right w:val="single" w:color="auto" w:sz="4" w:space="0"/>
            </w:tcBorders>
            <w:noWrap/>
            <w:vAlign w:val="center"/>
          </w:tcPr>
          <w:p w14:paraId="0E306D39">
            <w:pPr>
              <w:jc w:val="center"/>
              <w:rPr>
                <w:rFonts w:hint="eastAsia"/>
                <w:color w:val="000000"/>
                <w:sz w:val="22"/>
                <w:szCs w:val="22"/>
              </w:rPr>
            </w:pPr>
            <w:r>
              <w:rPr>
                <w:rFonts w:hint="eastAsia"/>
                <w:color w:val="000000"/>
                <w:sz w:val="22"/>
                <w:szCs w:val="22"/>
              </w:rPr>
              <w:t>序号</w:t>
            </w:r>
          </w:p>
        </w:tc>
        <w:tc>
          <w:tcPr>
            <w:tcW w:w="1605" w:type="dxa"/>
            <w:tcBorders>
              <w:top w:val="single" w:color="auto" w:sz="4" w:space="0"/>
              <w:left w:val="single" w:color="auto" w:sz="4" w:space="0"/>
              <w:bottom w:val="single" w:color="auto" w:sz="4" w:space="0"/>
              <w:right w:val="single" w:color="auto" w:sz="4" w:space="0"/>
            </w:tcBorders>
            <w:noWrap/>
            <w:vAlign w:val="center"/>
          </w:tcPr>
          <w:p w14:paraId="215F8A6B">
            <w:pPr>
              <w:jc w:val="center"/>
              <w:rPr>
                <w:color w:val="000000"/>
                <w:sz w:val="22"/>
                <w:szCs w:val="22"/>
              </w:rPr>
            </w:pPr>
            <w:r>
              <w:rPr>
                <w:rFonts w:hint="eastAsia"/>
                <w:color w:val="000000"/>
                <w:sz w:val="22"/>
                <w:szCs w:val="22"/>
              </w:rPr>
              <w:t>型号</w:t>
            </w:r>
          </w:p>
        </w:tc>
        <w:tc>
          <w:tcPr>
            <w:tcW w:w="4740" w:type="dxa"/>
            <w:tcBorders>
              <w:top w:val="single" w:color="auto" w:sz="4" w:space="0"/>
              <w:left w:val="nil"/>
              <w:bottom w:val="single" w:color="auto" w:sz="4" w:space="0"/>
              <w:right w:val="single" w:color="auto" w:sz="4" w:space="0"/>
            </w:tcBorders>
            <w:noWrap/>
            <w:vAlign w:val="center"/>
          </w:tcPr>
          <w:p w14:paraId="3D8D68C9">
            <w:pPr>
              <w:jc w:val="center"/>
              <w:rPr>
                <w:rFonts w:hint="eastAsia"/>
                <w:color w:val="000000"/>
              </w:rPr>
            </w:pPr>
            <w:r>
              <w:rPr>
                <w:rFonts w:hint="eastAsia"/>
                <w:color w:val="000000"/>
              </w:rPr>
              <w:t>配置</w:t>
            </w:r>
          </w:p>
        </w:tc>
        <w:tc>
          <w:tcPr>
            <w:tcW w:w="1170" w:type="dxa"/>
            <w:tcBorders>
              <w:top w:val="single" w:color="auto" w:sz="4" w:space="0"/>
              <w:left w:val="nil"/>
              <w:bottom w:val="single" w:color="auto" w:sz="4" w:space="0"/>
              <w:right w:val="single" w:color="auto" w:sz="4" w:space="0"/>
            </w:tcBorders>
            <w:noWrap/>
            <w:vAlign w:val="center"/>
          </w:tcPr>
          <w:p w14:paraId="55E59FB5">
            <w:pPr>
              <w:jc w:val="center"/>
              <w:rPr>
                <w:color w:val="000000"/>
              </w:rPr>
            </w:pPr>
            <w:r>
              <w:rPr>
                <w:rFonts w:hint="eastAsia"/>
                <w:color w:val="000000"/>
              </w:rPr>
              <w:t>数量</w:t>
            </w:r>
          </w:p>
          <w:p w14:paraId="208E9C2F">
            <w:pPr>
              <w:jc w:val="center"/>
              <w:rPr>
                <w:rFonts w:hint="eastAsia"/>
                <w:color w:val="000000"/>
              </w:rPr>
            </w:pPr>
            <w:r>
              <w:rPr>
                <w:rFonts w:hint="eastAsia"/>
                <w:color w:val="000000"/>
              </w:rPr>
              <w:t>（台）</w:t>
            </w:r>
          </w:p>
        </w:tc>
      </w:tr>
      <w:tr w14:paraId="69F6271D">
        <w:tblPrEx>
          <w:tblCellMar>
            <w:top w:w="0" w:type="dxa"/>
            <w:left w:w="108" w:type="dxa"/>
            <w:bottom w:w="0" w:type="dxa"/>
            <w:right w:w="108" w:type="dxa"/>
          </w:tblCellMar>
        </w:tblPrEx>
        <w:trPr>
          <w:trHeight w:val="175" w:hRule="atLeast"/>
        </w:trPr>
        <w:tc>
          <w:tcPr>
            <w:tcW w:w="903" w:type="dxa"/>
            <w:tcBorders>
              <w:top w:val="nil"/>
              <w:left w:val="single" w:color="auto" w:sz="4" w:space="0"/>
              <w:bottom w:val="single" w:color="auto" w:sz="4" w:space="0"/>
              <w:right w:val="single" w:color="auto" w:sz="4" w:space="0"/>
            </w:tcBorders>
            <w:noWrap/>
            <w:vAlign w:val="center"/>
          </w:tcPr>
          <w:p w14:paraId="011B3540">
            <w:pPr>
              <w:jc w:val="center"/>
              <w:rPr>
                <w:rFonts w:hint="eastAsia"/>
                <w:color w:val="000000"/>
              </w:rPr>
            </w:pPr>
            <w:r>
              <w:rPr>
                <w:rFonts w:hint="eastAsia"/>
                <w:color w:val="000000"/>
              </w:rPr>
              <w:t>1</w:t>
            </w:r>
          </w:p>
        </w:tc>
        <w:tc>
          <w:tcPr>
            <w:tcW w:w="1605" w:type="dxa"/>
            <w:tcBorders>
              <w:top w:val="nil"/>
              <w:left w:val="single" w:color="auto" w:sz="4" w:space="0"/>
              <w:bottom w:val="single" w:color="auto" w:sz="4" w:space="0"/>
              <w:right w:val="single" w:color="auto" w:sz="4" w:space="0"/>
            </w:tcBorders>
            <w:noWrap/>
            <w:vAlign w:val="center"/>
          </w:tcPr>
          <w:p w14:paraId="46123B5C">
            <w:pPr>
              <w:jc w:val="center"/>
              <w:rPr>
                <w:rFonts w:hint="eastAsia"/>
                <w:color w:val="000000"/>
              </w:rPr>
            </w:pPr>
            <w:r>
              <w:rPr>
                <w:rFonts w:hint="eastAsia"/>
                <w:color w:val="000000"/>
              </w:rPr>
              <w:t xml:space="preserve">台式机攀升览峰泰山 Z210 </w:t>
            </w:r>
          </w:p>
        </w:tc>
        <w:tc>
          <w:tcPr>
            <w:tcW w:w="4740" w:type="dxa"/>
            <w:tcBorders>
              <w:top w:val="nil"/>
              <w:left w:val="nil"/>
              <w:bottom w:val="single" w:color="auto" w:sz="4" w:space="0"/>
              <w:right w:val="single" w:color="auto" w:sz="4" w:space="0"/>
            </w:tcBorders>
            <w:noWrap w:val="0"/>
            <w:vAlign w:val="center"/>
          </w:tcPr>
          <w:p w14:paraId="77F17622">
            <w:pPr>
              <w:jc w:val="center"/>
              <w:rPr>
                <w:color w:val="000000"/>
              </w:rPr>
            </w:pPr>
            <w:r>
              <w:rPr>
                <w:rFonts w:hint="eastAsia"/>
                <w:color w:val="000000"/>
              </w:rPr>
              <w:t>兆芯KX-u6780A/16G/512G固态/独显/不含显示器/无线键鼠(罗技)/USB HUB/信创操作系统</w:t>
            </w:r>
          </w:p>
        </w:tc>
        <w:tc>
          <w:tcPr>
            <w:tcW w:w="1170" w:type="dxa"/>
            <w:tcBorders>
              <w:top w:val="nil"/>
              <w:left w:val="nil"/>
              <w:bottom w:val="single" w:color="auto" w:sz="4" w:space="0"/>
              <w:right w:val="single" w:color="auto" w:sz="4" w:space="0"/>
            </w:tcBorders>
            <w:noWrap/>
            <w:vAlign w:val="center"/>
          </w:tcPr>
          <w:p w14:paraId="5B338F48">
            <w:pPr>
              <w:jc w:val="center"/>
              <w:rPr>
                <w:rFonts w:hint="eastAsia"/>
                <w:color w:val="000000"/>
              </w:rPr>
            </w:pPr>
            <w:r>
              <w:rPr>
                <w:rFonts w:hint="eastAsia"/>
                <w:color w:val="000000"/>
              </w:rPr>
              <w:t>18</w:t>
            </w:r>
          </w:p>
        </w:tc>
      </w:tr>
      <w:tr w14:paraId="4FEFB877">
        <w:tblPrEx>
          <w:tblCellMar>
            <w:top w:w="0" w:type="dxa"/>
            <w:left w:w="108" w:type="dxa"/>
            <w:bottom w:w="0" w:type="dxa"/>
            <w:right w:w="108" w:type="dxa"/>
          </w:tblCellMar>
        </w:tblPrEx>
        <w:trPr>
          <w:trHeight w:val="187" w:hRule="atLeast"/>
        </w:trPr>
        <w:tc>
          <w:tcPr>
            <w:tcW w:w="903" w:type="dxa"/>
            <w:tcBorders>
              <w:top w:val="nil"/>
              <w:left w:val="single" w:color="auto" w:sz="4" w:space="0"/>
              <w:bottom w:val="single" w:color="auto" w:sz="4" w:space="0"/>
              <w:right w:val="single" w:color="auto" w:sz="4" w:space="0"/>
            </w:tcBorders>
            <w:noWrap/>
            <w:vAlign w:val="center"/>
          </w:tcPr>
          <w:p w14:paraId="2EC840B5">
            <w:pPr>
              <w:jc w:val="center"/>
              <w:rPr>
                <w:rFonts w:hint="eastAsia"/>
                <w:color w:val="000000"/>
              </w:rPr>
            </w:pPr>
            <w:r>
              <w:rPr>
                <w:rFonts w:hint="eastAsia"/>
                <w:color w:val="000000"/>
              </w:rPr>
              <w:t>2</w:t>
            </w:r>
          </w:p>
        </w:tc>
        <w:tc>
          <w:tcPr>
            <w:tcW w:w="1605" w:type="dxa"/>
            <w:tcBorders>
              <w:top w:val="nil"/>
              <w:left w:val="single" w:color="auto" w:sz="4" w:space="0"/>
              <w:bottom w:val="single" w:color="auto" w:sz="4" w:space="0"/>
              <w:right w:val="single" w:color="auto" w:sz="4" w:space="0"/>
            </w:tcBorders>
            <w:noWrap/>
            <w:vAlign w:val="center"/>
          </w:tcPr>
          <w:p w14:paraId="0F65BDD4">
            <w:pPr>
              <w:jc w:val="center"/>
              <w:rPr>
                <w:rFonts w:hint="eastAsia"/>
                <w:color w:val="000000"/>
              </w:rPr>
            </w:pPr>
            <w:r>
              <w:rPr>
                <w:rFonts w:hint="eastAsia"/>
                <w:color w:val="000000"/>
              </w:rPr>
              <w:t>笔记本紫光恒越 L3893 G2</w:t>
            </w:r>
          </w:p>
        </w:tc>
        <w:tc>
          <w:tcPr>
            <w:tcW w:w="4740" w:type="dxa"/>
            <w:tcBorders>
              <w:top w:val="nil"/>
              <w:left w:val="nil"/>
              <w:bottom w:val="single" w:color="auto" w:sz="4" w:space="0"/>
              <w:right w:val="single" w:color="auto" w:sz="4" w:space="0"/>
            </w:tcBorders>
            <w:noWrap w:val="0"/>
            <w:vAlign w:val="center"/>
          </w:tcPr>
          <w:p w14:paraId="2F6FB906">
            <w:pPr>
              <w:rPr>
                <w:rFonts w:hint="eastAsia"/>
                <w:color w:val="000000"/>
              </w:rPr>
            </w:pPr>
            <w:r>
              <w:rPr>
                <w:rFonts w:hint="eastAsia"/>
                <w:color w:val="000000"/>
              </w:rPr>
              <w:t>兆芯KX-U6780A/16G/512G固态/14英寸/包鼠/1T固态移动硬盘/信创操作系统</w:t>
            </w:r>
          </w:p>
        </w:tc>
        <w:tc>
          <w:tcPr>
            <w:tcW w:w="1170" w:type="dxa"/>
            <w:tcBorders>
              <w:top w:val="nil"/>
              <w:left w:val="nil"/>
              <w:bottom w:val="single" w:color="auto" w:sz="4" w:space="0"/>
              <w:right w:val="single" w:color="auto" w:sz="4" w:space="0"/>
            </w:tcBorders>
            <w:noWrap/>
            <w:vAlign w:val="center"/>
          </w:tcPr>
          <w:p w14:paraId="08259AED">
            <w:pPr>
              <w:jc w:val="center"/>
              <w:rPr>
                <w:rFonts w:hint="eastAsia"/>
                <w:color w:val="000000"/>
              </w:rPr>
            </w:pPr>
            <w:r>
              <w:rPr>
                <w:rFonts w:hint="eastAsia"/>
                <w:color w:val="000000"/>
              </w:rPr>
              <w:t>2</w:t>
            </w:r>
          </w:p>
        </w:tc>
      </w:tr>
    </w:tbl>
    <w:p w14:paraId="7BDED0E0">
      <w:pPr>
        <w:pStyle w:val="11"/>
        <w:rPr>
          <w:rFonts w:hint="eastAsia"/>
        </w:rPr>
      </w:pPr>
    </w:p>
    <w:p w14:paraId="15701CED">
      <w:pPr>
        <w:spacing w:line="360" w:lineRule="auto"/>
        <w:ind w:firstLine="480" w:firstLineChars="200"/>
      </w:pPr>
      <w:r>
        <w:rPr>
          <w:rFonts w:hint="eastAsia"/>
        </w:rPr>
        <w:t>采购预算（含税）：</w:t>
      </w:r>
      <w:r>
        <w:rPr>
          <w:rFonts w:hint="eastAsia"/>
          <w:u w:val="single"/>
        </w:rPr>
        <w:t>人民币玖万叁仟壹佰元整（￥93100.00）</w:t>
      </w:r>
      <w:r>
        <w:rPr>
          <w:rFonts w:hint="eastAsia"/>
        </w:rPr>
        <w:t>，响应总报价超过采购预算金额的，其报价无效。总报价应包括完成项目所需的一切费用，包括但不限于运输费、质保期售后服务费、税费等。</w:t>
      </w:r>
    </w:p>
    <w:p w14:paraId="5CBD8F0A">
      <w:pPr>
        <w:pStyle w:val="4"/>
        <w:spacing w:line="360" w:lineRule="auto"/>
        <w:ind w:firstLine="527"/>
        <w:rPr>
          <w:rFonts w:hint="eastAsia"/>
          <w:sz w:val="30"/>
        </w:rPr>
      </w:pPr>
      <w:bookmarkStart w:id="6" w:name="_Toc14158"/>
      <w:bookmarkStart w:id="7" w:name="_Toc212214645"/>
      <w:r>
        <w:rPr>
          <w:rFonts w:hint="eastAsia"/>
          <w:sz w:val="30"/>
        </w:rPr>
        <w:t>二、询价采购时间、地点</w:t>
      </w:r>
      <w:bookmarkEnd w:id="4"/>
      <w:bookmarkEnd w:id="5"/>
      <w:bookmarkEnd w:id="6"/>
      <w:bookmarkEnd w:id="7"/>
    </w:p>
    <w:p w14:paraId="1E6874D5">
      <w:pPr>
        <w:tabs>
          <w:tab w:val="left" w:pos="378"/>
        </w:tabs>
        <w:snapToGrid w:val="0"/>
        <w:spacing w:line="360" w:lineRule="auto"/>
        <w:ind w:left="142"/>
      </w:pPr>
      <w:r>
        <w:rPr>
          <w:rFonts w:hint="eastAsia"/>
        </w:rPr>
        <w:t>1、询价采购文件获取</w:t>
      </w:r>
      <w:bookmarkStart w:id="8" w:name="_Hlk485112949"/>
    </w:p>
    <w:p w14:paraId="74EC6EB6">
      <w:pPr>
        <w:tabs>
          <w:tab w:val="left" w:pos="378"/>
        </w:tabs>
        <w:snapToGrid w:val="0"/>
        <w:spacing w:line="360" w:lineRule="auto"/>
        <w:ind w:firstLine="480" w:firstLineChars="200"/>
        <w:rPr>
          <w:rFonts w:hint="eastAsia"/>
        </w:rPr>
      </w:pPr>
      <w:r>
        <w:rPr>
          <w:rFonts w:hint="eastAsia" w:ascii="仿宋" w:hAnsi="仿宋" w:eastAsia="仿宋" w:cs="仿宋"/>
        </w:rPr>
        <w:t>（1）</w:t>
      </w:r>
      <w:r>
        <w:rPr>
          <w:rFonts w:hint="eastAsia"/>
        </w:rPr>
        <w:t xml:space="preserve">时间：2025年 </w:t>
      </w:r>
      <w:r>
        <w:rPr>
          <w:rFonts w:hint="eastAsia"/>
          <w:lang w:val="en-US" w:eastAsia="zh-CN"/>
        </w:rPr>
        <w:t>11</w:t>
      </w:r>
      <w:r>
        <w:rPr>
          <w:rFonts w:hint="eastAsia"/>
        </w:rPr>
        <w:t xml:space="preserve"> 月 </w:t>
      </w:r>
      <w:r>
        <w:rPr>
          <w:rFonts w:hint="eastAsia"/>
          <w:lang w:val="en-US" w:eastAsia="zh-CN"/>
        </w:rPr>
        <w:t>11</w:t>
      </w:r>
      <w:r>
        <w:rPr>
          <w:rFonts w:hint="eastAsia"/>
        </w:rPr>
        <w:t xml:space="preserve">  日至2025年 </w:t>
      </w:r>
      <w:r>
        <w:rPr>
          <w:rFonts w:hint="eastAsia"/>
          <w:lang w:val="en-US" w:eastAsia="zh-CN"/>
        </w:rPr>
        <w:t>11</w:t>
      </w:r>
      <w:r>
        <w:rPr>
          <w:rFonts w:hint="eastAsia"/>
        </w:rPr>
        <w:t xml:space="preserve"> 月 </w:t>
      </w:r>
      <w:r>
        <w:rPr>
          <w:rFonts w:hint="eastAsia"/>
          <w:lang w:val="en-US" w:eastAsia="zh-CN"/>
        </w:rPr>
        <w:t>13</w:t>
      </w:r>
      <w:r>
        <w:rPr>
          <w:rFonts w:hint="eastAsia"/>
        </w:rPr>
        <w:t xml:space="preserve"> 日（北京时间每天上午9:30～11:30、下午14:00～16:00，法定节假日除外）。</w:t>
      </w:r>
    </w:p>
    <w:p w14:paraId="0ADC6112">
      <w:pPr>
        <w:snapToGrid w:val="0"/>
        <w:spacing w:line="360" w:lineRule="auto"/>
        <w:ind w:firstLine="480" w:firstLineChars="200"/>
        <w:rPr>
          <w:rFonts w:hint="eastAsia"/>
        </w:rPr>
      </w:pPr>
      <w:r>
        <w:rPr>
          <w:rFonts w:hint="eastAsia"/>
        </w:rPr>
        <w:t>（2）地点：湖北机场集团公司综合楼C326。</w:t>
      </w:r>
    </w:p>
    <w:p w14:paraId="679EDB0B">
      <w:pPr>
        <w:snapToGrid w:val="0"/>
        <w:spacing w:line="360" w:lineRule="auto"/>
        <w:ind w:firstLine="480" w:firstLineChars="200"/>
      </w:pPr>
      <w:r>
        <w:rPr>
          <w:rFonts w:hint="eastAsia"/>
        </w:rPr>
        <w:t>（3）获取方式：法定代表人自己领取的，凭法定代表人身份证明书及法定代表人二代身份证原件和以及营业执照加盖公章的复印件领取；法定代表人委托他人领取的，凭法定代表人授权书及受托人二代身份证原件和营业执照加盖公章的复印件领取；原件查看后当场退还，复印件留存，资料齐全的提供询价文件。</w:t>
      </w:r>
    </w:p>
    <w:p w14:paraId="1EB467E2">
      <w:pPr>
        <w:snapToGrid w:val="0"/>
        <w:spacing w:line="360" w:lineRule="auto"/>
        <w:ind w:left="142" w:leftChars="59"/>
        <w:rPr>
          <w:rFonts w:hint="eastAsia"/>
        </w:rPr>
      </w:pPr>
      <w:r>
        <w:rPr>
          <w:rFonts w:hint="eastAsia"/>
        </w:rPr>
        <w:t>2、投递报价文件地点：</w:t>
      </w:r>
    </w:p>
    <w:p w14:paraId="17248F21">
      <w:pPr>
        <w:snapToGrid w:val="0"/>
        <w:spacing w:line="360" w:lineRule="auto"/>
        <w:ind w:firstLine="360" w:firstLineChars="150"/>
      </w:pPr>
      <w:r>
        <w:rPr>
          <w:rFonts w:hint="eastAsia"/>
        </w:rPr>
        <w:t xml:space="preserve"> 湖北机场集团公司综合楼C326</w:t>
      </w:r>
    </w:p>
    <w:p w14:paraId="37639FC6">
      <w:pPr>
        <w:tabs>
          <w:tab w:val="left" w:pos="426"/>
          <w:tab w:val="left" w:pos="993"/>
        </w:tabs>
        <w:snapToGrid w:val="0"/>
        <w:spacing w:line="360" w:lineRule="auto"/>
        <w:ind w:left="142" w:leftChars="59"/>
        <w:rPr>
          <w:rFonts w:hint="eastAsia"/>
        </w:rPr>
      </w:pPr>
      <w:r>
        <w:rPr>
          <w:rFonts w:hint="eastAsia"/>
        </w:rPr>
        <w:t xml:space="preserve">3、投递报价文件截止时间： 2025年 </w:t>
      </w:r>
      <w:r>
        <w:rPr>
          <w:rFonts w:hint="eastAsia"/>
          <w:lang w:val="en-US" w:eastAsia="zh-CN"/>
        </w:rPr>
        <w:t>11</w:t>
      </w:r>
      <w:r>
        <w:rPr>
          <w:rFonts w:hint="eastAsia"/>
        </w:rPr>
        <w:t xml:space="preserve"> 月 </w:t>
      </w:r>
      <w:r>
        <w:rPr>
          <w:rFonts w:hint="eastAsia"/>
          <w:lang w:val="en-US" w:eastAsia="zh-CN"/>
        </w:rPr>
        <w:t>14</w:t>
      </w:r>
      <w:r>
        <w:rPr>
          <w:rFonts w:hint="eastAsia"/>
        </w:rPr>
        <w:t xml:space="preserve"> 日 </w:t>
      </w:r>
      <w:r>
        <w:rPr>
          <w:rFonts w:hint="eastAsia"/>
          <w:lang w:val="en-US" w:eastAsia="zh-CN"/>
        </w:rPr>
        <w:t>9</w:t>
      </w:r>
      <w:r>
        <w:rPr>
          <w:rFonts w:hint="eastAsia"/>
        </w:rPr>
        <w:t xml:space="preserve"> 时</w:t>
      </w:r>
    </w:p>
    <w:p w14:paraId="403717BB">
      <w:pPr>
        <w:tabs>
          <w:tab w:val="left" w:pos="993"/>
        </w:tabs>
        <w:snapToGrid w:val="0"/>
        <w:spacing w:line="360" w:lineRule="auto"/>
        <w:ind w:left="139" w:leftChars="58" w:firstLine="1"/>
        <w:rPr>
          <w:rFonts w:hint="eastAsia"/>
        </w:rPr>
      </w:pPr>
      <w:r>
        <w:rPr>
          <w:rFonts w:hint="eastAsia"/>
        </w:rPr>
        <w:t xml:space="preserve">4、询价采购评审时间： 2025年 </w:t>
      </w:r>
      <w:r>
        <w:rPr>
          <w:rFonts w:hint="eastAsia"/>
          <w:lang w:val="en-US" w:eastAsia="zh-CN"/>
        </w:rPr>
        <w:t>11</w:t>
      </w:r>
      <w:r>
        <w:rPr>
          <w:rFonts w:hint="eastAsia"/>
        </w:rPr>
        <w:t xml:space="preserve"> 月 </w:t>
      </w:r>
      <w:r>
        <w:rPr>
          <w:rFonts w:hint="eastAsia"/>
          <w:lang w:val="en-US" w:eastAsia="zh-CN"/>
        </w:rPr>
        <w:t>14</w:t>
      </w:r>
      <w:r>
        <w:rPr>
          <w:rFonts w:hint="eastAsia"/>
        </w:rPr>
        <w:t xml:space="preserve"> 日</w:t>
      </w:r>
      <w:r>
        <w:rPr>
          <w:rFonts w:hint="eastAsia"/>
          <w:lang w:val="en-US" w:eastAsia="zh-CN"/>
        </w:rPr>
        <w:t>9：30时</w:t>
      </w:r>
      <w:r>
        <w:rPr>
          <w:rFonts w:hint="eastAsia"/>
        </w:rPr>
        <w:t>（遇情况依次顺延）</w:t>
      </w:r>
    </w:p>
    <w:p w14:paraId="6A70D9E3">
      <w:pPr>
        <w:tabs>
          <w:tab w:val="left" w:pos="378"/>
          <w:tab w:val="left" w:pos="993"/>
        </w:tabs>
        <w:snapToGrid w:val="0"/>
        <w:spacing w:line="360" w:lineRule="auto"/>
        <w:ind w:left="142" w:leftChars="59"/>
      </w:pPr>
      <w:r>
        <w:rPr>
          <w:rFonts w:hint="eastAsia"/>
        </w:rPr>
        <w:t>5、联系方式：027-85818211</w:t>
      </w:r>
    </w:p>
    <w:p w14:paraId="0C72473D">
      <w:pPr>
        <w:snapToGrid w:val="0"/>
        <w:spacing w:line="360" w:lineRule="auto"/>
        <w:ind w:firstLine="480" w:firstLineChars="200"/>
      </w:pPr>
      <w:r>
        <w:rPr>
          <w:rFonts w:hint="eastAsia"/>
        </w:rPr>
        <w:t>联系人：韩硕、郑戎</w:t>
      </w:r>
    </w:p>
    <w:p w14:paraId="550EC5ED">
      <w:pPr>
        <w:pStyle w:val="4"/>
        <w:spacing w:line="360" w:lineRule="auto"/>
        <w:ind w:firstLine="527"/>
        <w:rPr>
          <w:rFonts w:hint="eastAsia"/>
          <w:sz w:val="30"/>
        </w:rPr>
      </w:pPr>
      <w:bookmarkStart w:id="9" w:name="_Toc29447"/>
      <w:bookmarkStart w:id="10" w:name="_Toc212214646"/>
      <w:bookmarkStart w:id="11" w:name="_Toc11641053"/>
      <w:bookmarkStart w:id="12" w:name="_Toc25725120"/>
      <w:r>
        <w:rPr>
          <w:rFonts w:hint="eastAsia"/>
          <w:sz w:val="30"/>
        </w:rPr>
        <w:t>三、供应商资质要求：</w:t>
      </w:r>
      <w:bookmarkEnd w:id="9"/>
      <w:bookmarkEnd w:id="10"/>
    </w:p>
    <w:p w14:paraId="24F64F7B">
      <w:pPr>
        <w:snapToGrid w:val="0"/>
        <w:spacing w:line="360" w:lineRule="auto"/>
        <w:ind w:firstLine="480" w:firstLineChars="200"/>
        <w:rPr>
          <w:szCs w:val="28"/>
        </w:rPr>
      </w:pPr>
      <w:r>
        <w:rPr>
          <w:rFonts w:hint="eastAsia"/>
          <w:szCs w:val="28"/>
        </w:rPr>
        <w:t>（1）供应商应具有在中华人民共和国境内注册登记并取得有效营业执照。</w:t>
      </w:r>
    </w:p>
    <w:p w14:paraId="6BA605F8">
      <w:pPr>
        <w:snapToGrid w:val="0"/>
        <w:spacing w:line="360" w:lineRule="auto"/>
        <w:ind w:firstLine="480" w:firstLineChars="200"/>
        <w:rPr>
          <w:rFonts w:hint="eastAsia"/>
          <w:szCs w:val="28"/>
        </w:rPr>
      </w:pPr>
      <w:r>
        <w:rPr>
          <w:rFonts w:hint="eastAsia"/>
          <w:szCs w:val="28"/>
        </w:rPr>
        <w:t>（2）供应商须具有产品厂家的代理资格或厂家的授权书。</w:t>
      </w:r>
    </w:p>
    <w:p w14:paraId="124261FB">
      <w:pPr>
        <w:snapToGrid w:val="0"/>
        <w:spacing w:line="360" w:lineRule="auto"/>
        <w:ind w:firstLine="480" w:firstLineChars="200"/>
        <w:rPr>
          <w:rFonts w:hint="eastAsia"/>
          <w:szCs w:val="28"/>
        </w:rPr>
      </w:pPr>
      <w:r>
        <w:rPr>
          <w:rFonts w:hint="eastAsia"/>
          <w:szCs w:val="28"/>
        </w:rPr>
        <w:t>（</w:t>
      </w:r>
      <w:r>
        <w:rPr>
          <w:szCs w:val="28"/>
        </w:rPr>
        <w:t>3</w:t>
      </w:r>
      <w:r>
        <w:rPr>
          <w:rFonts w:hint="eastAsia"/>
          <w:szCs w:val="28"/>
        </w:rPr>
        <w:t>）供应商未被列入“信用中国”网站(www.creditchina.gov.cn)或中国执行信息公开网（http://zxgk.court.gov.cn)失信被执行人名单。(提供网站查询截图）。</w:t>
      </w:r>
    </w:p>
    <w:p w14:paraId="541BD5CB">
      <w:pPr>
        <w:snapToGrid w:val="0"/>
        <w:spacing w:line="360" w:lineRule="auto"/>
        <w:ind w:firstLine="480" w:firstLineChars="200"/>
        <w:rPr>
          <w:rFonts w:hint="eastAsia"/>
          <w:szCs w:val="28"/>
        </w:rPr>
      </w:pPr>
      <w:r>
        <w:rPr>
          <w:rFonts w:hint="eastAsia"/>
          <w:szCs w:val="28"/>
        </w:rPr>
        <w:t>（</w:t>
      </w:r>
      <w:r>
        <w:rPr>
          <w:szCs w:val="28"/>
        </w:rPr>
        <w:t>4</w:t>
      </w:r>
      <w:r>
        <w:rPr>
          <w:rFonts w:hint="eastAsia"/>
          <w:szCs w:val="28"/>
        </w:rPr>
        <w:t>）供应商须对关于《湖北机场集团有限公司“供应商不良行为”管理办法》在“询价采购报价文件格式”“承诺书”中做出承诺，格式详见采购文件格式。</w:t>
      </w:r>
    </w:p>
    <w:p w14:paraId="22035BC3">
      <w:pPr>
        <w:snapToGrid w:val="0"/>
        <w:spacing w:line="360" w:lineRule="auto"/>
        <w:ind w:firstLine="480" w:firstLineChars="200"/>
        <w:rPr>
          <w:rFonts w:hint="eastAsia"/>
          <w:szCs w:val="28"/>
        </w:rPr>
      </w:pPr>
      <w:r>
        <w:rPr>
          <w:rFonts w:hint="eastAsia"/>
          <w:szCs w:val="28"/>
        </w:rPr>
        <w:t>（</w:t>
      </w:r>
      <w:r>
        <w:rPr>
          <w:szCs w:val="28"/>
        </w:rPr>
        <w:t>5</w:t>
      </w:r>
      <w:r>
        <w:rPr>
          <w:rFonts w:hint="eastAsia"/>
          <w:szCs w:val="28"/>
        </w:rPr>
        <w:t>）本项目不接受联合体响应。</w:t>
      </w:r>
    </w:p>
    <w:p w14:paraId="601AD566">
      <w:pPr>
        <w:pStyle w:val="51"/>
        <w:spacing w:line="360" w:lineRule="auto"/>
        <w:ind w:firstLine="480" w:firstLineChars="200"/>
        <w:jc w:val="left"/>
        <w:rPr>
          <w:rFonts w:hint="eastAsia" w:ascii="宋体" w:hAnsi="宋体" w:cs="宋体"/>
          <w:kern w:val="0"/>
          <w:sz w:val="24"/>
          <w:szCs w:val="28"/>
        </w:rPr>
      </w:pPr>
      <w:r>
        <w:rPr>
          <w:rFonts w:hint="eastAsia" w:ascii="宋体" w:hAnsi="宋体" w:cs="宋体"/>
          <w:kern w:val="0"/>
          <w:sz w:val="24"/>
          <w:szCs w:val="28"/>
        </w:rPr>
        <w:t>以上资格要求为本次响应供应商应具备的基本条件，参加响应的供应商必须满足资格要求中的所有条款，并按照相关规定递交资格证明文件。</w:t>
      </w:r>
    </w:p>
    <w:p w14:paraId="2F30FAA0">
      <w:pPr>
        <w:pStyle w:val="4"/>
        <w:spacing w:line="360" w:lineRule="auto"/>
        <w:ind w:firstLine="527"/>
        <w:rPr>
          <w:rFonts w:hint="eastAsia"/>
          <w:b w:val="0"/>
          <w:bCs w:val="0"/>
          <w:sz w:val="30"/>
        </w:rPr>
      </w:pPr>
      <w:r>
        <w:rPr>
          <w:b w:val="0"/>
          <w:szCs w:val="21"/>
        </w:rPr>
        <w:br w:type="page"/>
      </w:r>
      <w:bookmarkStart w:id="13" w:name="_Toc212214647"/>
      <w:r>
        <w:rPr>
          <w:rFonts w:hint="eastAsia"/>
          <w:sz w:val="30"/>
        </w:rPr>
        <w:t>四、</w:t>
      </w:r>
      <w:bookmarkEnd w:id="11"/>
      <w:bookmarkEnd w:id="12"/>
      <w:r>
        <w:rPr>
          <w:rFonts w:hint="eastAsia"/>
          <w:sz w:val="30"/>
        </w:rPr>
        <w:t>询价采购须知</w:t>
      </w:r>
      <w:bookmarkEnd w:id="13"/>
    </w:p>
    <w:p w14:paraId="059811D4">
      <w:pPr>
        <w:snapToGrid w:val="0"/>
        <w:spacing w:line="360" w:lineRule="auto"/>
        <w:ind w:firstLine="573"/>
        <w:rPr>
          <w:rFonts w:hint="eastAsia"/>
        </w:rPr>
      </w:pPr>
      <w:r>
        <w:rPr>
          <w:rFonts w:hint="eastAsia"/>
        </w:rPr>
        <w:t>1、报价文件须用信封或文件袋密封，信封或文件袋上注明询价采购项目名称、供应商名称、地址以及“不准提前启封”字样。信封所有有口、有缝的部位都要贴封条并加盖供应商公章。</w:t>
      </w:r>
    </w:p>
    <w:p w14:paraId="22D06CF6">
      <w:pPr>
        <w:snapToGrid w:val="0"/>
        <w:spacing w:line="360" w:lineRule="auto"/>
        <w:ind w:firstLine="573"/>
        <w:rPr>
          <w:rFonts w:hint="eastAsia"/>
        </w:rPr>
      </w:pPr>
      <w:r>
        <w:rPr>
          <w:rFonts w:hint="eastAsia"/>
        </w:rPr>
        <w:t>2、报价文件必须按规定的时间及地点送达投递地点，并按要求交纳询价采购保证金，否则报价无效。</w:t>
      </w:r>
    </w:p>
    <w:p w14:paraId="2C862852">
      <w:pPr>
        <w:snapToGrid w:val="0"/>
        <w:spacing w:line="360" w:lineRule="auto"/>
        <w:ind w:firstLine="573"/>
        <w:rPr>
          <w:rFonts w:hint="eastAsia"/>
          <w:b/>
        </w:rPr>
      </w:pPr>
      <w:r>
        <w:rPr>
          <w:rFonts w:hint="eastAsia"/>
        </w:rPr>
        <w:t>3、报价文件的报价为</w:t>
      </w:r>
      <w:r>
        <w:rPr>
          <w:rFonts w:hint="eastAsia"/>
          <w:b/>
        </w:rPr>
        <w:t>闭口价，并且供应商只能提供一个报价。</w:t>
      </w:r>
    </w:p>
    <w:p w14:paraId="21ED725E">
      <w:pPr>
        <w:snapToGrid w:val="0"/>
        <w:spacing w:line="360" w:lineRule="auto"/>
        <w:ind w:firstLine="573"/>
        <w:rPr>
          <w:rFonts w:hint="eastAsia"/>
        </w:rPr>
      </w:pPr>
      <w:r>
        <w:rPr>
          <w:rFonts w:hint="eastAsia"/>
        </w:rPr>
        <w:t>4、成交原则：本项目评审采用最低竞标标价进行评审。</w:t>
      </w:r>
    </w:p>
    <w:p w14:paraId="141A3D66">
      <w:pPr>
        <w:snapToGrid w:val="0"/>
        <w:spacing w:line="360" w:lineRule="auto"/>
        <w:ind w:firstLine="573"/>
        <w:rPr>
          <w:rFonts w:hint="eastAsia"/>
        </w:rPr>
      </w:pPr>
      <w:r>
        <w:rPr>
          <w:rFonts w:hint="eastAsia"/>
        </w:rPr>
        <w:t>不允许竞标人竞标方案对采购方案有任何负偏离，否则按无效竞标处理。</w:t>
      </w:r>
    </w:p>
    <w:bookmarkEnd w:id="8"/>
    <w:p w14:paraId="4F84FCB7">
      <w:pPr>
        <w:snapToGrid w:val="0"/>
        <w:spacing w:line="360" w:lineRule="auto"/>
        <w:ind w:firstLine="573"/>
        <w:rPr>
          <w:rFonts w:hint="eastAsia"/>
        </w:rPr>
      </w:pPr>
      <w:r>
        <w:rPr>
          <w:rFonts w:hint="eastAsia"/>
        </w:rPr>
        <w:t>询价采购评审小组在完全满足采购的技术、质量、商务和服务的竞标方案中选择</w:t>
      </w:r>
      <w:r>
        <w:rPr>
          <w:rFonts w:hint="eastAsia"/>
          <w:b/>
        </w:rPr>
        <w:t>竞标报价最低单位为成交供应商</w:t>
      </w:r>
      <w:r>
        <w:rPr>
          <w:rFonts w:hint="eastAsia"/>
        </w:rPr>
        <w:t>。</w:t>
      </w:r>
    </w:p>
    <w:p w14:paraId="4B1F6574">
      <w:pPr>
        <w:snapToGrid w:val="0"/>
        <w:spacing w:line="360" w:lineRule="auto"/>
        <w:ind w:firstLine="573"/>
        <w:rPr>
          <w:rFonts w:hint="eastAsia"/>
        </w:rPr>
      </w:pPr>
      <w:r>
        <w:rPr>
          <w:rFonts w:hint="eastAsia"/>
        </w:rPr>
        <w:t>竞标价格相同的情况下询价小组确定服务承诺、优惠条件较优的单位为成交供应商。</w:t>
      </w:r>
    </w:p>
    <w:p w14:paraId="0B5917B2">
      <w:pPr>
        <w:snapToGrid w:val="0"/>
        <w:spacing w:line="360" w:lineRule="auto"/>
        <w:ind w:firstLine="573"/>
        <w:rPr>
          <w:rFonts w:hint="eastAsia"/>
        </w:rPr>
      </w:pPr>
      <w:r>
        <w:rPr>
          <w:rFonts w:hint="eastAsia"/>
        </w:rPr>
        <w:t>5、报价文件应按照本文件的“第四篇格式要求”装订。文件一式三份，一正二副。报价文件的正本每一页必需加盖公章以及</w:t>
      </w:r>
      <w:bookmarkStart w:id="14" w:name="_Toc12789055"/>
      <w:bookmarkStart w:id="15" w:name="_Toc122840226"/>
      <w:r>
        <w:rPr>
          <w:rFonts w:hint="eastAsia"/>
        </w:rPr>
        <w:t>骑缝章。</w:t>
      </w:r>
    </w:p>
    <w:p w14:paraId="34BE20DF">
      <w:pPr>
        <w:snapToGrid w:val="0"/>
        <w:spacing w:line="360" w:lineRule="auto"/>
        <w:ind w:firstLine="573"/>
      </w:pPr>
      <w:r>
        <w:rPr>
          <w:rFonts w:hint="eastAsia"/>
        </w:rPr>
        <w:t>6、文件无效</w:t>
      </w:r>
    </w:p>
    <w:p w14:paraId="565D7040">
      <w:pPr>
        <w:snapToGrid w:val="0"/>
        <w:spacing w:line="360" w:lineRule="auto"/>
        <w:ind w:firstLine="573"/>
      </w:pPr>
      <w:r>
        <w:rPr>
          <w:rFonts w:hint="eastAsia"/>
        </w:rPr>
        <w:t>竞标人发生以下条款情况之一者，其竞标文件将被拒绝：</w:t>
      </w:r>
    </w:p>
    <w:p w14:paraId="1814ECD2">
      <w:pPr>
        <w:snapToGrid w:val="0"/>
        <w:spacing w:line="360" w:lineRule="auto"/>
        <w:ind w:firstLine="573"/>
      </w:pPr>
      <w:r>
        <w:rPr>
          <w:rFonts w:hint="eastAsia"/>
        </w:rPr>
        <w:t>（1）竞标文件不按规定的格式、内容填写；</w:t>
      </w:r>
    </w:p>
    <w:p w14:paraId="33BD181C">
      <w:pPr>
        <w:snapToGrid w:val="0"/>
        <w:spacing w:line="360" w:lineRule="auto"/>
        <w:ind w:firstLine="573"/>
        <w:rPr>
          <w:rFonts w:hint="eastAsia"/>
        </w:rPr>
      </w:pPr>
      <w:r>
        <w:rPr>
          <w:rFonts w:hint="eastAsia"/>
        </w:rPr>
        <w:t>（2）超出营业范围的报价；</w:t>
      </w:r>
    </w:p>
    <w:p w14:paraId="3D2E7C44">
      <w:pPr>
        <w:snapToGrid w:val="0"/>
        <w:spacing w:line="360" w:lineRule="auto"/>
        <w:ind w:firstLine="573"/>
        <w:rPr>
          <w:rFonts w:hint="eastAsia"/>
        </w:rPr>
      </w:pPr>
      <w:r>
        <w:rPr>
          <w:rFonts w:hint="eastAsia"/>
        </w:rPr>
        <w:t>（3）报价高于询价采购文件的最高限价；</w:t>
      </w:r>
    </w:p>
    <w:p w14:paraId="33398390">
      <w:pPr>
        <w:snapToGrid w:val="0"/>
        <w:spacing w:line="360" w:lineRule="auto"/>
        <w:ind w:firstLine="573"/>
        <w:rPr>
          <w:rFonts w:hint="eastAsia"/>
        </w:rPr>
      </w:pPr>
      <w:r>
        <w:rPr>
          <w:rFonts w:hint="eastAsia"/>
        </w:rPr>
        <w:t>（4）竞标人的竞标文件的技术方案内容与采购项目实质性技术要求有严重背离；</w:t>
      </w:r>
    </w:p>
    <w:p w14:paraId="4617AE91">
      <w:pPr>
        <w:snapToGrid w:val="0"/>
        <w:spacing w:line="360" w:lineRule="auto"/>
        <w:ind w:firstLine="573"/>
        <w:rPr>
          <w:rFonts w:hint="eastAsia"/>
        </w:rPr>
      </w:pPr>
      <w:r>
        <w:rPr>
          <w:rFonts w:hint="eastAsia"/>
        </w:rPr>
        <w:t>（5）竞标人的资质不符合采购文件资质要求的内容。</w:t>
      </w:r>
    </w:p>
    <w:p w14:paraId="5AEF48BF">
      <w:pPr>
        <w:numPr>
          <w:ilvl w:val="0"/>
          <w:numId w:val="4"/>
        </w:numPr>
        <w:snapToGrid w:val="0"/>
        <w:spacing w:line="360" w:lineRule="auto"/>
        <w:rPr>
          <w:rFonts w:hint="eastAsia"/>
        </w:rPr>
      </w:pPr>
      <w:r>
        <w:rPr>
          <w:rFonts w:hint="eastAsia"/>
        </w:rPr>
        <w:t>竞标文件未按要求密封、未按时送到准确地点。</w:t>
      </w:r>
    </w:p>
    <w:p w14:paraId="05EABBED">
      <w:pPr>
        <w:snapToGrid w:val="0"/>
        <w:spacing w:line="360" w:lineRule="auto"/>
        <w:ind w:firstLine="566" w:firstLineChars="236"/>
        <w:rPr>
          <w:rFonts w:hint="eastAsia"/>
        </w:rPr>
      </w:pPr>
      <w:r>
        <w:rPr>
          <w:rFonts w:hint="eastAsia"/>
        </w:rPr>
        <w:t>7、出现以下情况之一的，应予废标，重新组织采购。</w:t>
      </w:r>
    </w:p>
    <w:p w14:paraId="6092FAD6">
      <w:pPr>
        <w:snapToGrid w:val="0"/>
        <w:spacing w:line="360" w:lineRule="auto"/>
        <w:ind w:firstLine="480" w:firstLineChars="200"/>
        <w:rPr>
          <w:rFonts w:hint="eastAsia"/>
        </w:rPr>
      </w:pPr>
      <w:r>
        <w:rPr>
          <w:rFonts w:hint="eastAsia"/>
        </w:rPr>
        <w:t>（1）出现影响采购公正的违法、违规行为的；</w:t>
      </w:r>
    </w:p>
    <w:p w14:paraId="5AAED049">
      <w:pPr>
        <w:snapToGrid w:val="0"/>
        <w:spacing w:line="360" w:lineRule="auto"/>
        <w:ind w:firstLine="480" w:firstLineChars="200"/>
        <w:rPr>
          <w:rFonts w:hint="eastAsia"/>
        </w:rPr>
      </w:pPr>
      <w:r>
        <w:rPr>
          <w:rFonts w:hint="eastAsia"/>
        </w:rPr>
        <w:t>（2）竞标人的报价均超过了采购预算，采购人不能支付的；</w:t>
      </w:r>
    </w:p>
    <w:p w14:paraId="5D9DC3C7">
      <w:pPr>
        <w:snapToGrid w:val="0"/>
        <w:spacing w:line="360" w:lineRule="auto"/>
        <w:ind w:firstLine="480" w:firstLineChars="200"/>
        <w:rPr>
          <w:rFonts w:hint="eastAsia"/>
        </w:rPr>
      </w:pPr>
      <w:r>
        <w:rPr>
          <w:rFonts w:hint="eastAsia"/>
        </w:rPr>
        <w:t>（3）因重大变故，采购任务取消的；</w:t>
      </w:r>
    </w:p>
    <w:p w14:paraId="48C4DAC0">
      <w:pPr>
        <w:pStyle w:val="4"/>
        <w:spacing w:line="360" w:lineRule="auto"/>
        <w:ind w:firstLine="539" w:firstLineChars="179"/>
        <w:rPr>
          <w:rFonts w:hint="eastAsia"/>
          <w:sz w:val="30"/>
        </w:rPr>
      </w:pPr>
      <w:bookmarkStart w:id="16" w:name="_Toc212214648"/>
      <w:bookmarkStart w:id="17" w:name="_Toc23758"/>
      <w:r>
        <w:rPr>
          <w:rFonts w:hint="eastAsia"/>
          <w:sz w:val="30"/>
        </w:rPr>
        <w:t>五、询价保证金</w:t>
      </w:r>
      <w:bookmarkEnd w:id="14"/>
      <w:bookmarkEnd w:id="15"/>
      <w:bookmarkEnd w:id="16"/>
      <w:bookmarkEnd w:id="17"/>
    </w:p>
    <w:p w14:paraId="6EFECFE3">
      <w:pPr>
        <w:snapToGrid w:val="0"/>
        <w:spacing w:line="360" w:lineRule="auto"/>
        <w:ind w:firstLine="573"/>
        <w:rPr>
          <w:rFonts w:hint="eastAsia"/>
        </w:rPr>
      </w:pPr>
      <w:r>
        <w:rPr>
          <w:rFonts w:hint="eastAsia"/>
        </w:rPr>
        <w:t>本项目无询价保证金要求。</w:t>
      </w:r>
    </w:p>
    <w:p w14:paraId="7063C8CF">
      <w:pPr>
        <w:pStyle w:val="4"/>
        <w:spacing w:line="360" w:lineRule="auto"/>
        <w:ind w:firstLine="539" w:firstLineChars="179"/>
        <w:rPr>
          <w:sz w:val="30"/>
        </w:rPr>
      </w:pPr>
      <w:bookmarkStart w:id="18" w:name="_Toc102227321"/>
      <w:bookmarkStart w:id="19" w:name="_Toc27666"/>
      <w:bookmarkStart w:id="20" w:name="_Toc212214649"/>
      <w:bookmarkStart w:id="21" w:name="_Toc233445126"/>
      <w:r>
        <w:rPr>
          <w:rFonts w:hint="eastAsia"/>
          <w:sz w:val="30"/>
        </w:rPr>
        <w:t>六、成交通知</w:t>
      </w:r>
      <w:bookmarkEnd w:id="18"/>
      <w:bookmarkEnd w:id="19"/>
      <w:bookmarkEnd w:id="20"/>
      <w:bookmarkEnd w:id="21"/>
    </w:p>
    <w:p w14:paraId="1A497817">
      <w:pPr>
        <w:snapToGrid w:val="0"/>
        <w:spacing w:line="360" w:lineRule="auto"/>
        <w:ind w:firstLine="480" w:firstLineChars="200"/>
        <w:rPr>
          <w:szCs w:val="28"/>
        </w:rPr>
      </w:pPr>
      <w:bookmarkStart w:id="22" w:name="_Toc102227322"/>
      <w:bookmarkStart w:id="23" w:name="_Toc233445127"/>
      <w:r>
        <w:rPr>
          <w:rFonts w:hint="eastAsia"/>
          <w:szCs w:val="28"/>
        </w:rPr>
        <w:t>成交公示期结束3个工作日内，我部将通知中标单位，进入合同签订流程。</w:t>
      </w:r>
    </w:p>
    <w:p w14:paraId="5A247E85">
      <w:pPr>
        <w:pStyle w:val="4"/>
        <w:spacing w:line="360" w:lineRule="auto"/>
        <w:ind w:firstLine="539" w:firstLineChars="179"/>
        <w:rPr>
          <w:sz w:val="30"/>
        </w:rPr>
      </w:pPr>
      <w:bookmarkStart w:id="24" w:name="_Toc11817"/>
      <w:bookmarkStart w:id="25" w:name="_Toc212214650"/>
      <w:r>
        <w:rPr>
          <w:rFonts w:hint="eastAsia"/>
          <w:sz w:val="30"/>
        </w:rPr>
        <w:t>七、签订</w:t>
      </w:r>
      <w:bookmarkEnd w:id="22"/>
      <w:r>
        <w:rPr>
          <w:rFonts w:hint="eastAsia"/>
          <w:sz w:val="30"/>
        </w:rPr>
        <w:t>合同</w:t>
      </w:r>
      <w:bookmarkEnd w:id="23"/>
      <w:bookmarkEnd w:id="24"/>
      <w:bookmarkEnd w:id="25"/>
    </w:p>
    <w:p w14:paraId="50EB7E09">
      <w:pPr>
        <w:snapToGrid w:val="0"/>
        <w:spacing w:line="360" w:lineRule="auto"/>
        <w:ind w:firstLine="573"/>
        <w:rPr>
          <w:szCs w:val="28"/>
        </w:rPr>
      </w:pPr>
      <w:r>
        <w:rPr>
          <w:szCs w:val="28"/>
        </w:rPr>
        <w:t>1</w:t>
      </w:r>
      <w:r>
        <w:rPr>
          <w:rFonts w:hint="eastAsia"/>
          <w:szCs w:val="28"/>
        </w:rPr>
        <w:t>、成交供应商按成交要求指定时间、地点与采购人签订采购合同。</w:t>
      </w:r>
    </w:p>
    <w:p w14:paraId="755216DC">
      <w:pPr>
        <w:snapToGrid w:val="0"/>
        <w:spacing w:line="360" w:lineRule="auto"/>
        <w:ind w:firstLine="573"/>
        <w:rPr>
          <w:szCs w:val="28"/>
        </w:rPr>
      </w:pPr>
      <w:r>
        <w:rPr>
          <w:szCs w:val="28"/>
        </w:rPr>
        <w:t>2</w:t>
      </w:r>
      <w:r>
        <w:rPr>
          <w:rFonts w:hint="eastAsia"/>
          <w:szCs w:val="28"/>
        </w:rPr>
        <w:t>、成交供应商的竞标文件及有效承诺文件等，均为签订合同的依据。</w:t>
      </w:r>
    </w:p>
    <w:p w14:paraId="1F73E60C">
      <w:pPr>
        <w:snapToGrid w:val="0"/>
        <w:spacing w:line="360" w:lineRule="auto"/>
        <w:ind w:right="24" w:rightChars="10" w:firstLine="573"/>
        <w:rPr>
          <w:rFonts w:hint="eastAsia"/>
          <w:szCs w:val="28"/>
        </w:rPr>
      </w:pPr>
      <w:r>
        <w:rPr>
          <w:szCs w:val="28"/>
        </w:rPr>
        <w:t>3</w:t>
      </w:r>
      <w:r>
        <w:rPr>
          <w:rFonts w:hint="eastAsia"/>
          <w:szCs w:val="28"/>
        </w:rPr>
        <w:t>、如成交供应商放弃成交项目或在签订合同时改变成交状态，我公司将取消其成交资格。</w:t>
      </w:r>
      <w:bookmarkStart w:id="26" w:name="_GoBack"/>
      <w:bookmarkEnd w:id="26"/>
    </w:p>
    <w:sectPr>
      <w:headerReference r:id="rId3" w:type="default"/>
      <w:footerReference r:id="rId4" w:type="default"/>
      <w:pgSz w:w="11907" w:h="16840"/>
      <w:pgMar w:top="1440" w:right="1797" w:bottom="1440"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B8008">
    <w:pPr>
      <w:pStyle w:val="21"/>
      <w:framePr w:wrap="around" w:vAnchor="text" w:hAnchor="page" w:x="5959" w:y="58"/>
      <w:rPr>
        <w:rStyle w:val="39"/>
        <w:rFonts w:hint="eastAsia"/>
        <w:sz w:val="28"/>
      </w:rPr>
    </w:pPr>
    <w:r>
      <w:fldChar w:fldCharType="begin"/>
    </w:r>
    <w:r>
      <w:rPr>
        <w:rStyle w:val="39"/>
      </w:rPr>
      <w:instrText xml:space="preserve"> PAGE </w:instrText>
    </w:r>
    <w:r>
      <w:fldChar w:fldCharType="separate"/>
    </w:r>
    <w:r>
      <w:rPr>
        <w:rStyle w:val="39"/>
      </w:rPr>
      <w:t>19</w:t>
    </w:r>
    <w:r>
      <w:fldChar w:fldCharType="end"/>
    </w:r>
  </w:p>
  <w:p w14:paraId="2F1F0489">
    <w:pPr>
      <w:pStyle w:val="21"/>
      <w:ind w:firstLine="6480" w:firstLineChars="360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A6BA2">
    <w:pPr>
      <w:pStyle w:val="22"/>
      <w:jc w:val="both"/>
      <w:rPr>
        <w:rFonts w:hint="eastAsia"/>
        <w:sz w:val="28"/>
        <w:szCs w:val="28"/>
      </w:rPr>
    </w:pPr>
    <w:r>
      <w:rPr>
        <w:rFonts w:hint="eastAsia"/>
        <w:sz w:val="28"/>
        <w:szCs w:val="28"/>
      </w:rPr>
      <w:t xml:space="preserve">湖北机场集团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80E10"/>
    <w:multiLevelType w:val="singleLevel"/>
    <w:tmpl w:val="B8580E10"/>
    <w:lvl w:ilvl="0" w:tentative="0">
      <w:start w:val="1"/>
      <w:numFmt w:val="chineseCounting"/>
      <w:pStyle w:val="65"/>
      <w:suff w:val="nothing"/>
      <w:lvlText w:val="%1、"/>
      <w:lvlJc w:val="left"/>
      <w:pPr>
        <w:tabs>
          <w:tab w:val="left" w:pos="0"/>
        </w:tabs>
        <w:ind w:left="0" w:firstLine="1134"/>
      </w:pPr>
      <w:rPr>
        <w:rFonts w:hint="eastAsia" w:ascii="Times New Roman" w:hAnsi="Times New Roman" w:eastAsia="黑体"/>
        <w:snapToGrid w:val="0"/>
        <w:sz w:val="28"/>
        <w:szCs w:val="28"/>
      </w:rPr>
    </w:lvl>
  </w:abstractNum>
  <w:abstractNum w:abstractNumId="1">
    <w:nsid w:val="15729AE5"/>
    <w:multiLevelType w:val="multilevel"/>
    <w:tmpl w:val="15729AE5"/>
    <w:lvl w:ilvl="0" w:tentative="0">
      <w:start w:val="1"/>
      <w:numFmt w:val="decimal"/>
      <w:pStyle w:val="63"/>
      <w:lvlText w:val="%1."/>
      <w:lvlJc w:val="left"/>
      <w:pPr>
        <w:tabs>
          <w:tab w:val="left" w:pos="0"/>
        </w:tabs>
        <w:ind w:left="0" w:firstLine="552"/>
      </w:pPr>
      <w:rPr>
        <w:rFonts w:hint="default" w:ascii="Times New Roman" w:hAnsi="Times New Roman" w:eastAsia="仿宋_GB2312"/>
        <w:sz w:val="28"/>
        <w:szCs w:val="28"/>
      </w:rPr>
    </w:lvl>
    <w:lvl w:ilvl="1" w:tentative="0">
      <w:start w:val="1"/>
      <w:numFmt w:val="decimal"/>
      <w:lvlText w:val="（%2）"/>
      <w:lvlJc w:val="left"/>
      <w:pPr>
        <w:tabs>
          <w:tab w:val="left" w:pos="0"/>
        </w:tabs>
        <w:ind w:left="0" w:firstLine="340"/>
      </w:pPr>
      <w:rPr>
        <w:rFonts w:hint="default" w:ascii="Times New Roman" w:hAnsi="Times New Roman" w:eastAsia="仿宋_GB2312" w:cs="Times New Roman"/>
        <w:sz w:val="28"/>
        <w:szCs w:val="28"/>
      </w:rPr>
    </w:lvl>
    <w:lvl w:ilvl="2" w:tentative="0">
      <w:start w:val="1"/>
      <w:numFmt w:val="decimalEnclosedCircleChinese"/>
      <w:lvlText w:val="%3"/>
      <w:lvlJc w:val="left"/>
      <w:pPr>
        <w:ind w:left="-40" w:firstLine="80"/>
      </w:pPr>
      <w:rPr>
        <w:rFonts w:hint="eastAsia" w:ascii="Times New Roman" w:hAnsi="Times New Roman" w:eastAsia="仿宋_GB2312" w:cs="Times New Roman"/>
        <w:sz w:val="28"/>
        <w:szCs w:val="28"/>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2FD240B0"/>
    <w:multiLevelType w:val="multilevel"/>
    <w:tmpl w:val="2FD240B0"/>
    <w:lvl w:ilvl="0" w:tentative="0">
      <w:start w:val="6"/>
      <w:numFmt w:val="decimal"/>
      <w:lvlText w:val="（%1）"/>
      <w:lvlJc w:val="left"/>
      <w:pPr>
        <w:ind w:left="1293" w:hanging="720"/>
      </w:pPr>
      <w:rPr>
        <w:rFonts w:hint="default"/>
      </w:rPr>
    </w:lvl>
    <w:lvl w:ilvl="1" w:tentative="0">
      <w:start w:val="1"/>
      <w:numFmt w:val="lowerLetter"/>
      <w:lvlText w:val="%2)"/>
      <w:lvlJc w:val="left"/>
      <w:pPr>
        <w:ind w:left="1413" w:hanging="420"/>
      </w:pPr>
    </w:lvl>
    <w:lvl w:ilvl="2" w:tentative="0">
      <w:start w:val="1"/>
      <w:numFmt w:val="lowerRoman"/>
      <w:lvlText w:val="%3."/>
      <w:lvlJc w:val="right"/>
      <w:pPr>
        <w:ind w:left="1833" w:hanging="420"/>
      </w:pPr>
    </w:lvl>
    <w:lvl w:ilvl="3" w:tentative="0">
      <w:start w:val="1"/>
      <w:numFmt w:val="decimal"/>
      <w:lvlText w:val="%4."/>
      <w:lvlJc w:val="left"/>
      <w:pPr>
        <w:ind w:left="2253" w:hanging="420"/>
      </w:pPr>
    </w:lvl>
    <w:lvl w:ilvl="4" w:tentative="0">
      <w:start w:val="1"/>
      <w:numFmt w:val="lowerLetter"/>
      <w:lvlText w:val="%5)"/>
      <w:lvlJc w:val="left"/>
      <w:pPr>
        <w:ind w:left="2673" w:hanging="420"/>
      </w:pPr>
    </w:lvl>
    <w:lvl w:ilvl="5" w:tentative="0">
      <w:start w:val="1"/>
      <w:numFmt w:val="lowerRoman"/>
      <w:lvlText w:val="%6."/>
      <w:lvlJc w:val="right"/>
      <w:pPr>
        <w:ind w:left="3093" w:hanging="420"/>
      </w:pPr>
    </w:lvl>
    <w:lvl w:ilvl="6" w:tentative="0">
      <w:start w:val="1"/>
      <w:numFmt w:val="decimal"/>
      <w:lvlText w:val="%7."/>
      <w:lvlJc w:val="left"/>
      <w:pPr>
        <w:ind w:left="3513" w:hanging="420"/>
      </w:pPr>
    </w:lvl>
    <w:lvl w:ilvl="7" w:tentative="0">
      <w:start w:val="1"/>
      <w:numFmt w:val="lowerLetter"/>
      <w:lvlText w:val="%8)"/>
      <w:lvlJc w:val="left"/>
      <w:pPr>
        <w:ind w:left="3933" w:hanging="420"/>
      </w:pPr>
    </w:lvl>
    <w:lvl w:ilvl="8" w:tentative="0">
      <w:start w:val="1"/>
      <w:numFmt w:val="lowerRoman"/>
      <w:lvlText w:val="%9."/>
      <w:lvlJc w:val="right"/>
      <w:pPr>
        <w:ind w:left="4353" w:hanging="420"/>
      </w:pPr>
    </w:lvl>
  </w:abstractNum>
  <w:abstractNum w:abstractNumId="3">
    <w:nsid w:val="5EBE5884"/>
    <w:multiLevelType w:val="multilevel"/>
    <w:tmpl w:val="5EBE5884"/>
    <w:lvl w:ilvl="0" w:tentative="0">
      <w:start w:val="1"/>
      <w:numFmt w:val="japaneseCounting"/>
      <w:lvlText w:val="%1、"/>
      <w:lvlJc w:val="left"/>
      <w:pPr>
        <w:ind w:left="1127" w:hanging="600"/>
      </w:pPr>
      <w:rPr>
        <w:rFonts w:hint="default"/>
        <w:b w:val="0"/>
      </w:r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hyphenationZone w:val="360"/>
  <w:drawingGridHorizontalSpacing w:val="109"/>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MmMwZWEyNjg1ODZhYjRlYmQyYjgyZjY1ZGY2MzcifQ=="/>
  </w:docVars>
  <w:rsids>
    <w:rsidRoot w:val="00AB7B3E"/>
    <w:rsid w:val="00001C2B"/>
    <w:rsid w:val="00002F58"/>
    <w:rsid w:val="000037BC"/>
    <w:rsid w:val="0001037F"/>
    <w:rsid w:val="00013F92"/>
    <w:rsid w:val="00015E05"/>
    <w:rsid w:val="00021753"/>
    <w:rsid w:val="00022B02"/>
    <w:rsid w:val="00024D3E"/>
    <w:rsid w:val="00025DF1"/>
    <w:rsid w:val="000274AA"/>
    <w:rsid w:val="0003103D"/>
    <w:rsid w:val="000337AF"/>
    <w:rsid w:val="00035D44"/>
    <w:rsid w:val="00037230"/>
    <w:rsid w:val="00037406"/>
    <w:rsid w:val="000377F6"/>
    <w:rsid w:val="00037B3C"/>
    <w:rsid w:val="00037F12"/>
    <w:rsid w:val="000429E5"/>
    <w:rsid w:val="000431B7"/>
    <w:rsid w:val="00043EBA"/>
    <w:rsid w:val="00044C1F"/>
    <w:rsid w:val="00044FDF"/>
    <w:rsid w:val="00047806"/>
    <w:rsid w:val="00047E57"/>
    <w:rsid w:val="00052044"/>
    <w:rsid w:val="00052654"/>
    <w:rsid w:val="00052D43"/>
    <w:rsid w:val="0005457A"/>
    <w:rsid w:val="000552EF"/>
    <w:rsid w:val="0005537B"/>
    <w:rsid w:val="0005590A"/>
    <w:rsid w:val="00055E13"/>
    <w:rsid w:val="0006087A"/>
    <w:rsid w:val="00060C9E"/>
    <w:rsid w:val="000614BE"/>
    <w:rsid w:val="0006251A"/>
    <w:rsid w:val="00062E34"/>
    <w:rsid w:val="000656F9"/>
    <w:rsid w:val="00065907"/>
    <w:rsid w:val="00065B8C"/>
    <w:rsid w:val="00067C8C"/>
    <w:rsid w:val="00067FCD"/>
    <w:rsid w:val="00070425"/>
    <w:rsid w:val="00071270"/>
    <w:rsid w:val="000734C0"/>
    <w:rsid w:val="0007400F"/>
    <w:rsid w:val="00075115"/>
    <w:rsid w:val="0007548C"/>
    <w:rsid w:val="00075B7A"/>
    <w:rsid w:val="00076315"/>
    <w:rsid w:val="00076559"/>
    <w:rsid w:val="000774BE"/>
    <w:rsid w:val="00080148"/>
    <w:rsid w:val="00081A34"/>
    <w:rsid w:val="00085592"/>
    <w:rsid w:val="00090220"/>
    <w:rsid w:val="00090D07"/>
    <w:rsid w:val="00091537"/>
    <w:rsid w:val="00092301"/>
    <w:rsid w:val="00093E7E"/>
    <w:rsid w:val="00095761"/>
    <w:rsid w:val="00096A21"/>
    <w:rsid w:val="0009796E"/>
    <w:rsid w:val="00097A36"/>
    <w:rsid w:val="000A065D"/>
    <w:rsid w:val="000A0AD7"/>
    <w:rsid w:val="000A3996"/>
    <w:rsid w:val="000A4D29"/>
    <w:rsid w:val="000A753B"/>
    <w:rsid w:val="000A7EC0"/>
    <w:rsid w:val="000B2C64"/>
    <w:rsid w:val="000B2F45"/>
    <w:rsid w:val="000B49C6"/>
    <w:rsid w:val="000B6548"/>
    <w:rsid w:val="000B7F98"/>
    <w:rsid w:val="000C04A0"/>
    <w:rsid w:val="000C2DA0"/>
    <w:rsid w:val="000C5097"/>
    <w:rsid w:val="000C597F"/>
    <w:rsid w:val="000C7C84"/>
    <w:rsid w:val="000C7FF7"/>
    <w:rsid w:val="000D05F4"/>
    <w:rsid w:val="000D079E"/>
    <w:rsid w:val="000D0D0E"/>
    <w:rsid w:val="000D3BDC"/>
    <w:rsid w:val="000D3F8F"/>
    <w:rsid w:val="000D70DC"/>
    <w:rsid w:val="000E1424"/>
    <w:rsid w:val="000E416E"/>
    <w:rsid w:val="000E4248"/>
    <w:rsid w:val="000E4C22"/>
    <w:rsid w:val="000E4FFE"/>
    <w:rsid w:val="000E7779"/>
    <w:rsid w:val="000E7B0B"/>
    <w:rsid w:val="000F091F"/>
    <w:rsid w:val="000F2361"/>
    <w:rsid w:val="000F2C3C"/>
    <w:rsid w:val="000F2FB0"/>
    <w:rsid w:val="000F4B0C"/>
    <w:rsid w:val="000F664E"/>
    <w:rsid w:val="001001C5"/>
    <w:rsid w:val="001004E0"/>
    <w:rsid w:val="00101676"/>
    <w:rsid w:val="00101C08"/>
    <w:rsid w:val="00107936"/>
    <w:rsid w:val="001079A2"/>
    <w:rsid w:val="00112601"/>
    <w:rsid w:val="00113ABA"/>
    <w:rsid w:val="00114339"/>
    <w:rsid w:val="00114345"/>
    <w:rsid w:val="0011475D"/>
    <w:rsid w:val="00114E1C"/>
    <w:rsid w:val="00115538"/>
    <w:rsid w:val="001179DE"/>
    <w:rsid w:val="00117C19"/>
    <w:rsid w:val="001206EF"/>
    <w:rsid w:val="0012178E"/>
    <w:rsid w:val="001229CE"/>
    <w:rsid w:val="0012347B"/>
    <w:rsid w:val="001243D6"/>
    <w:rsid w:val="001246C2"/>
    <w:rsid w:val="00127335"/>
    <w:rsid w:val="00127E29"/>
    <w:rsid w:val="00130CEE"/>
    <w:rsid w:val="00131B23"/>
    <w:rsid w:val="001327A3"/>
    <w:rsid w:val="001337E5"/>
    <w:rsid w:val="001343FE"/>
    <w:rsid w:val="00134EC9"/>
    <w:rsid w:val="0014015F"/>
    <w:rsid w:val="001417B0"/>
    <w:rsid w:val="00142A80"/>
    <w:rsid w:val="0014335E"/>
    <w:rsid w:val="0014506C"/>
    <w:rsid w:val="001468B9"/>
    <w:rsid w:val="00146C80"/>
    <w:rsid w:val="00146CDE"/>
    <w:rsid w:val="001513E0"/>
    <w:rsid w:val="00151B6C"/>
    <w:rsid w:val="00152E38"/>
    <w:rsid w:val="0015311A"/>
    <w:rsid w:val="00156657"/>
    <w:rsid w:val="001568DB"/>
    <w:rsid w:val="001615BE"/>
    <w:rsid w:val="0016232C"/>
    <w:rsid w:val="0016243A"/>
    <w:rsid w:val="00163016"/>
    <w:rsid w:val="001638C5"/>
    <w:rsid w:val="0016526D"/>
    <w:rsid w:val="00165A4B"/>
    <w:rsid w:val="00165BEF"/>
    <w:rsid w:val="00166008"/>
    <w:rsid w:val="001660E9"/>
    <w:rsid w:val="00166521"/>
    <w:rsid w:val="0016722A"/>
    <w:rsid w:val="00171D9B"/>
    <w:rsid w:val="00173BCE"/>
    <w:rsid w:val="0018509F"/>
    <w:rsid w:val="00187901"/>
    <w:rsid w:val="00190AC8"/>
    <w:rsid w:val="0019347B"/>
    <w:rsid w:val="001935AA"/>
    <w:rsid w:val="0019408C"/>
    <w:rsid w:val="00195C1B"/>
    <w:rsid w:val="00196417"/>
    <w:rsid w:val="001965E1"/>
    <w:rsid w:val="0019779F"/>
    <w:rsid w:val="00197AE9"/>
    <w:rsid w:val="001A5B89"/>
    <w:rsid w:val="001A67B0"/>
    <w:rsid w:val="001A6EEB"/>
    <w:rsid w:val="001B0693"/>
    <w:rsid w:val="001B2815"/>
    <w:rsid w:val="001B2F93"/>
    <w:rsid w:val="001B4DA7"/>
    <w:rsid w:val="001B5762"/>
    <w:rsid w:val="001B5780"/>
    <w:rsid w:val="001B62F8"/>
    <w:rsid w:val="001B78FA"/>
    <w:rsid w:val="001C1A48"/>
    <w:rsid w:val="001C1B21"/>
    <w:rsid w:val="001C3989"/>
    <w:rsid w:val="001C4D40"/>
    <w:rsid w:val="001C51D7"/>
    <w:rsid w:val="001C6945"/>
    <w:rsid w:val="001D08C2"/>
    <w:rsid w:val="001D1985"/>
    <w:rsid w:val="001D277E"/>
    <w:rsid w:val="001D2934"/>
    <w:rsid w:val="001D38FC"/>
    <w:rsid w:val="001D39D1"/>
    <w:rsid w:val="001D3BCA"/>
    <w:rsid w:val="001D44D2"/>
    <w:rsid w:val="001D544A"/>
    <w:rsid w:val="001D652B"/>
    <w:rsid w:val="001D6AB1"/>
    <w:rsid w:val="001D7561"/>
    <w:rsid w:val="001E299F"/>
    <w:rsid w:val="001E29C3"/>
    <w:rsid w:val="001E2F91"/>
    <w:rsid w:val="001E746D"/>
    <w:rsid w:val="001F407D"/>
    <w:rsid w:val="001F40DD"/>
    <w:rsid w:val="001F4C92"/>
    <w:rsid w:val="001F579F"/>
    <w:rsid w:val="001F7938"/>
    <w:rsid w:val="001F7DED"/>
    <w:rsid w:val="00200543"/>
    <w:rsid w:val="002008E9"/>
    <w:rsid w:val="002014EA"/>
    <w:rsid w:val="002074F7"/>
    <w:rsid w:val="00210025"/>
    <w:rsid w:val="00210554"/>
    <w:rsid w:val="002108CF"/>
    <w:rsid w:val="0021333C"/>
    <w:rsid w:val="0021369D"/>
    <w:rsid w:val="002150B6"/>
    <w:rsid w:val="00216081"/>
    <w:rsid w:val="00216213"/>
    <w:rsid w:val="00216809"/>
    <w:rsid w:val="0022013E"/>
    <w:rsid w:val="002207D2"/>
    <w:rsid w:val="002210E4"/>
    <w:rsid w:val="00221810"/>
    <w:rsid w:val="00223DF5"/>
    <w:rsid w:val="00224574"/>
    <w:rsid w:val="00224C09"/>
    <w:rsid w:val="00224E88"/>
    <w:rsid w:val="00224F3F"/>
    <w:rsid w:val="00225F9E"/>
    <w:rsid w:val="002263F2"/>
    <w:rsid w:val="002275FD"/>
    <w:rsid w:val="002277A1"/>
    <w:rsid w:val="002277EE"/>
    <w:rsid w:val="002351B6"/>
    <w:rsid w:val="002351C9"/>
    <w:rsid w:val="00236AA8"/>
    <w:rsid w:val="00236E0A"/>
    <w:rsid w:val="002376D1"/>
    <w:rsid w:val="00240529"/>
    <w:rsid w:val="00245E72"/>
    <w:rsid w:val="0025081A"/>
    <w:rsid w:val="0025143D"/>
    <w:rsid w:val="00251683"/>
    <w:rsid w:val="002537B2"/>
    <w:rsid w:val="00254C97"/>
    <w:rsid w:val="002560F9"/>
    <w:rsid w:val="00256954"/>
    <w:rsid w:val="00256BA7"/>
    <w:rsid w:val="00257FC8"/>
    <w:rsid w:val="00260218"/>
    <w:rsid w:val="0026119A"/>
    <w:rsid w:val="00262A8C"/>
    <w:rsid w:val="002666CF"/>
    <w:rsid w:val="00273479"/>
    <w:rsid w:val="00273BFB"/>
    <w:rsid w:val="0027463E"/>
    <w:rsid w:val="00275D4D"/>
    <w:rsid w:val="0027613B"/>
    <w:rsid w:val="00276E6D"/>
    <w:rsid w:val="00280218"/>
    <w:rsid w:val="00281136"/>
    <w:rsid w:val="0028602E"/>
    <w:rsid w:val="00286682"/>
    <w:rsid w:val="0028792A"/>
    <w:rsid w:val="0029120C"/>
    <w:rsid w:val="00291971"/>
    <w:rsid w:val="00294B2B"/>
    <w:rsid w:val="00295142"/>
    <w:rsid w:val="002956E7"/>
    <w:rsid w:val="0029708B"/>
    <w:rsid w:val="002A1A61"/>
    <w:rsid w:val="002A2CBD"/>
    <w:rsid w:val="002A6270"/>
    <w:rsid w:val="002A6901"/>
    <w:rsid w:val="002B2360"/>
    <w:rsid w:val="002B3472"/>
    <w:rsid w:val="002B3650"/>
    <w:rsid w:val="002B45E2"/>
    <w:rsid w:val="002B4960"/>
    <w:rsid w:val="002C2C04"/>
    <w:rsid w:val="002C2D70"/>
    <w:rsid w:val="002C526F"/>
    <w:rsid w:val="002C6770"/>
    <w:rsid w:val="002C6950"/>
    <w:rsid w:val="002C7030"/>
    <w:rsid w:val="002D3D23"/>
    <w:rsid w:val="002D4674"/>
    <w:rsid w:val="002D728A"/>
    <w:rsid w:val="002E1DDB"/>
    <w:rsid w:val="002E213C"/>
    <w:rsid w:val="002E3C95"/>
    <w:rsid w:val="002E4CDE"/>
    <w:rsid w:val="002E5D06"/>
    <w:rsid w:val="002E65D0"/>
    <w:rsid w:val="002E6814"/>
    <w:rsid w:val="002E6AA8"/>
    <w:rsid w:val="002E7827"/>
    <w:rsid w:val="002F1D0F"/>
    <w:rsid w:val="002F34AD"/>
    <w:rsid w:val="002F4470"/>
    <w:rsid w:val="002F6349"/>
    <w:rsid w:val="002F68E0"/>
    <w:rsid w:val="002F6A6F"/>
    <w:rsid w:val="00300779"/>
    <w:rsid w:val="00300B3A"/>
    <w:rsid w:val="00301EF9"/>
    <w:rsid w:val="003058B6"/>
    <w:rsid w:val="0030661D"/>
    <w:rsid w:val="003068BF"/>
    <w:rsid w:val="00306ADC"/>
    <w:rsid w:val="003110F4"/>
    <w:rsid w:val="00312125"/>
    <w:rsid w:val="003174E7"/>
    <w:rsid w:val="00321DF3"/>
    <w:rsid w:val="003239D8"/>
    <w:rsid w:val="00326707"/>
    <w:rsid w:val="00326738"/>
    <w:rsid w:val="0032739A"/>
    <w:rsid w:val="00330CCC"/>
    <w:rsid w:val="00331FCD"/>
    <w:rsid w:val="003351B8"/>
    <w:rsid w:val="00336EA3"/>
    <w:rsid w:val="00341431"/>
    <w:rsid w:val="0034746C"/>
    <w:rsid w:val="0035107B"/>
    <w:rsid w:val="00351C33"/>
    <w:rsid w:val="003534E1"/>
    <w:rsid w:val="003537D2"/>
    <w:rsid w:val="003543CE"/>
    <w:rsid w:val="0035462C"/>
    <w:rsid w:val="00363AB3"/>
    <w:rsid w:val="00364378"/>
    <w:rsid w:val="00366615"/>
    <w:rsid w:val="00366B2B"/>
    <w:rsid w:val="00367852"/>
    <w:rsid w:val="003709C8"/>
    <w:rsid w:val="00371084"/>
    <w:rsid w:val="00372A73"/>
    <w:rsid w:val="00373F47"/>
    <w:rsid w:val="00374E57"/>
    <w:rsid w:val="00375495"/>
    <w:rsid w:val="00375A23"/>
    <w:rsid w:val="003766DE"/>
    <w:rsid w:val="00380C54"/>
    <w:rsid w:val="00384947"/>
    <w:rsid w:val="003874AC"/>
    <w:rsid w:val="00391D84"/>
    <w:rsid w:val="003922B9"/>
    <w:rsid w:val="003928DE"/>
    <w:rsid w:val="003930BA"/>
    <w:rsid w:val="00393E37"/>
    <w:rsid w:val="00394F83"/>
    <w:rsid w:val="00394FD0"/>
    <w:rsid w:val="00397C88"/>
    <w:rsid w:val="003A0F3F"/>
    <w:rsid w:val="003A30BD"/>
    <w:rsid w:val="003A7043"/>
    <w:rsid w:val="003B0246"/>
    <w:rsid w:val="003B0F1C"/>
    <w:rsid w:val="003B20BE"/>
    <w:rsid w:val="003B39CF"/>
    <w:rsid w:val="003B3B42"/>
    <w:rsid w:val="003B45A5"/>
    <w:rsid w:val="003B51E0"/>
    <w:rsid w:val="003B5F8A"/>
    <w:rsid w:val="003C0C01"/>
    <w:rsid w:val="003C0C79"/>
    <w:rsid w:val="003C113C"/>
    <w:rsid w:val="003C122B"/>
    <w:rsid w:val="003C3D89"/>
    <w:rsid w:val="003C5F5A"/>
    <w:rsid w:val="003C710A"/>
    <w:rsid w:val="003D17D6"/>
    <w:rsid w:val="003D2EF6"/>
    <w:rsid w:val="003D2FFB"/>
    <w:rsid w:val="003D334A"/>
    <w:rsid w:val="003D50BA"/>
    <w:rsid w:val="003D66D1"/>
    <w:rsid w:val="003E3C0C"/>
    <w:rsid w:val="003E4EBD"/>
    <w:rsid w:val="003E5355"/>
    <w:rsid w:val="003F09EB"/>
    <w:rsid w:val="003F1496"/>
    <w:rsid w:val="003F158F"/>
    <w:rsid w:val="003F2DD2"/>
    <w:rsid w:val="003F341F"/>
    <w:rsid w:val="003F4447"/>
    <w:rsid w:val="003F4759"/>
    <w:rsid w:val="003F4804"/>
    <w:rsid w:val="003F482D"/>
    <w:rsid w:val="003F525B"/>
    <w:rsid w:val="00402626"/>
    <w:rsid w:val="00402BB5"/>
    <w:rsid w:val="00407BFF"/>
    <w:rsid w:val="0041087B"/>
    <w:rsid w:val="00410D9E"/>
    <w:rsid w:val="00411F16"/>
    <w:rsid w:val="00413F80"/>
    <w:rsid w:val="00415405"/>
    <w:rsid w:val="004171BE"/>
    <w:rsid w:val="004203D6"/>
    <w:rsid w:val="004205BB"/>
    <w:rsid w:val="00421C51"/>
    <w:rsid w:val="0042357E"/>
    <w:rsid w:val="004239A0"/>
    <w:rsid w:val="00425104"/>
    <w:rsid w:val="00426DDE"/>
    <w:rsid w:val="004311DF"/>
    <w:rsid w:val="004313F2"/>
    <w:rsid w:val="00432C37"/>
    <w:rsid w:val="004368CD"/>
    <w:rsid w:val="004369C5"/>
    <w:rsid w:val="00437B61"/>
    <w:rsid w:val="004409FF"/>
    <w:rsid w:val="00441E06"/>
    <w:rsid w:val="00443A00"/>
    <w:rsid w:val="00445A2F"/>
    <w:rsid w:val="00445DA1"/>
    <w:rsid w:val="00445DFF"/>
    <w:rsid w:val="004473A5"/>
    <w:rsid w:val="0045009C"/>
    <w:rsid w:val="004504CA"/>
    <w:rsid w:val="00452D1E"/>
    <w:rsid w:val="004545A6"/>
    <w:rsid w:val="004549B2"/>
    <w:rsid w:val="00455EF2"/>
    <w:rsid w:val="00456AA7"/>
    <w:rsid w:val="0046055C"/>
    <w:rsid w:val="00465272"/>
    <w:rsid w:val="00465D86"/>
    <w:rsid w:val="004673D1"/>
    <w:rsid w:val="00471561"/>
    <w:rsid w:val="00472C54"/>
    <w:rsid w:val="00472D1C"/>
    <w:rsid w:val="0047731D"/>
    <w:rsid w:val="00477B43"/>
    <w:rsid w:val="004804BA"/>
    <w:rsid w:val="0048088A"/>
    <w:rsid w:val="004815FA"/>
    <w:rsid w:val="00481AF8"/>
    <w:rsid w:val="0048343C"/>
    <w:rsid w:val="004852CE"/>
    <w:rsid w:val="004857CD"/>
    <w:rsid w:val="00487FD9"/>
    <w:rsid w:val="00492782"/>
    <w:rsid w:val="00495E3C"/>
    <w:rsid w:val="00496D87"/>
    <w:rsid w:val="004A0892"/>
    <w:rsid w:val="004A2F4A"/>
    <w:rsid w:val="004A3096"/>
    <w:rsid w:val="004A4FEE"/>
    <w:rsid w:val="004A5858"/>
    <w:rsid w:val="004A5B34"/>
    <w:rsid w:val="004A5F6A"/>
    <w:rsid w:val="004A5FCF"/>
    <w:rsid w:val="004A6AEE"/>
    <w:rsid w:val="004A7B26"/>
    <w:rsid w:val="004B0D4E"/>
    <w:rsid w:val="004B1041"/>
    <w:rsid w:val="004B5ED9"/>
    <w:rsid w:val="004C2460"/>
    <w:rsid w:val="004C2D67"/>
    <w:rsid w:val="004C4079"/>
    <w:rsid w:val="004C49DA"/>
    <w:rsid w:val="004C5052"/>
    <w:rsid w:val="004C6A8C"/>
    <w:rsid w:val="004C7F9A"/>
    <w:rsid w:val="004D1F66"/>
    <w:rsid w:val="004D5989"/>
    <w:rsid w:val="004D5B8C"/>
    <w:rsid w:val="004D600A"/>
    <w:rsid w:val="004D7BF3"/>
    <w:rsid w:val="004E0D4D"/>
    <w:rsid w:val="004E0DF5"/>
    <w:rsid w:val="004E2578"/>
    <w:rsid w:val="004E3984"/>
    <w:rsid w:val="004E3CAD"/>
    <w:rsid w:val="004E7ECF"/>
    <w:rsid w:val="004F0A28"/>
    <w:rsid w:val="004F2EE5"/>
    <w:rsid w:val="004F3C06"/>
    <w:rsid w:val="004F41EC"/>
    <w:rsid w:val="004F5371"/>
    <w:rsid w:val="004F5807"/>
    <w:rsid w:val="004F65F7"/>
    <w:rsid w:val="004F73A4"/>
    <w:rsid w:val="0050064A"/>
    <w:rsid w:val="00501158"/>
    <w:rsid w:val="005018B4"/>
    <w:rsid w:val="00501A88"/>
    <w:rsid w:val="00502D71"/>
    <w:rsid w:val="00506B08"/>
    <w:rsid w:val="00506CEF"/>
    <w:rsid w:val="0051039D"/>
    <w:rsid w:val="00512882"/>
    <w:rsid w:val="00516BB7"/>
    <w:rsid w:val="0051704E"/>
    <w:rsid w:val="00520819"/>
    <w:rsid w:val="00521C01"/>
    <w:rsid w:val="00521FB8"/>
    <w:rsid w:val="005220C8"/>
    <w:rsid w:val="0052395C"/>
    <w:rsid w:val="00524B93"/>
    <w:rsid w:val="0052527B"/>
    <w:rsid w:val="0052643A"/>
    <w:rsid w:val="0052699E"/>
    <w:rsid w:val="00530B69"/>
    <w:rsid w:val="00530DC8"/>
    <w:rsid w:val="00533EAE"/>
    <w:rsid w:val="00534044"/>
    <w:rsid w:val="005349AD"/>
    <w:rsid w:val="0053566C"/>
    <w:rsid w:val="0053626C"/>
    <w:rsid w:val="00537220"/>
    <w:rsid w:val="0053752E"/>
    <w:rsid w:val="00540C29"/>
    <w:rsid w:val="005410AC"/>
    <w:rsid w:val="00542383"/>
    <w:rsid w:val="0054255D"/>
    <w:rsid w:val="005430E4"/>
    <w:rsid w:val="00543121"/>
    <w:rsid w:val="0054369F"/>
    <w:rsid w:val="00543C01"/>
    <w:rsid w:val="00544510"/>
    <w:rsid w:val="00545063"/>
    <w:rsid w:val="005454DD"/>
    <w:rsid w:val="0054633B"/>
    <w:rsid w:val="00546F1B"/>
    <w:rsid w:val="005471E5"/>
    <w:rsid w:val="00547325"/>
    <w:rsid w:val="00547628"/>
    <w:rsid w:val="00550048"/>
    <w:rsid w:val="005518CA"/>
    <w:rsid w:val="00553CB3"/>
    <w:rsid w:val="005547AB"/>
    <w:rsid w:val="0055580C"/>
    <w:rsid w:val="00557C9C"/>
    <w:rsid w:val="005605C9"/>
    <w:rsid w:val="0056063F"/>
    <w:rsid w:val="00560AB1"/>
    <w:rsid w:val="0056104E"/>
    <w:rsid w:val="00561229"/>
    <w:rsid w:val="00562D9C"/>
    <w:rsid w:val="00565726"/>
    <w:rsid w:val="00565D8B"/>
    <w:rsid w:val="00566C5C"/>
    <w:rsid w:val="005679FD"/>
    <w:rsid w:val="0057018D"/>
    <w:rsid w:val="0057112F"/>
    <w:rsid w:val="00571974"/>
    <w:rsid w:val="00571CAA"/>
    <w:rsid w:val="00573BDA"/>
    <w:rsid w:val="00573E29"/>
    <w:rsid w:val="005748E7"/>
    <w:rsid w:val="00574E07"/>
    <w:rsid w:val="00581A6A"/>
    <w:rsid w:val="00583130"/>
    <w:rsid w:val="005836AD"/>
    <w:rsid w:val="00584438"/>
    <w:rsid w:val="005846E2"/>
    <w:rsid w:val="005848AD"/>
    <w:rsid w:val="00584AAC"/>
    <w:rsid w:val="00584B1B"/>
    <w:rsid w:val="00586909"/>
    <w:rsid w:val="0058698C"/>
    <w:rsid w:val="005871BD"/>
    <w:rsid w:val="00587616"/>
    <w:rsid w:val="00590C69"/>
    <w:rsid w:val="005921C0"/>
    <w:rsid w:val="005931BC"/>
    <w:rsid w:val="005936E0"/>
    <w:rsid w:val="005951DD"/>
    <w:rsid w:val="00595E7C"/>
    <w:rsid w:val="00597151"/>
    <w:rsid w:val="005A046E"/>
    <w:rsid w:val="005A0514"/>
    <w:rsid w:val="005A10C7"/>
    <w:rsid w:val="005A3A46"/>
    <w:rsid w:val="005A6380"/>
    <w:rsid w:val="005A662A"/>
    <w:rsid w:val="005A6FB6"/>
    <w:rsid w:val="005A7EEE"/>
    <w:rsid w:val="005B0985"/>
    <w:rsid w:val="005B1C7A"/>
    <w:rsid w:val="005B2D5A"/>
    <w:rsid w:val="005B2FF2"/>
    <w:rsid w:val="005B576F"/>
    <w:rsid w:val="005B5ACB"/>
    <w:rsid w:val="005B6614"/>
    <w:rsid w:val="005C2A7F"/>
    <w:rsid w:val="005C2E18"/>
    <w:rsid w:val="005C454D"/>
    <w:rsid w:val="005C4D35"/>
    <w:rsid w:val="005D052F"/>
    <w:rsid w:val="005D153E"/>
    <w:rsid w:val="005D1A64"/>
    <w:rsid w:val="005D3A22"/>
    <w:rsid w:val="005D66BC"/>
    <w:rsid w:val="005E138A"/>
    <w:rsid w:val="005E579C"/>
    <w:rsid w:val="005E583D"/>
    <w:rsid w:val="005F0616"/>
    <w:rsid w:val="005F1A86"/>
    <w:rsid w:val="005F389F"/>
    <w:rsid w:val="005F3BBE"/>
    <w:rsid w:val="005F4019"/>
    <w:rsid w:val="005F4A4A"/>
    <w:rsid w:val="005F54C3"/>
    <w:rsid w:val="005F5B15"/>
    <w:rsid w:val="00600177"/>
    <w:rsid w:val="00600671"/>
    <w:rsid w:val="00601049"/>
    <w:rsid w:val="0060104C"/>
    <w:rsid w:val="00603FB2"/>
    <w:rsid w:val="00604940"/>
    <w:rsid w:val="006068EB"/>
    <w:rsid w:val="00606CB3"/>
    <w:rsid w:val="006073C4"/>
    <w:rsid w:val="00607768"/>
    <w:rsid w:val="006104E9"/>
    <w:rsid w:val="00610544"/>
    <w:rsid w:val="0061057D"/>
    <w:rsid w:val="00610748"/>
    <w:rsid w:val="006110D4"/>
    <w:rsid w:val="00612ACF"/>
    <w:rsid w:val="00613991"/>
    <w:rsid w:val="006142B7"/>
    <w:rsid w:val="006149D2"/>
    <w:rsid w:val="006173E4"/>
    <w:rsid w:val="0062000E"/>
    <w:rsid w:val="0062252A"/>
    <w:rsid w:val="00622850"/>
    <w:rsid w:val="00623441"/>
    <w:rsid w:val="00623CAA"/>
    <w:rsid w:val="00624440"/>
    <w:rsid w:val="006249C6"/>
    <w:rsid w:val="00625B98"/>
    <w:rsid w:val="006269E9"/>
    <w:rsid w:val="00627126"/>
    <w:rsid w:val="00631371"/>
    <w:rsid w:val="006323EC"/>
    <w:rsid w:val="006414C5"/>
    <w:rsid w:val="0064152E"/>
    <w:rsid w:val="00642C43"/>
    <w:rsid w:val="00645D47"/>
    <w:rsid w:val="00646039"/>
    <w:rsid w:val="00646589"/>
    <w:rsid w:val="0064792D"/>
    <w:rsid w:val="00650D2F"/>
    <w:rsid w:val="006510FB"/>
    <w:rsid w:val="00651889"/>
    <w:rsid w:val="00651B2B"/>
    <w:rsid w:val="00653EB7"/>
    <w:rsid w:val="006553F1"/>
    <w:rsid w:val="0065720D"/>
    <w:rsid w:val="0066061F"/>
    <w:rsid w:val="00667A2B"/>
    <w:rsid w:val="00667ED0"/>
    <w:rsid w:val="006703DB"/>
    <w:rsid w:val="006707EC"/>
    <w:rsid w:val="006726F8"/>
    <w:rsid w:val="0067459C"/>
    <w:rsid w:val="006759AA"/>
    <w:rsid w:val="00675B19"/>
    <w:rsid w:val="00677037"/>
    <w:rsid w:val="00681583"/>
    <w:rsid w:val="0068411B"/>
    <w:rsid w:val="006842E8"/>
    <w:rsid w:val="00684FF5"/>
    <w:rsid w:val="0068568F"/>
    <w:rsid w:val="0068630C"/>
    <w:rsid w:val="006863DB"/>
    <w:rsid w:val="006872C6"/>
    <w:rsid w:val="00687865"/>
    <w:rsid w:val="006927CF"/>
    <w:rsid w:val="006A05EE"/>
    <w:rsid w:val="006A20E4"/>
    <w:rsid w:val="006A2903"/>
    <w:rsid w:val="006A7273"/>
    <w:rsid w:val="006A7E53"/>
    <w:rsid w:val="006B0CE9"/>
    <w:rsid w:val="006B0DA3"/>
    <w:rsid w:val="006B1927"/>
    <w:rsid w:val="006B1D2D"/>
    <w:rsid w:val="006B2BBE"/>
    <w:rsid w:val="006B3093"/>
    <w:rsid w:val="006B337D"/>
    <w:rsid w:val="006B36E7"/>
    <w:rsid w:val="006B4E33"/>
    <w:rsid w:val="006B583B"/>
    <w:rsid w:val="006B7133"/>
    <w:rsid w:val="006C14A2"/>
    <w:rsid w:val="006C2935"/>
    <w:rsid w:val="006C382E"/>
    <w:rsid w:val="006C58BA"/>
    <w:rsid w:val="006C71BD"/>
    <w:rsid w:val="006D2D9B"/>
    <w:rsid w:val="006D332C"/>
    <w:rsid w:val="006D5B26"/>
    <w:rsid w:val="006D7421"/>
    <w:rsid w:val="006E0617"/>
    <w:rsid w:val="006E58C0"/>
    <w:rsid w:val="006E6053"/>
    <w:rsid w:val="006E712E"/>
    <w:rsid w:val="006E7ADC"/>
    <w:rsid w:val="006F0A68"/>
    <w:rsid w:val="006F0F34"/>
    <w:rsid w:val="006F2658"/>
    <w:rsid w:val="006F4D5D"/>
    <w:rsid w:val="006F5785"/>
    <w:rsid w:val="006F6157"/>
    <w:rsid w:val="006F7169"/>
    <w:rsid w:val="006F7177"/>
    <w:rsid w:val="006F7FBB"/>
    <w:rsid w:val="00704D38"/>
    <w:rsid w:val="00704F04"/>
    <w:rsid w:val="0070512F"/>
    <w:rsid w:val="00705371"/>
    <w:rsid w:val="00706081"/>
    <w:rsid w:val="0070732E"/>
    <w:rsid w:val="0070787E"/>
    <w:rsid w:val="007101D0"/>
    <w:rsid w:val="0072026A"/>
    <w:rsid w:val="0072056A"/>
    <w:rsid w:val="00722D9B"/>
    <w:rsid w:val="00724179"/>
    <w:rsid w:val="0072599F"/>
    <w:rsid w:val="00727671"/>
    <w:rsid w:val="007311C5"/>
    <w:rsid w:val="00731535"/>
    <w:rsid w:val="00731A32"/>
    <w:rsid w:val="007337C6"/>
    <w:rsid w:val="00733BAD"/>
    <w:rsid w:val="00736DA7"/>
    <w:rsid w:val="0073724D"/>
    <w:rsid w:val="007373A8"/>
    <w:rsid w:val="00737F3A"/>
    <w:rsid w:val="007419E3"/>
    <w:rsid w:val="0074225A"/>
    <w:rsid w:val="00745914"/>
    <w:rsid w:val="00747866"/>
    <w:rsid w:val="0075396F"/>
    <w:rsid w:val="00753E28"/>
    <w:rsid w:val="00756B21"/>
    <w:rsid w:val="00761091"/>
    <w:rsid w:val="007621DA"/>
    <w:rsid w:val="00762C77"/>
    <w:rsid w:val="00763584"/>
    <w:rsid w:val="00763597"/>
    <w:rsid w:val="00765886"/>
    <w:rsid w:val="00766334"/>
    <w:rsid w:val="0077257A"/>
    <w:rsid w:val="00773580"/>
    <w:rsid w:val="00773628"/>
    <w:rsid w:val="00774375"/>
    <w:rsid w:val="007757B8"/>
    <w:rsid w:val="00775A92"/>
    <w:rsid w:val="007775EB"/>
    <w:rsid w:val="007805F4"/>
    <w:rsid w:val="00782131"/>
    <w:rsid w:val="00782B5C"/>
    <w:rsid w:val="0078387B"/>
    <w:rsid w:val="0078417F"/>
    <w:rsid w:val="00784349"/>
    <w:rsid w:val="00784A5F"/>
    <w:rsid w:val="00784ED7"/>
    <w:rsid w:val="00786849"/>
    <w:rsid w:val="00786E6F"/>
    <w:rsid w:val="00787D12"/>
    <w:rsid w:val="0079046F"/>
    <w:rsid w:val="0079069D"/>
    <w:rsid w:val="007923A2"/>
    <w:rsid w:val="00795062"/>
    <w:rsid w:val="00795697"/>
    <w:rsid w:val="00795C09"/>
    <w:rsid w:val="007A061B"/>
    <w:rsid w:val="007A0B2C"/>
    <w:rsid w:val="007A0CC7"/>
    <w:rsid w:val="007A1231"/>
    <w:rsid w:val="007A28D2"/>
    <w:rsid w:val="007A34FE"/>
    <w:rsid w:val="007A540C"/>
    <w:rsid w:val="007A612B"/>
    <w:rsid w:val="007A7229"/>
    <w:rsid w:val="007B033C"/>
    <w:rsid w:val="007B1C34"/>
    <w:rsid w:val="007B245F"/>
    <w:rsid w:val="007B24AB"/>
    <w:rsid w:val="007B3256"/>
    <w:rsid w:val="007B54D2"/>
    <w:rsid w:val="007B570B"/>
    <w:rsid w:val="007B685F"/>
    <w:rsid w:val="007B6BA9"/>
    <w:rsid w:val="007B6BC7"/>
    <w:rsid w:val="007B7BEB"/>
    <w:rsid w:val="007B7EB7"/>
    <w:rsid w:val="007C05F0"/>
    <w:rsid w:val="007C0D69"/>
    <w:rsid w:val="007C0DDF"/>
    <w:rsid w:val="007C1838"/>
    <w:rsid w:val="007C2F65"/>
    <w:rsid w:val="007C6535"/>
    <w:rsid w:val="007C75B1"/>
    <w:rsid w:val="007C7C53"/>
    <w:rsid w:val="007D14A4"/>
    <w:rsid w:val="007D486B"/>
    <w:rsid w:val="007D5398"/>
    <w:rsid w:val="007D53EA"/>
    <w:rsid w:val="007D6E01"/>
    <w:rsid w:val="007E04B4"/>
    <w:rsid w:val="007E242C"/>
    <w:rsid w:val="007E24C8"/>
    <w:rsid w:val="007E2B5E"/>
    <w:rsid w:val="007E49EA"/>
    <w:rsid w:val="007E55C1"/>
    <w:rsid w:val="007E57CE"/>
    <w:rsid w:val="007E5CD7"/>
    <w:rsid w:val="007E6A9D"/>
    <w:rsid w:val="007F2A6E"/>
    <w:rsid w:val="007F3EAF"/>
    <w:rsid w:val="007F3EC1"/>
    <w:rsid w:val="007F4015"/>
    <w:rsid w:val="007F4A36"/>
    <w:rsid w:val="007F5FF5"/>
    <w:rsid w:val="00810371"/>
    <w:rsid w:val="00811664"/>
    <w:rsid w:val="0081492B"/>
    <w:rsid w:val="00822A19"/>
    <w:rsid w:val="00823AE1"/>
    <w:rsid w:val="00823EE1"/>
    <w:rsid w:val="00824E80"/>
    <w:rsid w:val="00831612"/>
    <w:rsid w:val="0083398A"/>
    <w:rsid w:val="00834295"/>
    <w:rsid w:val="00834415"/>
    <w:rsid w:val="00841086"/>
    <w:rsid w:val="00841B89"/>
    <w:rsid w:val="00843238"/>
    <w:rsid w:val="00844064"/>
    <w:rsid w:val="0085262B"/>
    <w:rsid w:val="00856452"/>
    <w:rsid w:val="00860466"/>
    <w:rsid w:val="00860498"/>
    <w:rsid w:val="00860B0C"/>
    <w:rsid w:val="00861EF6"/>
    <w:rsid w:val="008624D4"/>
    <w:rsid w:val="00865922"/>
    <w:rsid w:val="00866E0C"/>
    <w:rsid w:val="008677C9"/>
    <w:rsid w:val="00870ED4"/>
    <w:rsid w:val="008710FE"/>
    <w:rsid w:val="0087352D"/>
    <w:rsid w:val="008748EE"/>
    <w:rsid w:val="00875AEA"/>
    <w:rsid w:val="00876C7D"/>
    <w:rsid w:val="00881D92"/>
    <w:rsid w:val="008834F4"/>
    <w:rsid w:val="00884DD5"/>
    <w:rsid w:val="0088649C"/>
    <w:rsid w:val="0089201E"/>
    <w:rsid w:val="008925F6"/>
    <w:rsid w:val="00892972"/>
    <w:rsid w:val="0089338C"/>
    <w:rsid w:val="00893DE3"/>
    <w:rsid w:val="008A0880"/>
    <w:rsid w:val="008A0B02"/>
    <w:rsid w:val="008A1689"/>
    <w:rsid w:val="008A2DCA"/>
    <w:rsid w:val="008A5715"/>
    <w:rsid w:val="008A5A6F"/>
    <w:rsid w:val="008A5AF3"/>
    <w:rsid w:val="008A79BF"/>
    <w:rsid w:val="008B56CB"/>
    <w:rsid w:val="008B58B1"/>
    <w:rsid w:val="008B5C29"/>
    <w:rsid w:val="008B75BF"/>
    <w:rsid w:val="008B7B16"/>
    <w:rsid w:val="008C155A"/>
    <w:rsid w:val="008C2331"/>
    <w:rsid w:val="008C3267"/>
    <w:rsid w:val="008C5EC1"/>
    <w:rsid w:val="008C7B80"/>
    <w:rsid w:val="008C7DB5"/>
    <w:rsid w:val="008D100A"/>
    <w:rsid w:val="008D11FD"/>
    <w:rsid w:val="008D2167"/>
    <w:rsid w:val="008D6ABE"/>
    <w:rsid w:val="008D6BCB"/>
    <w:rsid w:val="008D6D34"/>
    <w:rsid w:val="008D73E7"/>
    <w:rsid w:val="008D7E7E"/>
    <w:rsid w:val="008E23EA"/>
    <w:rsid w:val="008E3020"/>
    <w:rsid w:val="008E378F"/>
    <w:rsid w:val="008E5516"/>
    <w:rsid w:val="008E5E5C"/>
    <w:rsid w:val="008E70BA"/>
    <w:rsid w:val="008E7327"/>
    <w:rsid w:val="008E795B"/>
    <w:rsid w:val="008E7EDD"/>
    <w:rsid w:val="008F09CC"/>
    <w:rsid w:val="008F25E4"/>
    <w:rsid w:val="00902AA3"/>
    <w:rsid w:val="009030D8"/>
    <w:rsid w:val="0090348A"/>
    <w:rsid w:val="00903AE9"/>
    <w:rsid w:val="009044DB"/>
    <w:rsid w:val="009057C7"/>
    <w:rsid w:val="009063C2"/>
    <w:rsid w:val="00907B3F"/>
    <w:rsid w:val="00911504"/>
    <w:rsid w:val="00911BCD"/>
    <w:rsid w:val="00912374"/>
    <w:rsid w:val="00912D1C"/>
    <w:rsid w:val="00914405"/>
    <w:rsid w:val="00916906"/>
    <w:rsid w:val="00922A33"/>
    <w:rsid w:val="00923DA4"/>
    <w:rsid w:val="00925E7F"/>
    <w:rsid w:val="00925F1C"/>
    <w:rsid w:val="009264A7"/>
    <w:rsid w:val="00926CBD"/>
    <w:rsid w:val="00927081"/>
    <w:rsid w:val="00927419"/>
    <w:rsid w:val="0093145B"/>
    <w:rsid w:val="0093175F"/>
    <w:rsid w:val="00933351"/>
    <w:rsid w:val="00934672"/>
    <w:rsid w:val="00937384"/>
    <w:rsid w:val="0094006E"/>
    <w:rsid w:val="00941C01"/>
    <w:rsid w:val="009435E9"/>
    <w:rsid w:val="00946080"/>
    <w:rsid w:val="009464BC"/>
    <w:rsid w:val="0094782D"/>
    <w:rsid w:val="00952125"/>
    <w:rsid w:val="00954EBA"/>
    <w:rsid w:val="009551B0"/>
    <w:rsid w:val="00956063"/>
    <w:rsid w:val="00957449"/>
    <w:rsid w:val="0095761C"/>
    <w:rsid w:val="00961283"/>
    <w:rsid w:val="00964E52"/>
    <w:rsid w:val="009658F7"/>
    <w:rsid w:val="00966AB6"/>
    <w:rsid w:val="0097016C"/>
    <w:rsid w:val="009708B1"/>
    <w:rsid w:val="00974C0B"/>
    <w:rsid w:val="00976068"/>
    <w:rsid w:val="009766DF"/>
    <w:rsid w:val="00976B3C"/>
    <w:rsid w:val="009809CD"/>
    <w:rsid w:val="009814D8"/>
    <w:rsid w:val="00981847"/>
    <w:rsid w:val="00984194"/>
    <w:rsid w:val="009842CB"/>
    <w:rsid w:val="009863A1"/>
    <w:rsid w:val="0098767F"/>
    <w:rsid w:val="00992BF6"/>
    <w:rsid w:val="00993B18"/>
    <w:rsid w:val="009949C9"/>
    <w:rsid w:val="009958B4"/>
    <w:rsid w:val="00996DBF"/>
    <w:rsid w:val="009A0C0C"/>
    <w:rsid w:val="009A1667"/>
    <w:rsid w:val="009A209F"/>
    <w:rsid w:val="009A227B"/>
    <w:rsid w:val="009A2A61"/>
    <w:rsid w:val="009A3FED"/>
    <w:rsid w:val="009A40FD"/>
    <w:rsid w:val="009A4E7C"/>
    <w:rsid w:val="009A58F9"/>
    <w:rsid w:val="009A6466"/>
    <w:rsid w:val="009B093F"/>
    <w:rsid w:val="009B200C"/>
    <w:rsid w:val="009B377B"/>
    <w:rsid w:val="009B51A9"/>
    <w:rsid w:val="009B5B78"/>
    <w:rsid w:val="009B699E"/>
    <w:rsid w:val="009B6F67"/>
    <w:rsid w:val="009C0137"/>
    <w:rsid w:val="009C06C8"/>
    <w:rsid w:val="009C1B7A"/>
    <w:rsid w:val="009C3C1D"/>
    <w:rsid w:val="009C5A1A"/>
    <w:rsid w:val="009C66F9"/>
    <w:rsid w:val="009C79E9"/>
    <w:rsid w:val="009D067A"/>
    <w:rsid w:val="009D1273"/>
    <w:rsid w:val="009D2944"/>
    <w:rsid w:val="009D2AE6"/>
    <w:rsid w:val="009D3DEC"/>
    <w:rsid w:val="009D47F2"/>
    <w:rsid w:val="009D4F71"/>
    <w:rsid w:val="009D4FEF"/>
    <w:rsid w:val="009D5164"/>
    <w:rsid w:val="009D5329"/>
    <w:rsid w:val="009D5504"/>
    <w:rsid w:val="009D59CA"/>
    <w:rsid w:val="009D5DC4"/>
    <w:rsid w:val="009D784C"/>
    <w:rsid w:val="009E0575"/>
    <w:rsid w:val="009E120B"/>
    <w:rsid w:val="009E1A0D"/>
    <w:rsid w:val="009E1BB1"/>
    <w:rsid w:val="009E2EC2"/>
    <w:rsid w:val="009E3E7A"/>
    <w:rsid w:val="009E51D3"/>
    <w:rsid w:val="009E5A36"/>
    <w:rsid w:val="009E6289"/>
    <w:rsid w:val="009F1726"/>
    <w:rsid w:val="009F5840"/>
    <w:rsid w:val="009F6986"/>
    <w:rsid w:val="009F6DBC"/>
    <w:rsid w:val="009F7537"/>
    <w:rsid w:val="00A0049D"/>
    <w:rsid w:val="00A0123A"/>
    <w:rsid w:val="00A01B30"/>
    <w:rsid w:val="00A02B2A"/>
    <w:rsid w:val="00A02FAB"/>
    <w:rsid w:val="00A0524A"/>
    <w:rsid w:val="00A0592D"/>
    <w:rsid w:val="00A113D8"/>
    <w:rsid w:val="00A13393"/>
    <w:rsid w:val="00A1415A"/>
    <w:rsid w:val="00A1450A"/>
    <w:rsid w:val="00A1595C"/>
    <w:rsid w:val="00A17409"/>
    <w:rsid w:val="00A17C61"/>
    <w:rsid w:val="00A17FC9"/>
    <w:rsid w:val="00A2050B"/>
    <w:rsid w:val="00A2085B"/>
    <w:rsid w:val="00A22835"/>
    <w:rsid w:val="00A23C86"/>
    <w:rsid w:val="00A24DCC"/>
    <w:rsid w:val="00A25A86"/>
    <w:rsid w:val="00A26363"/>
    <w:rsid w:val="00A268DE"/>
    <w:rsid w:val="00A269AF"/>
    <w:rsid w:val="00A26C22"/>
    <w:rsid w:val="00A2737D"/>
    <w:rsid w:val="00A30F26"/>
    <w:rsid w:val="00A313AB"/>
    <w:rsid w:val="00A31E1E"/>
    <w:rsid w:val="00A33CBF"/>
    <w:rsid w:val="00A34466"/>
    <w:rsid w:val="00A34C11"/>
    <w:rsid w:val="00A367DC"/>
    <w:rsid w:val="00A372F0"/>
    <w:rsid w:val="00A41A54"/>
    <w:rsid w:val="00A42E4A"/>
    <w:rsid w:val="00A4690F"/>
    <w:rsid w:val="00A479F3"/>
    <w:rsid w:val="00A47A7A"/>
    <w:rsid w:val="00A5015B"/>
    <w:rsid w:val="00A51E39"/>
    <w:rsid w:val="00A5258B"/>
    <w:rsid w:val="00A54025"/>
    <w:rsid w:val="00A5410A"/>
    <w:rsid w:val="00A54DA2"/>
    <w:rsid w:val="00A56466"/>
    <w:rsid w:val="00A60018"/>
    <w:rsid w:val="00A634F8"/>
    <w:rsid w:val="00A64A3C"/>
    <w:rsid w:val="00A64C14"/>
    <w:rsid w:val="00A6763C"/>
    <w:rsid w:val="00A70C07"/>
    <w:rsid w:val="00A70E70"/>
    <w:rsid w:val="00A716FC"/>
    <w:rsid w:val="00A73A70"/>
    <w:rsid w:val="00A74B22"/>
    <w:rsid w:val="00A74C1C"/>
    <w:rsid w:val="00A779B0"/>
    <w:rsid w:val="00A77EBB"/>
    <w:rsid w:val="00A82388"/>
    <w:rsid w:val="00A858A1"/>
    <w:rsid w:val="00A85CAA"/>
    <w:rsid w:val="00A860A8"/>
    <w:rsid w:val="00A86F3F"/>
    <w:rsid w:val="00A87C8B"/>
    <w:rsid w:val="00A87EC2"/>
    <w:rsid w:val="00A9076E"/>
    <w:rsid w:val="00A918CB"/>
    <w:rsid w:val="00A91C70"/>
    <w:rsid w:val="00A9273A"/>
    <w:rsid w:val="00A92B1E"/>
    <w:rsid w:val="00A936F8"/>
    <w:rsid w:val="00A94575"/>
    <w:rsid w:val="00A96C99"/>
    <w:rsid w:val="00A9772C"/>
    <w:rsid w:val="00AA4A6C"/>
    <w:rsid w:val="00AA5A10"/>
    <w:rsid w:val="00AA5B1F"/>
    <w:rsid w:val="00AA65A4"/>
    <w:rsid w:val="00AA7F73"/>
    <w:rsid w:val="00AB0705"/>
    <w:rsid w:val="00AB12D5"/>
    <w:rsid w:val="00AB342C"/>
    <w:rsid w:val="00AB402B"/>
    <w:rsid w:val="00AB40A8"/>
    <w:rsid w:val="00AB522C"/>
    <w:rsid w:val="00AB5ACF"/>
    <w:rsid w:val="00AB6946"/>
    <w:rsid w:val="00AB72AF"/>
    <w:rsid w:val="00AB7B27"/>
    <w:rsid w:val="00AB7B3E"/>
    <w:rsid w:val="00AC0112"/>
    <w:rsid w:val="00AC3F23"/>
    <w:rsid w:val="00AC4956"/>
    <w:rsid w:val="00AC4D96"/>
    <w:rsid w:val="00AC53B5"/>
    <w:rsid w:val="00AC713F"/>
    <w:rsid w:val="00AD0112"/>
    <w:rsid w:val="00AD2A19"/>
    <w:rsid w:val="00AD3AA5"/>
    <w:rsid w:val="00AD3E09"/>
    <w:rsid w:val="00AD47D0"/>
    <w:rsid w:val="00AD49DD"/>
    <w:rsid w:val="00AE23D7"/>
    <w:rsid w:val="00AE24DB"/>
    <w:rsid w:val="00AE2602"/>
    <w:rsid w:val="00AE590E"/>
    <w:rsid w:val="00AE5985"/>
    <w:rsid w:val="00AE6715"/>
    <w:rsid w:val="00AE6E12"/>
    <w:rsid w:val="00AF07E0"/>
    <w:rsid w:val="00AF0820"/>
    <w:rsid w:val="00AF2F9B"/>
    <w:rsid w:val="00AF3069"/>
    <w:rsid w:val="00AF50D7"/>
    <w:rsid w:val="00AF5317"/>
    <w:rsid w:val="00AF57A9"/>
    <w:rsid w:val="00AF580C"/>
    <w:rsid w:val="00AF65C7"/>
    <w:rsid w:val="00AF6C57"/>
    <w:rsid w:val="00AF77DA"/>
    <w:rsid w:val="00AF7FB2"/>
    <w:rsid w:val="00B01971"/>
    <w:rsid w:val="00B01D95"/>
    <w:rsid w:val="00B03438"/>
    <w:rsid w:val="00B037A8"/>
    <w:rsid w:val="00B037E3"/>
    <w:rsid w:val="00B042B5"/>
    <w:rsid w:val="00B060D4"/>
    <w:rsid w:val="00B0754B"/>
    <w:rsid w:val="00B075D4"/>
    <w:rsid w:val="00B10B3A"/>
    <w:rsid w:val="00B10C23"/>
    <w:rsid w:val="00B10F20"/>
    <w:rsid w:val="00B11858"/>
    <w:rsid w:val="00B1574F"/>
    <w:rsid w:val="00B17CC3"/>
    <w:rsid w:val="00B21AA4"/>
    <w:rsid w:val="00B22108"/>
    <w:rsid w:val="00B227C3"/>
    <w:rsid w:val="00B228CB"/>
    <w:rsid w:val="00B234DC"/>
    <w:rsid w:val="00B25F0A"/>
    <w:rsid w:val="00B27632"/>
    <w:rsid w:val="00B27A8B"/>
    <w:rsid w:val="00B302D6"/>
    <w:rsid w:val="00B309BF"/>
    <w:rsid w:val="00B34B9D"/>
    <w:rsid w:val="00B40F42"/>
    <w:rsid w:val="00B42BF7"/>
    <w:rsid w:val="00B4346C"/>
    <w:rsid w:val="00B43794"/>
    <w:rsid w:val="00B4425B"/>
    <w:rsid w:val="00B44A52"/>
    <w:rsid w:val="00B45234"/>
    <w:rsid w:val="00B464F9"/>
    <w:rsid w:val="00B46903"/>
    <w:rsid w:val="00B47AE2"/>
    <w:rsid w:val="00B5105C"/>
    <w:rsid w:val="00B51771"/>
    <w:rsid w:val="00B530FF"/>
    <w:rsid w:val="00B53449"/>
    <w:rsid w:val="00B54925"/>
    <w:rsid w:val="00B55001"/>
    <w:rsid w:val="00B56A3C"/>
    <w:rsid w:val="00B57651"/>
    <w:rsid w:val="00B607B8"/>
    <w:rsid w:val="00B628F6"/>
    <w:rsid w:val="00B62B06"/>
    <w:rsid w:val="00B6412F"/>
    <w:rsid w:val="00B6432E"/>
    <w:rsid w:val="00B64A3B"/>
    <w:rsid w:val="00B654F1"/>
    <w:rsid w:val="00B66A18"/>
    <w:rsid w:val="00B72431"/>
    <w:rsid w:val="00B73F85"/>
    <w:rsid w:val="00B74CD2"/>
    <w:rsid w:val="00B75CF7"/>
    <w:rsid w:val="00B774C6"/>
    <w:rsid w:val="00B804AE"/>
    <w:rsid w:val="00B85C01"/>
    <w:rsid w:val="00B8638B"/>
    <w:rsid w:val="00B87CD6"/>
    <w:rsid w:val="00B906A6"/>
    <w:rsid w:val="00B91C71"/>
    <w:rsid w:val="00B9342E"/>
    <w:rsid w:val="00B93B91"/>
    <w:rsid w:val="00B94BB3"/>
    <w:rsid w:val="00B960B8"/>
    <w:rsid w:val="00B97D29"/>
    <w:rsid w:val="00BA1B89"/>
    <w:rsid w:val="00BA215E"/>
    <w:rsid w:val="00BA3DD8"/>
    <w:rsid w:val="00BA3FC3"/>
    <w:rsid w:val="00BA5BA1"/>
    <w:rsid w:val="00BA5CA3"/>
    <w:rsid w:val="00BA5FB7"/>
    <w:rsid w:val="00BA6AF0"/>
    <w:rsid w:val="00BA7333"/>
    <w:rsid w:val="00BA794E"/>
    <w:rsid w:val="00BB08C3"/>
    <w:rsid w:val="00BB19E3"/>
    <w:rsid w:val="00BB1A14"/>
    <w:rsid w:val="00BB22D2"/>
    <w:rsid w:val="00BB2B50"/>
    <w:rsid w:val="00BB2F2A"/>
    <w:rsid w:val="00BB3645"/>
    <w:rsid w:val="00BB38A0"/>
    <w:rsid w:val="00BB48C2"/>
    <w:rsid w:val="00BB582B"/>
    <w:rsid w:val="00BB7044"/>
    <w:rsid w:val="00BC065B"/>
    <w:rsid w:val="00BC0A82"/>
    <w:rsid w:val="00BC22C9"/>
    <w:rsid w:val="00BC2FDD"/>
    <w:rsid w:val="00BC306C"/>
    <w:rsid w:val="00BC4320"/>
    <w:rsid w:val="00BC5B51"/>
    <w:rsid w:val="00BC6C40"/>
    <w:rsid w:val="00BD03CB"/>
    <w:rsid w:val="00BD0738"/>
    <w:rsid w:val="00BD0D2C"/>
    <w:rsid w:val="00BD14FC"/>
    <w:rsid w:val="00BD2DF0"/>
    <w:rsid w:val="00BD37E0"/>
    <w:rsid w:val="00BD3ED4"/>
    <w:rsid w:val="00BD657F"/>
    <w:rsid w:val="00BE1CF7"/>
    <w:rsid w:val="00BE25A4"/>
    <w:rsid w:val="00BE3BCD"/>
    <w:rsid w:val="00BE4F40"/>
    <w:rsid w:val="00BE5761"/>
    <w:rsid w:val="00BE72A4"/>
    <w:rsid w:val="00BE770C"/>
    <w:rsid w:val="00BE7E73"/>
    <w:rsid w:val="00BF123D"/>
    <w:rsid w:val="00BF181A"/>
    <w:rsid w:val="00BF1FD7"/>
    <w:rsid w:val="00BF2698"/>
    <w:rsid w:val="00BF2B19"/>
    <w:rsid w:val="00BF4412"/>
    <w:rsid w:val="00BF46F6"/>
    <w:rsid w:val="00BF7FE4"/>
    <w:rsid w:val="00C001AB"/>
    <w:rsid w:val="00C03D65"/>
    <w:rsid w:val="00C03F74"/>
    <w:rsid w:val="00C040EC"/>
    <w:rsid w:val="00C05451"/>
    <w:rsid w:val="00C057C0"/>
    <w:rsid w:val="00C05991"/>
    <w:rsid w:val="00C10DD3"/>
    <w:rsid w:val="00C12D40"/>
    <w:rsid w:val="00C12E51"/>
    <w:rsid w:val="00C151BA"/>
    <w:rsid w:val="00C15ABC"/>
    <w:rsid w:val="00C17A28"/>
    <w:rsid w:val="00C17FD0"/>
    <w:rsid w:val="00C21522"/>
    <w:rsid w:val="00C21722"/>
    <w:rsid w:val="00C22798"/>
    <w:rsid w:val="00C22846"/>
    <w:rsid w:val="00C233E7"/>
    <w:rsid w:val="00C24D89"/>
    <w:rsid w:val="00C2780F"/>
    <w:rsid w:val="00C311AD"/>
    <w:rsid w:val="00C331F6"/>
    <w:rsid w:val="00C3510B"/>
    <w:rsid w:val="00C3578E"/>
    <w:rsid w:val="00C35E78"/>
    <w:rsid w:val="00C43055"/>
    <w:rsid w:val="00C44A2A"/>
    <w:rsid w:val="00C453AA"/>
    <w:rsid w:val="00C51212"/>
    <w:rsid w:val="00C52CB7"/>
    <w:rsid w:val="00C52FB1"/>
    <w:rsid w:val="00C55593"/>
    <w:rsid w:val="00C56949"/>
    <w:rsid w:val="00C60F4A"/>
    <w:rsid w:val="00C63DAA"/>
    <w:rsid w:val="00C63FC7"/>
    <w:rsid w:val="00C647A5"/>
    <w:rsid w:val="00C66096"/>
    <w:rsid w:val="00C721E3"/>
    <w:rsid w:val="00C72EEF"/>
    <w:rsid w:val="00C7371C"/>
    <w:rsid w:val="00C76FBE"/>
    <w:rsid w:val="00C801E0"/>
    <w:rsid w:val="00C81050"/>
    <w:rsid w:val="00C81804"/>
    <w:rsid w:val="00C84EB3"/>
    <w:rsid w:val="00C861DB"/>
    <w:rsid w:val="00C873A1"/>
    <w:rsid w:val="00C9012C"/>
    <w:rsid w:val="00C90317"/>
    <w:rsid w:val="00C93EC7"/>
    <w:rsid w:val="00C94CC2"/>
    <w:rsid w:val="00C95671"/>
    <w:rsid w:val="00C95743"/>
    <w:rsid w:val="00C9589A"/>
    <w:rsid w:val="00C97FCB"/>
    <w:rsid w:val="00CA224E"/>
    <w:rsid w:val="00CA3E93"/>
    <w:rsid w:val="00CA55B3"/>
    <w:rsid w:val="00CA708E"/>
    <w:rsid w:val="00CB171E"/>
    <w:rsid w:val="00CB1F44"/>
    <w:rsid w:val="00CB231D"/>
    <w:rsid w:val="00CB3223"/>
    <w:rsid w:val="00CB35ED"/>
    <w:rsid w:val="00CB7218"/>
    <w:rsid w:val="00CB7431"/>
    <w:rsid w:val="00CB78FF"/>
    <w:rsid w:val="00CC06D6"/>
    <w:rsid w:val="00CC1606"/>
    <w:rsid w:val="00CC482E"/>
    <w:rsid w:val="00CC4A9C"/>
    <w:rsid w:val="00CC54C9"/>
    <w:rsid w:val="00CC6CBE"/>
    <w:rsid w:val="00CD134F"/>
    <w:rsid w:val="00CD2567"/>
    <w:rsid w:val="00CD3BF4"/>
    <w:rsid w:val="00CD43FF"/>
    <w:rsid w:val="00CD6E82"/>
    <w:rsid w:val="00CD7066"/>
    <w:rsid w:val="00CD7BFF"/>
    <w:rsid w:val="00CE130D"/>
    <w:rsid w:val="00CE1B28"/>
    <w:rsid w:val="00CE6A78"/>
    <w:rsid w:val="00CE6BBA"/>
    <w:rsid w:val="00CE7350"/>
    <w:rsid w:val="00CE7B34"/>
    <w:rsid w:val="00CF0D93"/>
    <w:rsid w:val="00CF3E71"/>
    <w:rsid w:val="00CF42B5"/>
    <w:rsid w:val="00CF6EBB"/>
    <w:rsid w:val="00CF7D66"/>
    <w:rsid w:val="00CF7EDE"/>
    <w:rsid w:val="00D037ED"/>
    <w:rsid w:val="00D049AF"/>
    <w:rsid w:val="00D055B4"/>
    <w:rsid w:val="00D062C6"/>
    <w:rsid w:val="00D0680B"/>
    <w:rsid w:val="00D11359"/>
    <w:rsid w:val="00D114FC"/>
    <w:rsid w:val="00D14BE6"/>
    <w:rsid w:val="00D15303"/>
    <w:rsid w:val="00D1637C"/>
    <w:rsid w:val="00D16412"/>
    <w:rsid w:val="00D21AE1"/>
    <w:rsid w:val="00D220B6"/>
    <w:rsid w:val="00D22D97"/>
    <w:rsid w:val="00D236CB"/>
    <w:rsid w:val="00D23BBE"/>
    <w:rsid w:val="00D242F1"/>
    <w:rsid w:val="00D24AD3"/>
    <w:rsid w:val="00D26679"/>
    <w:rsid w:val="00D269B6"/>
    <w:rsid w:val="00D30FED"/>
    <w:rsid w:val="00D3251A"/>
    <w:rsid w:val="00D32A8F"/>
    <w:rsid w:val="00D337DB"/>
    <w:rsid w:val="00D33883"/>
    <w:rsid w:val="00D345B6"/>
    <w:rsid w:val="00D35C35"/>
    <w:rsid w:val="00D36E5B"/>
    <w:rsid w:val="00D37291"/>
    <w:rsid w:val="00D40FF2"/>
    <w:rsid w:val="00D415EF"/>
    <w:rsid w:val="00D41D39"/>
    <w:rsid w:val="00D42F87"/>
    <w:rsid w:val="00D43D66"/>
    <w:rsid w:val="00D45AEC"/>
    <w:rsid w:val="00D463D2"/>
    <w:rsid w:val="00D46A4A"/>
    <w:rsid w:val="00D50EC8"/>
    <w:rsid w:val="00D5108F"/>
    <w:rsid w:val="00D52243"/>
    <w:rsid w:val="00D523AC"/>
    <w:rsid w:val="00D52AF0"/>
    <w:rsid w:val="00D53464"/>
    <w:rsid w:val="00D53B10"/>
    <w:rsid w:val="00D54151"/>
    <w:rsid w:val="00D547FF"/>
    <w:rsid w:val="00D54B78"/>
    <w:rsid w:val="00D5506F"/>
    <w:rsid w:val="00D611A9"/>
    <w:rsid w:val="00D61373"/>
    <w:rsid w:val="00D6387B"/>
    <w:rsid w:val="00D63FDB"/>
    <w:rsid w:val="00D644BB"/>
    <w:rsid w:val="00D652CB"/>
    <w:rsid w:val="00D6679C"/>
    <w:rsid w:val="00D711CA"/>
    <w:rsid w:val="00D741FC"/>
    <w:rsid w:val="00D80940"/>
    <w:rsid w:val="00D81F23"/>
    <w:rsid w:val="00D833C3"/>
    <w:rsid w:val="00D837C2"/>
    <w:rsid w:val="00D83BC4"/>
    <w:rsid w:val="00D83ECD"/>
    <w:rsid w:val="00D842B2"/>
    <w:rsid w:val="00D85D2A"/>
    <w:rsid w:val="00D87259"/>
    <w:rsid w:val="00D9247D"/>
    <w:rsid w:val="00D934A9"/>
    <w:rsid w:val="00DA097C"/>
    <w:rsid w:val="00DA4994"/>
    <w:rsid w:val="00DA61DC"/>
    <w:rsid w:val="00DA6F06"/>
    <w:rsid w:val="00DA72B6"/>
    <w:rsid w:val="00DA72E2"/>
    <w:rsid w:val="00DA75CC"/>
    <w:rsid w:val="00DC0532"/>
    <w:rsid w:val="00DC1AAC"/>
    <w:rsid w:val="00DC1E09"/>
    <w:rsid w:val="00DC2C8E"/>
    <w:rsid w:val="00DC5852"/>
    <w:rsid w:val="00DC64C5"/>
    <w:rsid w:val="00DD0620"/>
    <w:rsid w:val="00DD06C4"/>
    <w:rsid w:val="00DD32D4"/>
    <w:rsid w:val="00DD65FF"/>
    <w:rsid w:val="00DD678C"/>
    <w:rsid w:val="00DD67A9"/>
    <w:rsid w:val="00DE1F5A"/>
    <w:rsid w:val="00DE28DF"/>
    <w:rsid w:val="00DE3453"/>
    <w:rsid w:val="00DE467C"/>
    <w:rsid w:val="00DE5F17"/>
    <w:rsid w:val="00DE7238"/>
    <w:rsid w:val="00DF1D05"/>
    <w:rsid w:val="00DF55DA"/>
    <w:rsid w:val="00DF6D1B"/>
    <w:rsid w:val="00E00A90"/>
    <w:rsid w:val="00E01973"/>
    <w:rsid w:val="00E02284"/>
    <w:rsid w:val="00E02BFE"/>
    <w:rsid w:val="00E04CEB"/>
    <w:rsid w:val="00E057FD"/>
    <w:rsid w:val="00E06FE4"/>
    <w:rsid w:val="00E07111"/>
    <w:rsid w:val="00E07D03"/>
    <w:rsid w:val="00E110E1"/>
    <w:rsid w:val="00E13A44"/>
    <w:rsid w:val="00E14FD2"/>
    <w:rsid w:val="00E15DF9"/>
    <w:rsid w:val="00E16139"/>
    <w:rsid w:val="00E17C09"/>
    <w:rsid w:val="00E23DF3"/>
    <w:rsid w:val="00E245C5"/>
    <w:rsid w:val="00E25439"/>
    <w:rsid w:val="00E25692"/>
    <w:rsid w:val="00E26275"/>
    <w:rsid w:val="00E2634D"/>
    <w:rsid w:val="00E278A9"/>
    <w:rsid w:val="00E3147A"/>
    <w:rsid w:val="00E31780"/>
    <w:rsid w:val="00E3308A"/>
    <w:rsid w:val="00E34848"/>
    <w:rsid w:val="00E34A46"/>
    <w:rsid w:val="00E34B89"/>
    <w:rsid w:val="00E374AC"/>
    <w:rsid w:val="00E4221C"/>
    <w:rsid w:val="00E43AA3"/>
    <w:rsid w:val="00E43D6A"/>
    <w:rsid w:val="00E448B4"/>
    <w:rsid w:val="00E44F33"/>
    <w:rsid w:val="00E45F8F"/>
    <w:rsid w:val="00E4639D"/>
    <w:rsid w:val="00E46942"/>
    <w:rsid w:val="00E518C4"/>
    <w:rsid w:val="00E51AFD"/>
    <w:rsid w:val="00E51B84"/>
    <w:rsid w:val="00E53FFF"/>
    <w:rsid w:val="00E54670"/>
    <w:rsid w:val="00E60B44"/>
    <w:rsid w:val="00E60FFC"/>
    <w:rsid w:val="00E630C9"/>
    <w:rsid w:val="00E63C3C"/>
    <w:rsid w:val="00E63DE7"/>
    <w:rsid w:val="00E6676F"/>
    <w:rsid w:val="00E70296"/>
    <w:rsid w:val="00E70848"/>
    <w:rsid w:val="00E70BB2"/>
    <w:rsid w:val="00E71287"/>
    <w:rsid w:val="00E73D6C"/>
    <w:rsid w:val="00E75194"/>
    <w:rsid w:val="00E75944"/>
    <w:rsid w:val="00E7630E"/>
    <w:rsid w:val="00E7736F"/>
    <w:rsid w:val="00E80603"/>
    <w:rsid w:val="00E8065B"/>
    <w:rsid w:val="00E8134B"/>
    <w:rsid w:val="00E820E5"/>
    <w:rsid w:val="00E82611"/>
    <w:rsid w:val="00E85DFC"/>
    <w:rsid w:val="00E87558"/>
    <w:rsid w:val="00E87B95"/>
    <w:rsid w:val="00E900A3"/>
    <w:rsid w:val="00E903B5"/>
    <w:rsid w:val="00E90450"/>
    <w:rsid w:val="00E90BB7"/>
    <w:rsid w:val="00E91A04"/>
    <w:rsid w:val="00E91C1D"/>
    <w:rsid w:val="00E91F4D"/>
    <w:rsid w:val="00E92D1D"/>
    <w:rsid w:val="00E93315"/>
    <w:rsid w:val="00E97FB2"/>
    <w:rsid w:val="00EA0956"/>
    <w:rsid w:val="00EA302A"/>
    <w:rsid w:val="00EA3F12"/>
    <w:rsid w:val="00EA3FBF"/>
    <w:rsid w:val="00EA470B"/>
    <w:rsid w:val="00EA5180"/>
    <w:rsid w:val="00EA6DD2"/>
    <w:rsid w:val="00EA747B"/>
    <w:rsid w:val="00EB02DF"/>
    <w:rsid w:val="00EB1169"/>
    <w:rsid w:val="00EB1E3E"/>
    <w:rsid w:val="00EB2BCF"/>
    <w:rsid w:val="00EB5564"/>
    <w:rsid w:val="00EB624D"/>
    <w:rsid w:val="00EB7035"/>
    <w:rsid w:val="00EB73CB"/>
    <w:rsid w:val="00EC062C"/>
    <w:rsid w:val="00EC186E"/>
    <w:rsid w:val="00EC2EFF"/>
    <w:rsid w:val="00EC3750"/>
    <w:rsid w:val="00EC54BA"/>
    <w:rsid w:val="00EC6330"/>
    <w:rsid w:val="00ED1072"/>
    <w:rsid w:val="00ED1F1A"/>
    <w:rsid w:val="00ED43A7"/>
    <w:rsid w:val="00ED5EEA"/>
    <w:rsid w:val="00ED7133"/>
    <w:rsid w:val="00ED73D6"/>
    <w:rsid w:val="00ED76E9"/>
    <w:rsid w:val="00EE1B0A"/>
    <w:rsid w:val="00EE41B9"/>
    <w:rsid w:val="00EE5638"/>
    <w:rsid w:val="00EE5B55"/>
    <w:rsid w:val="00EF384E"/>
    <w:rsid w:val="00EF5FC0"/>
    <w:rsid w:val="00F0011D"/>
    <w:rsid w:val="00F00299"/>
    <w:rsid w:val="00F053C9"/>
    <w:rsid w:val="00F0639F"/>
    <w:rsid w:val="00F071A7"/>
    <w:rsid w:val="00F07781"/>
    <w:rsid w:val="00F13186"/>
    <w:rsid w:val="00F14D9F"/>
    <w:rsid w:val="00F16A29"/>
    <w:rsid w:val="00F16CFD"/>
    <w:rsid w:val="00F16F30"/>
    <w:rsid w:val="00F17979"/>
    <w:rsid w:val="00F20E42"/>
    <w:rsid w:val="00F24CE5"/>
    <w:rsid w:val="00F24EAA"/>
    <w:rsid w:val="00F258CF"/>
    <w:rsid w:val="00F3080D"/>
    <w:rsid w:val="00F353E2"/>
    <w:rsid w:val="00F37D37"/>
    <w:rsid w:val="00F37DCC"/>
    <w:rsid w:val="00F37E6F"/>
    <w:rsid w:val="00F403F6"/>
    <w:rsid w:val="00F40BB5"/>
    <w:rsid w:val="00F41020"/>
    <w:rsid w:val="00F415AD"/>
    <w:rsid w:val="00F416BD"/>
    <w:rsid w:val="00F419FC"/>
    <w:rsid w:val="00F41C26"/>
    <w:rsid w:val="00F44652"/>
    <w:rsid w:val="00F449AA"/>
    <w:rsid w:val="00F44B51"/>
    <w:rsid w:val="00F46CA1"/>
    <w:rsid w:val="00F47084"/>
    <w:rsid w:val="00F51187"/>
    <w:rsid w:val="00F514AC"/>
    <w:rsid w:val="00F51B46"/>
    <w:rsid w:val="00F54BB2"/>
    <w:rsid w:val="00F5550F"/>
    <w:rsid w:val="00F55EF9"/>
    <w:rsid w:val="00F562BB"/>
    <w:rsid w:val="00F5695F"/>
    <w:rsid w:val="00F61E2C"/>
    <w:rsid w:val="00F620B1"/>
    <w:rsid w:val="00F63C12"/>
    <w:rsid w:val="00F63DF5"/>
    <w:rsid w:val="00F64F1B"/>
    <w:rsid w:val="00F67E9F"/>
    <w:rsid w:val="00F713B2"/>
    <w:rsid w:val="00F7288E"/>
    <w:rsid w:val="00F7357C"/>
    <w:rsid w:val="00F744C3"/>
    <w:rsid w:val="00F75E75"/>
    <w:rsid w:val="00F76412"/>
    <w:rsid w:val="00F767CD"/>
    <w:rsid w:val="00F77C01"/>
    <w:rsid w:val="00F84D05"/>
    <w:rsid w:val="00F84E62"/>
    <w:rsid w:val="00F8579A"/>
    <w:rsid w:val="00F862DE"/>
    <w:rsid w:val="00F869DA"/>
    <w:rsid w:val="00F9012F"/>
    <w:rsid w:val="00F90A1B"/>
    <w:rsid w:val="00F90EA8"/>
    <w:rsid w:val="00F9217C"/>
    <w:rsid w:val="00F94569"/>
    <w:rsid w:val="00F9495D"/>
    <w:rsid w:val="00F94B0B"/>
    <w:rsid w:val="00F9538A"/>
    <w:rsid w:val="00F95A25"/>
    <w:rsid w:val="00FA489A"/>
    <w:rsid w:val="00FA4EF7"/>
    <w:rsid w:val="00FA6D40"/>
    <w:rsid w:val="00FA75A6"/>
    <w:rsid w:val="00FB5AC8"/>
    <w:rsid w:val="00FB63AD"/>
    <w:rsid w:val="00FB70F9"/>
    <w:rsid w:val="00FB751B"/>
    <w:rsid w:val="00FB7FB9"/>
    <w:rsid w:val="00FC114D"/>
    <w:rsid w:val="00FC2B3E"/>
    <w:rsid w:val="00FC2BBA"/>
    <w:rsid w:val="00FC3646"/>
    <w:rsid w:val="00FD160D"/>
    <w:rsid w:val="00FD1C3F"/>
    <w:rsid w:val="00FD1DF1"/>
    <w:rsid w:val="00FD2BA7"/>
    <w:rsid w:val="00FD3E04"/>
    <w:rsid w:val="00FD3E1E"/>
    <w:rsid w:val="00FD4032"/>
    <w:rsid w:val="00FD7215"/>
    <w:rsid w:val="00FE1AEA"/>
    <w:rsid w:val="00FE2596"/>
    <w:rsid w:val="00FE51B6"/>
    <w:rsid w:val="00FE5C53"/>
    <w:rsid w:val="00FE6861"/>
    <w:rsid w:val="00FE6F48"/>
    <w:rsid w:val="00FF043A"/>
    <w:rsid w:val="00FF333D"/>
    <w:rsid w:val="01173E36"/>
    <w:rsid w:val="01411C2E"/>
    <w:rsid w:val="01B478E4"/>
    <w:rsid w:val="01DE4970"/>
    <w:rsid w:val="02C42317"/>
    <w:rsid w:val="03643014"/>
    <w:rsid w:val="03711A6C"/>
    <w:rsid w:val="03DB5CCC"/>
    <w:rsid w:val="03F82A23"/>
    <w:rsid w:val="05341602"/>
    <w:rsid w:val="05C8320F"/>
    <w:rsid w:val="068E549C"/>
    <w:rsid w:val="07AB4C42"/>
    <w:rsid w:val="08E82841"/>
    <w:rsid w:val="09693AE7"/>
    <w:rsid w:val="09944AA5"/>
    <w:rsid w:val="09972803"/>
    <w:rsid w:val="0B8604CA"/>
    <w:rsid w:val="0BFC71B9"/>
    <w:rsid w:val="0C38649C"/>
    <w:rsid w:val="0D246B24"/>
    <w:rsid w:val="0D526D3D"/>
    <w:rsid w:val="0DDA3A55"/>
    <w:rsid w:val="0EE32C5D"/>
    <w:rsid w:val="0F1A64E0"/>
    <w:rsid w:val="0FA24172"/>
    <w:rsid w:val="10CC63FB"/>
    <w:rsid w:val="10D31E8A"/>
    <w:rsid w:val="113C1D21"/>
    <w:rsid w:val="11C84020"/>
    <w:rsid w:val="11ED5CE9"/>
    <w:rsid w:val="11F969CD"/>
    <w:rsid w:val="125A744D"/>
    <w:rsid w:val="126E1BF0"/>
    <w:rsid w:val="12B652AB"/>
    <w:rsid w:val="13416360"/>
    <w:rsid w:val="14AC54C9"/>
    <w:rsid w:val="14B939EA"/>
    <w:rsid w:val="15B02E28"/>
    <w:rsid w:val="16AD6E91"/>
    <w:rsid w:val="174F2C21"/>
    <w:rsid w:val="1899108E"/>
    <w:rsid w:val="1937295B"/>
    <w:rsid w:val="1B4141B1"/>
    <w:rsid w:val="1B553EF2"/>
    <w:rsid w:val="1E421409"/>
    <w:rsid w:val="1F905003"/>
    <w:rsid w:val="24653902"/>
    <w:rsid w:val="24A31306"/>
    <w:rsid w:val="252A52DE"/>
    <w:rsid w:val="265853B6"/>
    <w:rsid w:val="267773ED"/>
    <w:rsid w:val="27817763"/>
    <w:rsid w:val="27DB7C94"/>
    <w:rsid w:val="27E100E2"/>
    <w:rsid w:val="282625FD"/>
    <w:rsid w:val="29BB2D3A"/>
    <w:rsid w:val="29C46877"/>
    <w:rsid w:val="29C667C5"/>
    <w:rsid w:val="2A5A716F"/>
    <w:rsid w:val="2AF50F9E"/>
    <w:rsid w:val="2B79079C"/>
    <w:rsid w:val="2BB54273"/>
    <w:rsid w:val="2C8869A4"/>
    <w:rsid w:val="2D626597"/>
    <w:rsid w:val="2E2C3B97"/>
    <w:rsid w:val="2EB27D40"/>
    <w:rsid w:val="2FCF0F1F"/>
    <w:rsid w:val="301C3479"/>
    <w:rsid w:val="308D4E2C"/>
    <w:rsid w:val="31045E46"/>
    <w:rsid w:val="32000483"/>
    <w:rsid w:val="323A76CB"/>
    <w:rsid w:val="33741B61"/>
    <w:rsid w:val="33BA01D3"/>
    <w:rsid w:val="33CB36DC"/>
    <w:rsid w:val="356063A9"/>
    <w:rsid w:val="35647290"/>
    <w:rsid w:val="358442A0"/>
    <w:rsid w:val="36B14D07"/>
    <w:rsid w:val="36F078C2"/>
    <w:rsid w:val="38AE21DF"/>
    <w:rsid w:val="38F503AC"/>
    <w:rsid w:val="392C6C96"/>
    <w:rsid w:val="3B236DD8"/>
    <w:rsid w:val="3D0174D7"/>
    <w:rsid w:val="3F3D62BF"/>
    <w:rsid w:val="3FCB760E"/>
    <w:rsid w:val="3FCD7A4E"/>
    <w:rsid w:val="3FF05F77"/>
    <w:rsid w:val="404C58B5"/>
    <w:rsid w:val="40605A9D"/>
    <w:rsid w:val="40D5397D"/>
    <w:rsid w:val="42113AC3"/>
    <w:rsid w:val="42293648"/>
    <w:rsid w:val="43910801"/>
    <w:rsid w:val="453949B9"/>
    <w:rsid w:val="45A10DF4"/>
    <w:rsid w:val="45B70290"/>
    <w:rsid w:val="46186EDD"/>
    <w:rsid w:val="46D91D99"/>
    <w:rsid w:val="47430EB9"/>
    <w:rsid w:val="483F4F26"/>
    <w:rsid w:val="48403DC3"/>
    <w:rsid w:val="4A221D5D"/>
    <w:rsid w:val="4A3546F0"/>
    <w:rsid w:val="4AB41467"/>
    <w:rsid w:val="4BDA2F70"/>
    <w:rsid w:val="4D367204"/>
    <w:rsid w:val="4D96665A"/>
    <w:rsid w:val="4E0B0C8B"/>
    <w:rsid w:val="4F1813ED"/>
    <w:rsid w:val="4F6C5B3E"/>
    <w:rsid w:val="4FFD584C"/>
    <w:rsid w:val="501A3933"/>
    <w:rsid w:val="503713EE"/>
    <w:rsid w:val="50DC25B1"/>
    <w:rsid w:val="50E96FCD"/>
    <w:rsid w:val="512B20E8"/>
    <w:rsid w:val="52DB0D4D"/>
    <w:rsid w:val="533407C0"/>
    <w:rsid w:val="53481B6C"/>
    <w:rsid w:val="54FC5883"/>
    <w:rsid w:val="5508745F"/>
    <w:rsid w:val="56C34358"/>
    <w:rsid w:val="56FA3AC9"/>
    <w:rsid w:val="58F9403E"/>
    <w:rsid w:val="5A714797"/>
    <w:rsid w:val="5B9A7831"/>
    <w:rsid w:val="5C2B407B"/>
    <w:rsid w:val="5C480E38"/>
    <w:rsid w:val="5CDD536F"/>
    <w:rsid w:val="5DDE2A4C"/>
    <w:rsid w:val="6198089B"/>
    <w:rsid w:val="621C2A30"/>
    <w:rsid w:val="626215BF"/>
    <w:rsid w:val="62982E45"/>
    <w:rsid w:val="63A22510"/>
    <w:rsid w:val="63B72E04"/>
    <w:rsid w:val="642663F5"/>
    <w:rsid w:val="65B00C69"/>
    <w:rsid w:val="65EB6920"/>
    <w:rsid w:val="66DE7D87"/>
    <w:rsid w:val="67FF53C6"/>
    <w:rsid w:val="68661E4E"/>
    <w:rsid w:val="68E51C57"/>
    <w:rsid w:val="68E56942"/>
    <w:rsid w:val="68F32BC0"/>
    <w:rsid w:val="691C6445"/>
    <w:rsid w:val="695825B4"/>
    <w:rsid w:val="69B151A0"/>
    <w:rsid w:val="69F800AA"/>
    <w:rsid w:val="6BBF1840"/>
    <w:rsid w:val="6EF72CE4"/>
    <w:rsid w:val="6FC421E3"/>
    <w:rsid w:val="6FDD471D"/>
    <w:rsid w:val="70445411"/>
    <w:rsid w:val="719E6F42"/>
    <w:rsid w:val="722D1256"/>
    <w:rsid w:val="733101CC"/>
    <w:rsid w:val="742A570F"/>
    <w:rsid w:val="74DC6B86"/>
    <w:rsid w:val="769F1D81"/>
    <w:rsid w:val="770E287F"/>
    <w:rsid w:val="774032D0"/>
    <w:rsid w:val="789F71E7"/>
    <w:rsid w:val="7A241698"/>
    <w:rsid w:val="7AA329D6"/>
    <w:rsid w:val="7B0528C7"/>
    <w:rsid w:val="7B6E5D6D"/>
    <w:rsid w:val="7C3362B8"/>
    <w:rsid w:val="7CCA4C96"/>
    <w:rsid w:val="7CFA0F06"/>
    <w:rsid w:val="7F0967E5"/>
    <w:rsid w:val="7FE728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39" w:semiHidden="0" w:name="toc 1"/>
    <w:lsdException w:unhideWhenUsed="0" w:uiPriority="39" w:semiHidden="0" w:name="toc 2"/>
    <w:lsdException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cs="宋体"/>
      <w:sz w:val="24"/>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38">
    <w:name w:val="Default Paragraph Font"/>
    <w:semiHidden/>
    <w:uiPriority w:val="0"/>
  </w:style>
  <w:style w:type="table" w:default="1" w:styleId="36">
    <w:name w:val="Normal Table"/>
    <w:semiHidden/>
    <w:uiPriority w:val="0"/>
    <w:tblPr>
      <w:tblStyle w:val="36"/>
      <w:tblCellMar>
        <w:top w:w="0" w:type="dxa"/>
        <w:left w:w="108" w:type="dxa"/>
        <w:bottom w:w="0" w:type="dxa"/>
        <w:right w:w="108" w:type="dxa"/>
      </w:tblCellMar>
    </w:tblPr>
  </w:style>
  <w:style w:type="paragraph" w:styleId="6">
    <w:name w:val="toc 7"/>
    <w:basedOn w:val="1"/>
    <w:next w:val="1"/>
    <w:semiHidden/>
    <w:uiPriority w:val="0"/>
    <w:pPr>
      <w:ind w:left="1680"/>
      <w:jc w:val="left"/>
    </w:pPr>
    <w:rPr>
      <w:rFonts w:ascii="等线" w:eastAsia="等线"/>
      <w:sz w:val="20"/>
    </w:rPr>
  </w:style>
  <w:style w:type="paragraph" w:styleId="7">
    <w:name w:val="index 8"/>
    <w:basedOn w:val="1"/>
    <w:next w:val="1"/>
    <w:semiHidden/>
    <w:uiPriority w:val="0"/>
    <w:pPr>
      <w:ind w:left="1400" w:leftChars="1400"/>
    </w:pPr>
  </w:style>
  <w:style w:type="paragraph" w:styleId="8">
    <w:name w:val="index 5"/>
    <w:basedOn w:val="1"/>
    <w:next w:val="1"/>
    <w:semiHidden/>
    <w:uiPriority w:val="0"/>
    <w:pPr>
      <w:ind w:left="800" w:leftChars="800"/>
    </w:pPr>
  </w:style>
  <w:style w:type="paragraph" w:styleId="9">
    <w:name w:val="annotation text"/>
    <w:basedOn w:val="1"/>
    <w:link w:val="43"/>
    <w:uiPriority w:val="0"/>
  </w:style>
  <w:style w:type="paragraph" w:styleId="10">
    <w:name w:val="index 6"/>
    <w:basedOn w:val="1"/>
    <w:next w:val="1"/>
    <w:semiHidden/>
    <w:uiPriority w:val="0"/>
    <w:pPr>
      <w:ind w:left="1000" w:leftChars="1000"/>
    </w:pPr>
  </w:style>
  <w:style w:type="paragraph" w:styleId="11">
    <w:name w:val="Body Text"/>
    <w:basedOn w:val="1"/>
    <w:uiPriority w:val="0"/>
    <w:pPr>
      <w:jc w:val="left"/>
    </w:pPr>
    <w:rPr>
      <w:rFonts w:ascii="宋体"/>
    </w:rPr>
  </w:style>
  <w:style w:type="paragraph" w:styleId="12">
    <w:name w:val="Body Text Indent"/>
    <w:basedOn w:val="1"/>
    <w:uiPriority w:val="0"/>
    <w:pPr>
      <w:spacing w:line="700" w:lineRule="exact"/>
      <w:ind w:left="960"/>
    </w:pPr>
    <w:rPr>
      <w:sz w:val="44"/>
    </w:rPr>
  </w:style>
  <w:style w:type="paragraph" w:styleId="13">
    <w:name w:val="index 4"/>
    <w:basedOn w:val="1"/>
    <w:next w:val="1"/>
    <w:semiHidden/>
    <w:uiPriority w:val="0"/>
    <w:pPr>
      <w:ind w:left="600" w:leftChars="600"/>
    </w:pPr>
  </w:style>
  <w:style w:type="paragraph" w:styleId="14">
    <w:name w:val="toc 5"/>
    <w:basedOn w:val="1"/>
    <w:next w:val="1"/>
    <w:semiHidden/>
    <w:uiPriority w:val="0"/>
    <w:pPr>
      <w:ind w:left="1120"/>
      <w:jc w:val="left"/>
    </w:pPr>
    <w:rPr>
      <w:rFonts w:ascii="等线" w:eastAsia="等线"/>
      <w:sz w:val="20"/>
    </w:rPr>
  </w:style>
  <w:style w:type="paragraph" w:styleId="15">
    <w:name w:val="toc 3"/>
    <w:basedOn w:val="1"/>
    <w:next w:val="1"/>
    <w:uiPriority w:val="39"/>
    <w:pPr>
      <w:ind w:left="560"/>
      <w:jc w:val="left"/>
    </w:pPr>
    <w:rPr>
      <w:rFonts w:ascii="等线" w:eastAsia="等线"/>
      <w:sz w:val="20"/>
    </w:rPr>
  </w:style>
  <w:style w:type="paragraph" w:styleId="16">
    <w:name w:val="toc 8"/>
    <w:basedOn w:val="1"/>
    <w:next w:val="1"/>
    <w:semiHidden/>
    <w:uiPriority w:val="0"/>
    <w:pPr>
      <w:ind w:left="1960"/>
      <w:jc w:val="left"/>
    </w:pPr>
    <w:rPr>
      <w:rFonts w:ascii="等线" w:eastAsia="等线"/>
      <w:sz w:val="20"/>
    </w:rPr>
  </w:style>
  <w:style w:type="paragraph" w:styleId="17">
    <w:name w:val="index 3"/>
    <w:basedOn w:val="1"/>
    <w:next w:val="1"/>
    <w:semiHidden/>
    <w:uiPriority w:val="0"/>
    <w:pPr>
      <w:ind w:left="400" w:leftChars="400"/>
    </w:pPr>
  </w:style>
  <w:style w:type="paragraph" w:styleId="18">
    <w:name w:val="Date"/>
    <w:basedOn w:val="1"/>
    <w:next w:val="1"/>
    <w:uiPriority w:val="0"/>
  </w:style>
  <w:style w:type="paragraph" w:styleId="19">
    <w:name w:val="Body Text Indent 2"/>
    <w:basedOn w:val="1"/>
    <w:uiPriority w:val="0"/>
    <w:pPr>
      <w:snapToGrid w:val="0"/>
      <w:spacing w:line="560" w:lineRule="atLeast"/>
      <w:ind w:firstLine="540"/>
    </w:pPr>
  </w:style>
  <w:style w:type="paragraph" w:styleId="20">
    <w:name w:val="Balloon Text"/>
    <w:basedOn w:val="1"/>
    <w:semiHidden/>
    <w:uiPriority w:val="0"/>
    <w:rPr>
      <w:sz w:val="18"/>
      <w:szCs w:val="18"/>
    </w:rPr>
  </w:style>
  <w:style w:type="paragraph" w:styleId="21">
    <w:name w:val="footer"/>
    <w:basedOn w:val="1"/>
    <w:uiPriority w:val="0"/>
    <w:pPr>
      <w:tabs>
        <w:tab w:val="center" w:pos="4153"/>
        <w:tab w:val="right" w:pos="8306"/>
      </w:tabs>
      <w:snapToGrid w:val="0"/>
      <w:jc w:val="left"/>
    </w:pPr>
    <w:rPr>
      <w:sz w:val="18"/>
    </w:rPr>
  </w:style>
  <w:style w:type="paragraph" w:styleId="22">
    <w:name w:val="header"/>
    <w:basedOn w:val="1"/>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uiPriority w:val="39"/>
    <w:pPr>
      <w:spacing w:before="120"/>
      <w:jc w:val="left"/>
    </w:pPr>
    <w:rPr>
      <w:rFonts w:ascii="等线" w:eastAsia="等线"/>
      <w:b/>
      <w:bCs/>
      <w:i/>
      <w:iCs/>
      <w:sz w:val="24"/>
      <w:szCs w:val="24"/>
    </w:rPr>
  </w:style>
  <w:style w:type="paragraph" w:styleId="24">
    <w:name w:val="toc 4"/>
    <w:basedOn w:val="1"/>
    <w:next w:val="1"/>
    <w:semiHidden/>
    <w:uiPriority w:val="0"/>
    <w:pPr>
      <w:ind w:left="840"/>
      <w:jc w:val="left"/>
    </w:pPr>
    <w:rPr>
      <w:rFonts w:ascii="等线" w:eastAsia="等线"/>
      <w:sz w:val="20"/>
    </w:rPr>
  </w:style>
  <w:style w:type="paragraph" w:styleId="25">
    <w:name w:val="index heading"/>
    <w:basedOn w:val="1"/>
    <w:next w:val="26"/>
    <w:semiHidden/>
    <w:uiPriority w:val="0"/>
  </w:style>
  <w:style w:type="paragraph" w:styleId="26">
    <w:name w:val="index 1"/>
    <w:basedOn w:val="1"/>
    <w:next w:val="1"/>
    <w:semiHidden/>
    <w:uiPriority w:val="0"/>
  </w:style>
  <w:style w:type="paragraph" w:styleId="27">
    <w:name w:val="toc 6"/>
    <w:basedOn w:val="1"/>
    <w:next w:val="1"/>
    <w:semiHidden/>
    <w:uiPriority w:val="0"/>
    <w:pPr>
      <w:ind w:left="1400"/>
      <w:jc w:val="left"/>
    </w:pPr>
    <w:rPr>
      <w:rFonts w:ascii="等线" w:eastAsia="等线"/>
      <w:sz w:val="20"/>
    </w:rPr>
  </w:style>
  <w:style w:type="paragraph" w:styleId="28">
    <w:name w:val="Body Text Indent 3"/>
    <w:basedOn w:val="1"/>
    <w:uiPriority w:val="0"/>
    <w:pPr>
      <w:spacing w:after="120"/>
      <w:ind w:left="420" w:leftChars="200"/>
    </w:pPr>
    <w:rPr>
      <w:sz w:val="16"/>
      <w:szCs w:val="16"/>
    </w:rPr>
  </w:style>
  <w:style w:type="paragraph" w:styleId="29">
    <w:name w:val="index 7"/>
    <w:basedOn w:val="1"/>
    <w:next w:val="1"/>
    <w:semiHidden/>
    <w:uiPriority w:val="0"/>
    <w:pPr>
      <w:ind w:left="1200" w:leftChars="1200"/>
    </w:pPr>
  </w:style>
  <w:style w:type="paragraph" w:styleId="30">
    <w:name w:val="index 9"/>
    <w:basedOn w:val="1"/>
    <w:next w:val="1"/>
    <w:semiHidden/>
    <w:uiPriority w:val="0"/>
    <w:pPr>
      <w:ind w:left="1600" w:leftChars="1600"/>
    </w:pPr>
  </w:style>
  <w:style w:type="paragraph" w:styleId="31">
    <w:name w:val="toc 2"/>
    <w:basedOn w:val="1"/>
    <w:next w:val="1"/>
    <w:uiPriority w:val="39"/>
    <w:pPr>
      <w:spacing w:before="120"/>
      <w:ind w:left="280"/>
      <w:jc w:val="left"/>
    </w:pPr>
    <w:rPr>
      <w:rFonts w:ascii="等线" w:eastAsia="等线"/>
      <w:b/>
      <w:bCs/>
      <w:sz w:val="22"/>
      <w:szCs w:val="22"/>
    </w:rPr>
  </w:style>
  <w:style w:type="paragraph" w:styleId="32">
    <w:name w:val="toc 9"/>
    <w:basedOn w:val="1"/>
    <w:next w:val="1"/>
    <w:semiHidden/>
    <w:uiPriority w:val="0"/>
    <w:pPr>
      <w:ind w:left="2240"/>
      <w:jc w:val="left"/>
    </w:pPr>
    <w:rPr>
      <w:rFonts w:ascii="等线" w:eastAsia="等线"/>
      <w:sz w:val="20"/>
    </w:rPr>
  </w:style>
  <w:style w:type="paragraph" w:styleId="33">
    <w:name w:val="HTML Preformatted"/>
    <w:basedOn w:val="1"/>
    <w:link w:val="44"/>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color w:val="000000"/>
      <w:sz w:val="20"/>
      <w:szCs w:val="20"/>
    </w:rPr>
  </w:style>
  <w:style w:type="paragraph" w:styleId="34">
    <w:name w:val="index 2"/>
    <w:basedOn w:val="1"/>
    <w:next w:val="1"/>
    <w:semiHidden/>
    <w:uiPriority w:val="0"/>
    <w:pPr>
      <w:ind w:left="200" w:leftChars="200"/>
    </w:pPr>
  </w:style>
  <w:style w:type="paragraph" w:styleId="35">
    <w:name w:val="annotation subject"/>
    <w:basedOn w:val="9"/>
    <w:next w:val="9"/>
    <w:link w:val="45"/>
    <w:uiPriority w:val="0"/>
    <w:rPr>
      <w:b/>
      <w:bCs/>
    </w:rPr>
  </w:style>
  <w:style w:type="table" w:styleId="37">
    <w:name w:val="Table Grid"/>
    <w:basedOn w:val="36"/>
    <w:qFormat/>
    <w:uiPriority w:val="0"/>
    <w:pPr>
      <w:widowControl w:val="0"/>
      <w:jc w:val="both"/>
    </w:pPr>
    <w:tblPr>
      <w:tblStyle w:val="3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uiPriority w:val="0"/>
  </w:style>
  <w:style w:type="character" w:styleId="40">
    <w:name w:val="FollowedHyperlink"/>
    <w:uiPriority w:val="0"/>
    <w:rPr>
      <w:color w:val="800080"/>
      <w:u w:val="single"/>
    </w:rPr>
  </w:style>
  <w:style w:type="character" w:styleId="41">
    <w:name w:val="Hyperlink"/>
    <w:uiPriority w:val="99"/>
    <w:rPr>
      <w:color w:val="0000FF"/>
      <w:u w:val="single"/>
    </w:rPr>
  </w:style>
  <w:style w:type="character" w:styleId="42">
    <w:name w:val="annotation reference"/>
    <w:uiPriority w:val="0"/>
    <w:rPr>
      <w:sz w:val="21"/>
      <w:szCs w:val="21"/>
    </w:rPr>
  </w:style>
  <w:style w:type="character" w:customStyle="1" w:styleId="43">
    <w:name w:val="批注文字 字符"/>
    <w:link w:val="9"/>
    <w:uiPriority w:val="0"/>
    <w:rPr>
      <w:rFonts w:ascii="宋体" w:hAnsi="宋体" w:cs="宋体"/>
      <w:sz w:val="24"/>
      <w:szCs w:val="24"/>
    </w:rPr>
  </w:style>
  <w:style w:type="character" w:customStyle="1" w:styleId="44">
    <w:name w:val="HTML 预设格式 字符"/>
    <w:link w:val="33"/>
    <w:uiPriority w:val="0"/>
    <w:rPr>
      <w:rFonts w:ascii="黑体" w:hAnsi="Courier New" w:eastAsia="黑体" w:cs="Courier New"/>
      <w:color w:val="000000"/>
    </w:rPr>
  </w:style>
  <w:style w:type="character" w:customStyle="1" w:styleId="45">
    <w:name w:val="批注主题 字符"/>
    <w:link w:val="35"/>
    <w:uiPriority w:val="0"/>
    <w:rPr>
      <w:rFonts w:ascii="宋体" w:hAnsi="宋体" w:cs="宋体"/>
      <w:b/>
      <w:bCs/>
      <w:sz w:val="24"/>
      <w:szCs w:val="24"/>
    </w:rPr>
  </w:style>
  <w:style w:type="character" w:customStyle="1" w:styleId="46">
    <w:name w:val="表格 Char Char"/>
    <w:link w:val="47"/>
    <w:uiPriority w:val="0"/>
    <w:rPr>
      <w:rFonts w:ascii="宋体" w:hAnsi="宋体"/>
    </w:rPr>
  </w:style>
  <w:style w:type="paragraph" w:customStyle="1" w:styleId="47">
    <w:name w:val="表格"/>
    <w:basedOn w:val="1"/>
    <w:link w:val="46"/>
    <w:uiPriority w:val="0"/>
    <w:pPr>
      <w:widowControl/>
      <w:snapToGrid w:val="0"/>
      <w:jc w:val="left"/>
    </w:pPr>
    <w:rPr>
      <w:rFonts w:cs="Times New Roman"/>
      <w:sz w:val="20"/>
      <w:szCs w:val="20"/>
    </w:rPr>
  </w:style>
  <w:style w:type="character" w:customStyle="1" w:styleId="48">
    <w:name w:val="HTML 预设格式 字符1"/>
    <w:uiPriority w:val="0"/>
    <w:rPr>
      <w:rFonts w:ascii="Courier New" w:hAnsi="Courier New" w:cs="Courier New"/>
      <w:kern w:val="2"/>
    </w:rPr>
  </w:style>
  <w:style w:type="character" w:customStyle="1" w:styleId="49">
    <w:name w:val="NormalCharacter"/>
    <w:qFormat/>
    <w:uiPriority w:val="0"/>
    <w:rPr>
      <w:rFonts w:ascii="Times New Roman" w:hAnsi="Times New Roman" w:eastAsia="宋体" w:cs="Times New Roman"/>
      <w:kern w:val="2"/>
      <w:sz w:val="21"/>
      <w:szCs w:val="22"/>
      <w:lang w:val="en-US" w:eastAsia="zh-CN" w:bidi="ar-SA"/>
    </w:rPr>
  </w:style>
  <w:style w:type="paragraph" w:customStyle="1" w:styleId="50">
    <w:name w:val="正文 New"/>
    <w:qFormat/>
    <w:uiPriority w:val="99"/>
    <w:pPr>
      <w:widowControl w:val="0"/>
      <w:spacing w:line="440" w:lineRule="exact"/>
      <w:ind w:left="357" w:hanging="357"/>
      <w:jc w:val="both"/>
    </w:pPr>
    <w:rPr>
      <w:rFonts w:ascii="Calibri" w:hAnsi="Calibri" w:eastAsia="仿宋"/>
      <w:kern w:val="2"/>
      <w:sz w:val="32"/>
      <w:szCs w:val="22"/>
      <w:lang w:val="en-US" w:eastAsia="zh-CN" w:bidi="ar-SA"/>
    </w:rPr>
  </w:style>
  <w:style w:type="paragraph" w:customStyle="1" w:styleId="51">
    <w:name w:val="正文_15"/>
    <w:qFormat/>
    <w:uiPriority w:val="0"/>
    <w:pPr>
      <w:widowControl w:val="0"/>
      <w:jc w:val="both"/>
    </w:pPr>
    <w:rPr>
      <w:rFonts w:ascii="Calibri" w:hAnsi="Calibri"/>
      <w:kern w:val="2"/>
      <w:sz w:val="21"/>
      <w:szCs w:val="22"/>
      <w:lang w:val="en-US" w:eastAsia="zh-CN" w:bidi="ar-SA"/>
    </w:rPr>
  </w:style>
  <w:style w:type="paragraph" w:customStyle="1" w:styleId="52">
    <w:name w:val="a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3">
    <w:name w:val="列表内容"/>
    <w:basedOn w:val="1"/>
    <w:uiPriority w:val="0"/>
    <w:pPr>
      <w:widowControl/>
      <w:spacing w:beforeLines="15" w:afterLines="15" w:line="260" w:lineRule="exact"/>
      <w:ind w:left="251"/>
      <w:jc w:val="left"/>
    </w:pPr>
    <w:rPr>
      <w:rFonts w:ascii="宋体" w:hAnsi="宋体"/>
      <w:kern w:val="0"/>
      <w:sz w:val="18"/>
      <w:szCs w:val="21"/>
    </w:rPr>
  </w:style>
  <w:style w:type="paragraph" w:styleId="54">
    <w:name w:val=""/>
    <w:basedOn w:val="2"/>
    <w:next w:val="1"/>
    <w:qFormat/>
    <w:uiPriority w:val="39"/>
    <w:pPr>
      <w:keepLines/>
      <w:widowControl/>
      <w:snapToGrid/>
      <w:spacing w:before="240" w:line="259" w:lineRule="auto"/>
      <w:jc w:val="left"/>
      <w:outlineLvl w:val="9"/>
    </w:pPr>
    <w:rPr>
      <w:rFonts w:ascii="等线 Light" w:hAnsi="等线 Light" w:eastAsia="等线 Light" w:cs="Times New Roman"/>
      <w:color w:val="2F5496"/>
      <w:kern w:val="0"/>
      <w:sz w:val="32"/>
      <w:szCs w:val="32"/>
    </w:rPr>
  </w:style>
  <w:style w:type="paragraph" w:customStyle="1" w:styleId="55">
    <w:name w:val="段"/>
    <w:next w:val="1"/>
    <w:qFormat/>
    <w:uiPriority w:val="0"/>
    <w:pPr>
      <w:autoSpaceDE w:val="0"/>
      <w:autoSpaceDN w:val="0"/>
      <w:ind w:firstLine="200" w:firstLineChars="200"/>
      <w:jc w:val="both"/>
    </w:pPr>
    <w:rPr>
      <w:rFonts w:ascii="宋体"/>
      <w:sz w:val="21"/>
      <w:lang w:val="en-US" w:eastAsia="zh-CN" w:bidi="ar-SA"/>
    </w:rPr>
  </w:style>
  <w:style w:type="paragraph" w:customStyle="1" w:styleId="56">
    <w:name w:val="Char1 Char Char Char"/>
    <w:basedOn w:val="1"/>
    <w:uiPriority w:val="0"/>
    <w:rPr>
      <w:rFonts w:ascii="Tahoma" w:hAnsi="Tahoma"/>
      <w:sz w:val="30"/>
      <w:szCs w:val="30"/>
    </w:rPr>
  </w:style>
  <w:style w:type="paragraph" w:customStyle="1" w:styleId="57">
    <w:name w:val="Other|1"/>
    <w:basedOn w:val="1"/>
    <w:qFormat/>
    <w:uiPriority w:val="0"/>
    <w:pPr>
      <w:widowControl w:val="0"/>
      <w:shd w:val="clear" w:color="auto" w:fill="auto"/>
      <w:jc w:val="center"/>
    </w:pPr>
    <w:rPr>
      <w:sz w:val="22"/>
      <w:szCs w:val="22"/>
      <w:u w:val="none"/>
      <w:shd w:val="clear" w:color="auto" w:fill="auto"/>
      <w:lang w:val="zh-TW" w:eastAsia="zh-TW" w:bidi="zh-TW"/>
    </w:rPr>
  </w:style>
  <w:style w:type="paragraph" w:customStyle="1" w:styleId="58">
    <w:name w:val="缺省文本"/>
    <w:basedOn w:val="1"/>
    <w:qFormat/>
    <w:uiPriority w:val="0"/>
    <w:pPr>
      <w:autoSpaceDE w:val="0"/>
      <w:autoSpaceDN w:val="0"/>
      <w:adjustRightInd w:val="0"/>
      <w:jc w:val="left"/>
    </w:pPr>
    <w:rPr>
      <w:kern w:val="0"/>
      <w:sz w:val="24"/>
    </w:rPr>
  </w:style>
  <w:style w:type="paragraph" w:customStyle="1" w:styleId="59">
    <w:name w:val="正文_3"/>
    <w:qFormat/>
    <w:uiPriority w:val="0"/>
    <w:pPr>
      <w:widowControl w:val="0"/>
      <w:jc w:val="both"/>
    </w:pPr>
    <w:rPr>
      <w:kern w:val="2"/>
      <w:sz w:val="21"/>
      <w:szCs w:val="22"/>
      <w:lang w:val="en-US" w:eastAsia="zh-CN" w:bidi="ar-SA"/>
    </w:rPr>
  </w:style>
  <w:style w:type="paragraph" w:customStyle="1" w:styleId="60">
    <w:name w:val="Default"/>
    <w:qFormat/>
    <w:uiPriority w:val="0"/>
    <w:pPr>
      <w:widowControl w:val="0"/>
      <w:autoSpaceDE w:val="0"/>
      <w:autoSpaceDN w:val="0"/>
      <w:adjustRightInd w:val="0"/>
    </w:pPr>
    <w:rPr>
      <w:rFonts w:ascii="宋体" w:cs="宋体"/>
      <w:color w:val="000000"/>
      <w:sz w:val="24"/>
      <w:szCs w:val="24"/>
      <w:lang w:val="en-US" w:eastAsia="zh-CN" w:bidi="ar-SA"/>
    </w:rPr>
  </w:style>
  <w:style w:type="character" w:customStyle="1" w:styleId="61">
    <w:name w:val="font11"/>
    <w:qFormat/>
    <w:uiPriority w:val="0"/>
    <w:rPr>
      <w:rFonts w:hint="eastAsia" w:ascii="宋体" w:hAnsi="宋体" w:eastAsia="宋体" w:cs="宋体"/>
      <w:color w:val="000000"/>
      <w:sz w:val="22"/>
      <w:szCs w:val="22"/>
      <w:u w:val="none"/>
    </w:rPr>
  </w:style>
  <w:style w:type="character" w:customStyle="1" w:styleId="62">
    <w:name w:val="font21"/>
    <w:qFormat/>
    <w:uiPriority w:val="0"/>
    <w:rPr>
      <w:rFonts w:hint="eastAsia" w:ascii="宋体" w:hAnsi="宋体" w:eastAsia="宋体" w:cs="宋体"/>
      <w:color w:val="000000"/>
      <w:sz w:val="22"/>
      <w:szCs w:val="22"/>
      <w:u w:val="none"/>
    </w:rPr>
  </w:style>
  <w:style w:type="paragraph" w:customStyle="1" w:styleId="63">
    <w:name w:val="合同正文"/>
    <w:qFormat/>
    <w:uiPriority w:val="0"/>
    <w:pPr>
      <w:numPr>
        <w:ilvl w:val="0"/>
        <w:numId w:val="1"/>
      </w:numPr>
      <w:spacing w:line="480" w:lineRule="exact"/>
      <w:jc w:val="both"/>
    </w:pPr>
    <w:rPr>
      <w:rFonts w:eastAsia="仿宋_GB2312"/>
      <w:snapToGrid w:val="0"/>
      <w:sz w:val="28"/>
      <w:szCs w:val="28"/>
      <w:lang w:val="en-US" w:eastAsia="zh-CN" w:bidi="ar-SA"/>
    </w:rPr>
  </w:style>
  <w:style w:type="paragraph" w:customStyle="1" w:styleId="64">
    <w:name w:val="合同标题"/>
    <w:basedOn w:val="63"/>
    <w:next w:val="63"/>
    <w:qFormat/>
    <w:uiPriority w:val="0"/>
    <w:pPr>
      <w:numPr>
        <w:ilvl w:val="0"/>
        <w:numId w:val="0"/>
      </w:numPr>
      <w:jc w:val="center"/>
    </w:pPr>
    <w:rPr>
      <w:rFonts w:eastAsia="方正小标宋简体" w:cs="Times New Roman"/>
      <w:sz w:val="32"/>
      <w:szCs w:val="32"/>
    </w:rPr>
  </w:style>
  <w:style w:type="paragraph" w:customStyle="1" w:styleId="65">
    <w:name w:val="合同内一级标题"/>
    <w:qFormat/>
    <w:uiPriority w:val="0"/>
    <w:pPr>
      <w:numPr>
        <w:ilvl w:val="0"/>
        <w:numId w:val="2"/>
      </w:numPr>
      <w:tabs>
        <w:tab w:val="clear" w:pos="0"/>
      </w:tabs>
      <w:ind w:left="1293" w:hanging="720"/>
    </w:pPr>
    <w:rPr>
      <w:rFonts w:eastAsia="黑体"/>
      <w:sz w:val="28"/>
      <w:szCs w:val="28"/>
      <w:lang w:val="en-US" w:eastAsia="zh-CN" w:bidi="ar-SA"/>
    </w:rPr>
  </w:style>
  <w:style w:type="paragraph" w:styleId="66">
    <w:name w:val=""/>
    <w:unhideWhenUsed/>
    <w:uiPriority w:val="99"/>
    <w:rPr>
      <w:rFonts w:ascii="宋体" w:hAnsi="宋体" w:cs="宋体"/>
      <w:sz w:val="24"/>
      <w:szCs w:val="24"/>
      <w:lang w:val="en-US" w:eastAsia="zh-CN" w:bidi="ar-SA"/>
    </w:rPr>
  </w:style>
  <w:style w:type="paragraph" w:styleId="67">
    <w:name w:val="List Paragraph"/>
    <w:basedOn w:val="1"/>
    <w:qFormat/>
    <w:uiPriority w:val="99"/>
    <w:pPr>
      <w:ind w:firstLine="420" w:firstLineChars="200"/>
    </w:pPr>
  </w:style>
  <w:style w:type="paragraph" w:customStyle="1" w:styleId="68">
    <w:name w:val="样式1"/>
    <w:basedOn w:val="1"/>
    <w:qFormat/>
    <w:uiPriority w:val="0"/>
    <w:pPr>
      <w:tabs>
        <w:tab w:val="left" w:pos="709"/>
      </w:tabs>
      <w:adjustRightInd w:val="0"/>
      <w:ind w:left="709" w:hanging="709"/>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8953</Words>
  <Characters>9436</Characters>
  <Lines>86</Lines>
  <Paragraphs>24</Paragraphs>
  <TotalTime>1</TotalTime>
  <ScaleCrop>false</ScaleCrop>
  <LinksUpToDate>false</LinksUpToDate>
  <CharactersWithSpaces>10092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2021-08-26T08:45:00Z</dcterms:created>
  <dc:creator>user</dc:creator>
  <cp:lastModifiedBy>卷起千堆雪</cp:lastModifiedBy>
  <cp:lastPrinted>2021-08-10T02:29:00Z</cp:lastPrinted>
  <dcterms:modified xsi:type="dcterms:W3CDTF">2025-11-10T09:08:04Z</dcterms:modified>
  <dc:title>重庆市公检法系统公务用车议标项目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7EEA601A5350455D8B8D467B8933F3C9_13</vt:lpwstr>
  </property>
  <property fmtid="{D5CDD505-2E9C-101B-9397-08002B2CF9AE}" pid="4" name="KSOTemplateDocerSaveRecord">
    <vt:lpwstr>eyJoZGlkIjoiZjk0MzBhOWQ1ZDJiOWMwZjUxOGI3ZmMzOTk1ZGI1ZGEiLCJ1c2VySWQiOiIxMTQ2NTc1NDM2In0=</vt:lpwstr>
  </property>
</Properties>
</file>