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A47C9">
      <w:pPr>
        <w:pStyle w:val="8"/>
        <w:spacing w:line="300" w:lineRule="auto"/>
        <w:jc w:val="right"/>
      </w:pPr>
    </w:p>
    <w:p w14:paraId="027FB2C8">
      <w:pPr>
        <w:pStyle w:val="8"/>
        <w:spacing w:line="300" w:lineRule="auto"/>
        <w:jc w:val="right"/>
        <w:rPr>
          <w:rFonts w:hAnsi="宋体" w:cs="宋体"/>
          <w:sz w:val="48"/>
          <w:szCs w:val="48"/>
        </w:rPr>
      </w:pPr>
    </w:p>
    <w:p w14:paraId="59059EE8">
      <w:pPr>
        <w:pStyle w:val="8"/>
        <w:spacing w:line="300" w:lineRule="auto"/>
        <w:rPr>
          <w:rFonts w:hAnsi="宋体" w:cs="宋体"/>
          <w:sz w:val="48"/>
          <w:szCs w:val="48"/>
        </w:rPr>
      </w:pPr>
    </w:p>
    <w:p w14:paraId="352E94CD">
      <w:pPr>
        <w:pStyle w:val="8"/>
        <w:spacing w:line="300" w:lineRule="auto"/>
        <w:rPr>
          <w:rFonts w:hAnsi="宋体" w:cs="宋体"/>
          <w:sz w:val="48"/>
          <w:szCs w:val="48"/>
        </w:rPr>
      </w:pPr>
    </w:p>
    <w:p w14:paraId="15B47AAD">
      <w:pPr>
        <w:pStyle w:val="8"/>
        <w:spacing w:line="300" w:lineRule="auto"/>
        <w:rPr>
          <w:rFonts w:hAnsi="宋体" w:cs="宋体"/>
          <w:sz w:val="48"/>
          <w:szCs w:val="48"/>
        </w:rPr>
      </w:pPr>
    </w:p>
    <w:p w14:paraId="26EADBAB">
      <w:pPr>
        <w:pStyle w:val="8"/>
        <w:spacing w:line="300" w:lineRule="auto"/>
        <w:rPr>
          <w:rFonts w:hAnsi="宋体" w:cs="宋体"/>
          <w:sz w:val="48"/>
          <w:szCs w:val="48"/>
        </w:rPr>
      </w:pPr>
    </w:p>
    <w:p w14:paraId="3D4260A7">
      <w:pPr>
        <w:pStyle w:val="8"/>
        <w:spacing w:line="300" w:lineRule="auto"/>
        <w:jc w:val="center"/>
        <w:rPr>
          <w:rFonts w:hint="eastAsia" w:hAnsi="宋体" w:eastAsia="宋体" w:cs="宋体"/>
          <w:sz w:val="84"/>
          <w:szCs w:val="84"/>
          <w:lang w:val="en-US" w:eastAsia="zh-CN"/>
        </w:rPr>
      </w:pPr>
      <w:r>
        <w:rPr>
          <w:rFonts w:hint="eastAsia" w:hAnsi="宋体" w:cs="宋体"/>
          <w:sz w:val="84"/>
          <w:szCs w:val="84"/>
        </w:rPr>
        <w:t xml:space="preserve">询 价 </w:t>
      </w:r>
      <w:r>
        <w:rPr>
          <w:rFonts w:hint="eastAsia" w:hAnsi="宋体" w:cs="宋体"/>
          <w:sz w:val="84"/>
          <w:szCs w:val="84"/>
          <w:lang w:val="en-US" w:eastAsia="zh-CN"/>
        </w:rPr>
        <w:t>公 告</w:t>
      </w:r>
    </w:p>
    <w:p w14:paraId="7A48E1D2">
      <w:pPr>
        <w:pStyle w:val="8"/>
        <w:spacing w:line="300" w:lineRule="auto"/>
        <w:rPr>
          <w:rFonts w:hAnsi="宋体" w:cs="宋体"/>
          <w:sz w:val="32"/>
          <w:szCs w:val="32"/>
        </w:rPr>
      </w:pPr>
    </w:p>
    <w:p w14:paraId="1CBECE80">
      <w:pPr>
        <w:pStyle w:val="8"/>
        <w:spacing w:line="300" w:lineRule="auto"/>
        <w:rPr>
          <w:rFonts w:hAnsi="宋体" w:cs="宋体"/>
          <w:sz w:val="32"/>
          <w:szCs w:val="32"/>
        </w:rPr>
      </w:pPr>
    </w:p>
    <w:p w14:paraId="1D630FB4">
      <w:pPr>
        <w:pStyle w:val="8"/>
        <w:spacing w:line="360" w:lineRule="auto"/>
        <w:rPr>
          <w:rFonts w:hAnsi="宋体" w:cs="宋体"/>
          <w:sz w:val="32"/>
          <w:szCs w:val="32"/>
        </w:rPr>
      </w:pPr>
    </w:p>
    <w:p w14:paraId="55D02FCD">
      <w:pPr>
        <w:pStyle w:val="15"/>
        <w:keepNext w:val="0"/>
        <w:keepLines w:val="0"/>
        <w:widowControl/>
        <w:numPr>
          <w:ilvl w:val="0"/>
          <w:numId w:val="0"/>
        </w:numPr>
        <w:suppressLineNumbers w:val="0"/>
        <w:spacing w:before="0" w:beforeAutospacing="0" w:after="0" w:afterAutospacing="0" w:line="360" w:lineRule="auto"/>
        <w:ind w:left="3200" w:leftChars="0" w:right="-80" w:rightChars="0" w:hanging="3200" w:hangingChars="1000"/>
        <w:jc w:val="left"/>
        <w:rPr>
          <w:rFonts w:hint="eastAsia" w:hAnsi="宋体" w:cs="宋体"/>
          <w:sz w:val="32"/>
          <w:szCs w:val="32"/>
          <w:lang w:val="en-US" w:eastAsia="zh-CN"/>
        </w:rPr>
      </w:pPr>
      <w:r>
        <w:rPr>
          <w:rFonts w:hint="eastAsia" w:hAnsi="宋体" w:cs="宋体"/>
          <w:sz w:val="32"/>
          <w:szCs w:val="32"/>
        </w:rPr>
        <w:t xml:space="preserve">          项目名称：</w:t>
      </w:r>
      <w:r>
        <w:rPr>
          <w:rFonts w:hint="eastAsia" w:hAnsi="宋体" w:cs="宋体"/>
          <w:sz w:val="32"/>
          <w:szCs w:val="32"/>
          <w:lang w:val="en-US" w:eastAsia="zh-CN"/>
        </w:rPr>
        <w:t>湖北机场集团航空物流有限公司</w:t>
      </w:r>
    </w:p>
    <w:p w14:paraId="3E8F652F">
      <w:pPr>
        <w:pStyle w:val="15"/>
        <w:keepNext w:val="0"/>
        <w:keepLines w:val="0"/>
        <w:widowControl/>
        <w:numPr>
          <w:ilvl w:val="0"/>
          <w:numId w:val="0"/>
        </w:numPr>
        <w:suppressLineNumbers w:val="0"/>
        <w:spacing w:before="0" w:beforeAutospacing="0" w:after="0" w:afterAutospacing="0" w:line="360" w:lineRule="auto"/>
        <w:ind w:left="3192" w:leftChars="1520" w:right="-80" w:rightChars="0" w:firstLine="0" w:firstLineChars="0"/>
        <w:jc w:val="left"/>
        <w:rPr>
          <w:rFonts w:hAnsi="宋体" w:cs="宋体"/>
          <w:sz w:val="32"/>
          <w:szCs w:val="32"/>
        </w:rPr>
      </w:pPr>
      <w:r>
        <w:rPr>
          <w:rFonts w:hint="eastAsia" w:hAnsi="宋体" w:cs="宋体"/>
          <w:sz w:val="32"/>
          <w:szCs w:val="32"/>
          <w:lang w:val="en-US" w:eastAsia="zh-CN"/>
        </w:rPr>
        <w:t>2025年货站UPS采购项目询价公告</w:t>
      </w:r>
    </w:p>
    <w:p w14:paraId="14827833">
      <w:pPr>
        <w:pStyle w:val="8"/>
        <w:spacing w:line="360" w:lineRule="auto"/>
        <w:rPr>
          <w:rFonts w:hAnsi="宋体" w:cs="宋体"/>
          <w:sz w:val="32"/>
          <w:szCs w:val="32"/>
        </w:rPr>
      </w:pPr>
      <w:r>
        <w:rPr>
          <w:rFonts w:hint="eastAsia" w:hAnsi="宋体" w:cs="宋体"/>
          <w:sz w:val="32"/>
          <w:szCs w:val="32"/>
        </w:rPr>
        <w:t xml:space="preserve">          采购方式：询价</w:t>
      </w:r>
    </w:p>
    <w:p w14:paraId="343616B1">
      <w:pPr>
        <w:pStyle w:val="8"/>
        <w:spacing w:line="360" w:lineRule="auto"/>
        <w:rPr>
          <w:rFonts w:hAnsi="宋体" w:cs="宋体"/>
          <w:sz w:val="32"/>
          <w:szCs w:val="32"/>
        </w:rPr>
      </w:pPr>
      <w:r>
        <w:rPr>
          <w:rFonts w:hint="eastAsia" w:hAnsi="宋体" w:cs="宋体"/>
          <w:sz w:val="32"/>
          <w:szCs w:val="32"/>
        </w:rPr>
        <w:t xml:space="preserve">          采 购 人：湖北机场集团航空物流有限公司</w:t>
      </w:r>
    </w:p>
    <w:p w14:paraId="2C8AB3ED">
      <w:pPr>
        <w:pStyle w:val="8"/>
        <w:spacing w:line="300" w:lineRule="auto"/>
        <w:rPr>
          <w:rFonts w:hAnsi="宋体" w:cs="宋体"/>
          <w:sz w:val="32"/>
          <w:szCs w:val="32"/>
        </w:rPr>
      </w:pPr>
    </w:p>
    <w:p w14:paraId="4637B87A">
      <w:pPr>
        <w:pStyle w:val="8"/>
        <w:spacing w:line="300" w:lineRule="auto"/>
        <w:rPr>
          <w:rFonts w:hAnsi="宋体" w:cs="宋体"/>
          <w:sz w:val="32"/>
          <w:szCs w:val="32"/>
        </w:rPr>
      </w:pPr>
    </w:p>
    <w:p w14:paraId="5061B532">
      <w:pPr>
        <w:pStyle w:val="8"/>
        <w:spacing w:line="300" w:lineRule="auto"/>
        <w:rPr>
          <w:rFonts w:hAnsi="宋体" w:cs="宋体"/>
          <w:sz w:val="32"/>
          <w:szCs w:val="32"/>
        </w:rPr>
      </w:pPr>
    </w:p>
    <w:p w14:paraId="2A6DFFE3">
      <w:pPr>
        <w:pStyle w:val="8"/>
        <w:spacing w:line="300" w:lineRule="auto"/>
        <w:rPr>
          <w:rFonts w:hAnsi="宋体" w:cs="宋体"/>
          <w:sz w:val="32"/>
          <w:szCs w:val="32"/>
        </w:rPr>
      </w:pPr>
    </w:p>
    <w:p w14:paraId="42F5880E">
      <w:pPr>
        <w:pStyle w:val="4"/>
        <w:spacing w:line="360" w:lineRule="auto"/>
        <w:ind w:firstLine="0"/>
        <w:jc w:val="center"/>
        <w:rPr>
          <w:rFonts w:ascii="宋体" w:hAnsi="宋体" w:cs="宋体"/>
          <w:sz w:val="32"/>
          <w:szCs w:val="32"/>
        </w:rPr>
      </w:pPr>
      <w:r>
        <w:rPr>
          <w:rFonts w:hAnsi="宋体"/>
          <w:sz w:val="32"/>
          <w:szCs w:val="32"/>
        </w:rPr>
        <w:t>二零</w:t>
      </w:r>
      <w:r>
        <w:rPr>
          <w:rFonts w:hint="eastAsia" w:hAnsi="宋体"/>
          <w:sz w:val="32"/>
          <w:szCs w:val="32"/>
        </w:rPr>
        <w:t>二</w:t>
      </w:r>
      <w:r>
        <w:rPr>
          <w:rFonts w:hint="eastAsia" w:hAnsi="宋体"/>
          <w:sz w:val="32"/>
          <w:szCs w:val="32"/>
          <w:lang w:eastAsia="zh-CN"/>
        </w:rPr>
        <w:t>五</w:t>
      </w:r>
      <w:r>
        <w:rPr>
          <w:rFonts w:hAnsi="宋体"/>
          <w:sz w:val="32"/>
          <w:szCs w:val="32"/>
        </w:rPr>
        <w:t>年</w:t>
      </w:r>
      <w:r>
        <w:rPr>
          <w:rFonts w:hint="eastAsia" w:hAnsi="宋体"/>
          <w:sz w:val="32"/>
          <w:szCs w:val="32"/>
          <w:lang w:val="en-US" w:eastAsia="zh-CN"/>
        </w:rPr>
        <w:t>十一</w:t>
      </w:r>
      <w:r>
        <w:rPr>
          <w:rFonts w:hAnsi="宋体"/>
          <w:sz w:val="32"/>
          <w:szCs w:val="32"/>
        </w:rPr>
        <w:t>月</w:t>
      </w:r>
    </w:p>
    <w:p w14:paraId="31F2DFFC">
      <w:pPr>
        <w:pStyle w:val="24"/>
        <w:jc w:val="center"/>
        <w:rPr>
          <w:rFonts w:ascii="宋体" w:hAnsi="宋体" w:cs="宋体"/>
          <w:color w:val="auto"/>
          <w:lang w:val="zh-CN"/>
        </w:rPr>
        <w:sectPr>
          <w:footerReference r:id="rId3" w:type="default"/>
          <w:pgSz w:w="11906" w:h="16838"/>
          <w:pgMar w:top="1361" w:right="1274" w:bottom="1361" w:left="1191" w:header="851" w:footer="992" w:gutter="0"/>
          <w:pgBorders>
            <w:top w:val="none" w:sz="0" w:space="0"/>
            <w:left w:val="none" w:sz="0" w:space="0"/>
            <w:bottom w:val="none" w:sz="0" w:space="0"/>
            <w:right w:val="none" w:sz="0" w:space="0"/>
          </w:pgBorders>
          <w:cols w:space="720" w:num="1"/>
          <w:docGrid w:type="lines" w:linePitch="312" w:charSpace="0"/>
        </w:sectPr>
      </w:pPr>
    </w:p>
    <w:p w14:paraId="16A6E530">
      <w:pPr>
        <w:pStyle w:val="24"/>
        <w:jc w:val="center"/>
        <w:rPr>
          <w:rFonts w:ascii="宋体" w:hAnsi="宋体" w:cs="宋体"/>
          <w:color w:val="auto"/>
        </w:rPr>
      </w:pPr>
      <w:r>
        <w:rPr>
          <w:rFonts w:hint="eastAsia" w:ascii="宋体" w:hAnsi="宋体" w:cs="宋体"/>
          <w:color w:val="auto"/>
          <w:lang w:val="zh-CN"/>
        </w:rPr>
        <w:t>目录</w:t>
      </w:r>
    </w:p>
    <w:p w14:paraId="4036834B">
      <w:pPr>
        <w:pStyle w:val="11"/>
        <w:tabs>
          <w:tab w:val="right" w:leader="dot" w:pos="9441"/>
          <w:tab w:val="clear" w:pos="943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TOC \o "1-3" \h \z \u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"_Toc30692"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第一章  询 价 函</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_Toc30692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01E80CC5">
      <w:pPr>
        <w:pStyle w:val="11"/>
        <w:tabs>
          <w:tab w:val="right" w:leader="dot" w:pos="9441"/>
          <w:tab w:val="clear" w:pos="943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"_Toc6608"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第二章  供应商须知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_Toc6608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5F1216C9">
      <w:pPr>
        <w:pStyle w:val="13"/>
        <w:tabs>
          <w:tab w:val="right" w:leader="dot" w:pos="944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"_Toc20887"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一、总　则</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_Toc20887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2547C82D">
      <w:pPr>
        <w:pStyle w:val="13"/>
        <w:tabs>
          <w:tab w:val="right" w:leader="dot" w:pos="944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"_Toc27150"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二、询价通知书的澄清与修改</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_Toc27150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0CD248FF">
      <w:pPr>
        <w:pStyle w:val="13"/>
        <w:tabs>
          <w:tab w:val="right" w:leader="dot" w:pos="944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"_Toc22513"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三、询价通知书的异议</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_Toc22513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4</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6A4BE269">
      <w:pPr>
        <w:pStyle w:val="13"/>
        <w:tabs>
          <w:tab w:val="right" w:leader="dot" w:pos="944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"_Toc17508"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四、询价响应文件的编制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_Toc17508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4</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664F0C50">
      <w:pPr>
        <w:pStyle w:val="13"/>
        <w:tabs>
          <w:tab w:val="right" w:leader="dot" w:pos="944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"_Toc2275"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五、计量单位</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_Toc2275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5</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72CF69D6">
      <w:pPr>
        <w:pStyle w:val="13"/>
        <w:tabs>
          <w:tab w:val="right" w:leader="dot" w:pos="944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"_Toc22862"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六、询价有效期</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_Toc22862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5</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23D0F1F4">
      <w:pPr>
        <w:pStyle w:val="13"/>
        <w:tabs>
          <w:tab w:val="right" w:leader="dot" w:pos="944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"_Toc7176"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七、询价响应文件的递交</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_Toc7176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5</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281E0C9B">
      <w:pPr>
        <w:pStyle w:val="11"/>
        <w:tabs>
          <w:tab w:val="right" w:leader="dot" w:pos="9441"/>
          <w:tab w:val="clear" w:pos="943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"_Toc20191"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第三章  询价评议</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_Toc20191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7</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1AD1F9FA">
      <w:pPr>
        <w:pStyle w:val="13"/>
        <w:tabs>
          <w:tab w:val="right" w:leader="dot" w:pos="944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"_Toc16507"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一、询价方法</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_Toc16507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7</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6D6F0EEB">
      <w:pPr>
        <w:pStyle w:val="13"/>
        <w:tabs>
          <w:tab w:val="right" w:leader="dot" w:pos="944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"_Toc7092"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二、询价步骤</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_Toc7092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7</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781A6989">
      <w:pPr>
        <w:pStyle w:val="13"/>
        <w:tabs>
          <w:tab w:val="right" w:leader="dot" w:pos="944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"_Toc20111"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pacing w:val="2"/>
          <w:sz w:val="24"/>
          <w:szCs w:val="24"/>
        </w:rPr>
        <w:t>三、</w:t>
      </w:r>
      <w:r>
        <w:rPr>
          <w:rFonts w:hint="eastAsia" w:ascii="方正仿宋_GB2312" w:hAnsi="方正仿宋_GB2312" w:eastAsia="方正仿宋_GB2312" w:cs="方正仿宋_GB2312"/>
          <w:sz w:val="24"/>
          <w:szCs w:val="24"/>
        </w:rPr>
        <w:t>确定成交供应商办法（最低价法）</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_Toc20111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334F3FB8">
      <w:pPr>
        <w:pStyle w:val="13"/>
        <w:tabs>
          <w:tab w:val="right" w:leader="dot" w:pos="944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"_Toc10839"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四、签订合同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_Toc10839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205B4C59">
      <w:pPr>
        <w:pStyle w:val="13"/>
        <w:tabs>
          <w:tab w:val="right" w:leader="dot" w:pos="944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"_Toc13348"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五、付款方式</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_Toc13348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339509CF">
      <w:pPr>
        <w:pStyle w:val="13"/>
        <w:tabs>
          <w:tab w:val="right" w:leader="dot" w:pos="944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"_Toc22689"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六、询价采购失败条件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_Toc22689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4FD76AD1">
      <w:pPr>
        <w:pStyle w:val="11"/>
        <w:tabs>
          <w:tab w:val="right" w:leader="dot" w:pos="9441"/>
          <w:tab w:val="clear" w:pos="943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"_Toc17616"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第四章   采购项目内容及技术规格要求</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_Toc17616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4293F6EA">
      <w:pPr>
        <w:pStyle w:val="11"/>
        <w:tabs>
          <w:tab w:val="right" w:leader="dot" w:pos="9441"/>
          <w:tab w:val="clear" w:pos="943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"_Toc24041"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sz w:val="24"/>
          <w:szCs w:val="24"/>
        </w:rPr>
        <w:t>第五章  询价响应文件格式</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_Toc24041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17</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544EF34B">
      <w:pPr>
        <w:pStyle w:val="11"/>
        <w:tabs>
          <w:tab w:val="right" w:leader="dot" w:pos="9441"/>
          <w:tab w:val="clear" w:pos="9431"/>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"_Toc15899"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sz w:val="24"/>
          <w:szCs w:val="24"/>
        </w:rPr>
        <w:t>第六章 采购合同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_Toc15899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26</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6D813B93">
      <w:pPr>
        <w:rPr>
          <w:rFonts w:ascii="宋体" w:hAnsi="宋体" w:cs="宋体"/>
        </w:rPr>
      </w:pPr>
      <w:r>
        <w:rPr>
          <w:rFonts w:hint="eastAsia" w:ascii="方正仿宋_GB2312" w:hAnsi="方正仿宋_GB2312" w:eastAsia="方正仿宋_GB2312" w:cs="方正仿宋_GB2312"/>
          <w:sz w:val="24"/>
          <w:szCs w:val="24"/>
        </w:rPr>
        <w:fldChar w:fldCharType="end"/>
      </w:r>
    </w:p>
    <w:p w14:paraId="30077891">
      <w:pPr>
        <w:pStyle w:val="3"/>
        <w:rPr>
          <w:rFonts w:ascii="宋体" w:hAnsi="宋体" w:cs="宋体"/>
          <w:szCs w:val="32"/>
        </w:rPr>
        <w:sectPr>
          <w:footerReference r:id="rId4" w:type="default"/>
          <w:pgSz w:w="11906" w:h="16838"/>
          <w:pgMar w:top="1361" w:right="1274" w:bottom="1361" w:left="1191"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275994C4">
      <w:pPr>
        <w:pStyle w:val="3"/>
        <w:jc w:val="center"/>
        <w:rPr>
          <w:rFonts w:hint="eastAsia" w:ascii="方正仿宋_GB2312" w:hAnsi="方正仿宋_GB2312" w:eastAsia="方正仿宋_GB2312" w:cs="方正仿宋_GB2312"/>
          <w:sz w:val="32"/>
          <w:szCs w:val="32"/>
          <w:lang w:val="en-US" w:eastAsia="zh-CN"/>
        </w:rPr>
      </w:pPr>
      <w:bookmarkStart w:id="0" w:name="_Toc30692"/>
      <w:r>
        <w:rPr>
          <w:rFonts w:hint="eastAsia" w:ascii="方正仿宋_GB2312" w:hAnsi="方正仿宋_GB2312" w:eastAsia="方正仿宋_GB2312" w:cs="方正仿宋_GB2312"/>
          <w:sz w:val="32"/>
          <w:szCs w:val="32"/>
          <w:lang w:val="en-US" w:eastAsia="zh-CN"/>
        </w:rPr>
        <w:t>湖北机场集团航空物流有限公司2025年货站UPS采购项目</w:t>
      </w:r>
    </w:p>
    <w:p w14:paraId="663039AA">
      <w:pPr>
        <w:pStyle w:val="3"/>
        <w:ind w:firstLine="3313" w:firstLineChars="1100"/>
        <w:jc w:val="both"/>
        <w:rPr>
          <w:rFonts w:hint="eastAsia" w:ascii="黑体" w:hAnsi="黑体" w:eastAsia="黑体" w:cs="黑体"/>
          <w:sz w:val="30"/>
          <w:szCs w:val="30"/>
        </w:rPr>
      </w:pPr>
      <w:r>
        <w:rPr>
          <w:rFonts w:hint="eastAsia" w:ascii="黑体" w:hAnsi="黑体" w:eastAsia="黑体" w:cs="黑体"/>
          <w:sz w:val="30"/>
          <w:szCs w:val="30"/>
        </w:rPr>
        <w:t>第一章  询 价 函</w:t>
      </w:r>
      <w:bookmarkEnd w:id="0"/>
    </w:p>
    <w:p w14:paraId="49757F6E">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湖北机场集团航空物流有限公司“</w:t>
      </w:r>
      <w:r>
        <w:rPr>
          <w:rFonts w:hint="eastAsia" w:ascii="方正仿宋_GB2312" w:hAnsi="方正仿宋_GB2312" w:eastAsia="方正仿宋_GB2312" w:cs="方正仿宋_GB2312"/>
          <w:kern w:val="0"/>
          <w:sz w:val="24"/>
          <w:szCs w:val="24"/>
          <w:highlight w:val="none"/>
          <w:lang w:val="en-US" w:eastAsia="zh-CN"/>
        </w:rPr>
        <w:t>2025年货站UPS采购项目</w:t>
      </w:r>
      <w:r>
        <w:rPr>
          <w:rFonts w:hint="eastAsia" w:ascii="方正仿宋_GB2312" w:hAnsi="方正仿宋_GB2312" w:eastAsia="方正仿宋_GB2312" w:cs="方正仿宋_GB2312"/>
          <w:kern w:val="0"/>
          <w:sz w:val="24"/>
          <w:szCs w:val="24"/>
        </w:rPr>
        <w:t xml:space="preserve">”进行询价采购，欢迎符合资格条件的供应商参与询价。 </w:t>
      </w:r>
    </w:p>
    <w:p w14:paraId="5FB774AC">
      <w:pPr>
        <w:autoSpaceDE w:val="0"/>
        <w:autoSpaceDN w:val="0"/>
        <w:spacing w:line="500" w:lineRule="exact"/>
        <w:ind w:firstLine="602" w:firstLineChars="200"/>
        <w:rPr>
          <w:rFonts w:ascii="宋体" w:hAnsi="宋体" w:cs="宋体"/>
          <w:kern w:val="0"/>
          <w:sz w:val="24"/>
          <w:szCs w:val="24"/>
        </w:rPr>
      </w:pPr>
      <w:r>
        <w:rPr>
          <w:rFonts w:hint="eastAsia" w:ascii="黑体" w:hAnsi="黑体" w:eastAsia="黑体" w:cs="黑体"/>
          <w:b/>
          <w:bCs/>
          <w:kern w:val="0"/>
          <w:sz w:val="30"/>
          <w:szCs w:val="30"/>
        </w:rPr>
        <w:t xml:space="preserve">一、项目概况 </w:t>
      </w:r>
      <w:r>
        <w:rPr>
          <w:rFonts w:hint="eastAsia" w:ascii="黑体" w:hAnsi="黑体" w:eastAsia="黑体" w:cs="黑体"/>
          <w:kern w:val="0"/>
          <w:sz w:val="30"/>
          <w:szCs w:val="30"/>
        </w:rPr>
        <w:t xml:space="preserve"> </w:t>
      </w:r>
      <w:r>
        <w:rPr>
          <w:rFonts w:hint="eastAsia" w:ascii="黑体" w:hAnsi="黑体" w:eastAsia="黑体" w:cs="黑体"/>
          <w:kern w:val="0"/>
          <w:sz w:val="24"/>
          <w:szCs w:val="24"/>
        </w:rPr>
        <w:t xml:space="preserve">              </w:t>
      </w:r>
      <w:r>
        <w:rPr>
          <w:rFonts w:hint="eastAsia" w:ascii="宋体" w:hAnsi="宋体" w:cs="宋体"/>
          <w:kern w:val="0"/>
          <w:sz w:val="24"/>
          <w:szCs w:val="24"/>
        </w:rPr>
        <w:t xml:space="preserve"> </w:t>
      </w:r>
    </w:p>
    <w:p w14:paraId="0E7B0BDF">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1、采购人：</w:t>
      </w:r>
      <w:r>
        <w:rPr>
          <w:rFonts w:hint="eastAsia" w:ascii="方正仿宋_GB2312" w:hAnsi="方正仿宋_GB2312" w:eastAsia="方正仿宋_GB2312" w:cs="方正仿宋_GB2312"/>
          <w:kern w:val="0"/>
          <w:sz w:val="24"/>
          <w:szCs w:val="24"/>
        </w:rPr>
        <w:t>湖北机场集团航空物流有限公司</w:t>
      </w:r>
    </w:p>
    <w:p w14:paraId="0C7AA7AC">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val="en-US" w:eastAsia="zh-CN"/>
        </w:rPr>
        <w:t>2</w:t>
      </w:r>
      <w:r>
        <w:rPr>
          <w:rFonts w:hint="eastAsia" w:ascii="方正仿宋_GB2312" w:hAnsi="方正仿宋_GB2312" w:eastAsia="方正仿宋_GB2312" w:cs="方正仿宋_GB2312"/>
          <w:kern w:val="0"/>
          <w:sz w:val="24"/>
          <w:szCs w:val="24"/>
        </w:rPr>
        <w:t>、项目名称：</w:t>
      </w:r>
      <w:r>
        <w:rPr>
          <w:rFonts w:hint="eastAsia" w:ascii="方正仿宋_GB2312" w:hAnsi="方正仿宋_GB2312" w:eastAsia="方正仿宋_GB2312" w:cs="方正仿宋_GB2312"/>
          <w:kern w:val="0"/>
          <w:sz w:val="24"/>
          <w:szCs w:val="24"/>
          <w:highlight w:val="none"/>
          <w:lang w:val="en-US" w:eastAsia="zh-CN"/>
        </w:rPr>
        <w:t>2025年货站UPS采购项目</w:t>
      </w:r>
    </w:p>
    <w:p w14:paraId="37F7D5AF">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val="en-US" w:eastAsia="zh-CN"/>
        </w:rPr>
        <w:t>3</w:t>
      </w:r>
      <w:r>
        <w:rPr>
          <w:rFonts w:hint="eastAsia" w:ascii="方正仿宋_GB2312" w:hAnsi="方正仿宋_GB2312" w:eastAsia="方正仿宋_GB2312" w:cs="方正仿宋_GB2312"/>
          <w:kern w:val="0"/>
          <w:sz w:val="24"/>
          <w:szCs w:val="24"/>
        </w:rPr>
        <w:t>、项目地点：武汉天河机场</w:t>
      </w:r>
      <w:r>
        <w:rPr>
          <w:rFonts w:hint="eastAsia" w:ascii="方正仿宋_GB2312" w:hAnsi="方正仿宋_GB2312" w:eastAsia="方正仿宋_GB2312" w:cs="方正仿宋_GB2312"/>
          <w:kern w:val="0"/>
          <w:sz w:val="24"/>
          <w:szCs w:val="24"/>
          <w:lang w:val="en-US" w:eastAsia="zh-CN"/>
        </w:rPr>
        <w:t>物流园区国际货站</w:t>
      </w:r>
      <w:r>
        <w:rPr>
          <w:rFonts w:hint="eastAsia" w:ascii="方正仿宋_GB2312" w:hAnsi="方正仿宋_GB2312" w:eastAsia="方正仿宋_GB2312" w:cs="方正仿宋_GB2312"/>
          <w:kern w:val="0"/>
          <w:sz w:val="24"/>
          <w:szCs w:val="24"/>
        </w:rPr>
        <w:t xml:space="preserve">。 </w:t>
      </w:r>
    </w:p>
    <w:p w14:paraId="1CDA3CC6">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eastAsia="zh-CN"/>
        </w:rPr>
      </w:pPr>
      <w:r>
        <w:rPr>
          <w:rFonts w:hint="eastAsia" w:ascii="方正仿宋_GB2312" w:hAnsi="方正仿宋_GB2312" w:eastAsia="方正仿宋_GB2312" w:cs="方正仿宋_GB2312"/>
          <w:kern w:val="0"/>
          <w:sz w:val="24"/>
          <w:szCs w:val="24"/>
          <w:lang w:val="en-US" w:eastAsia="zh-CN"/>
        </w:rPr>
        <w:t>4</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en-US" w:eastAsia="zh-CN"/>
        </w:rPr>
        <w:t>项目</w:t>
      </w:r>
      <w:r>
        <w:rPr>
          <w:rFonts w:hint="eastAsia" w:ascii="方正仿宋_GB2312" w:hAnsi="方正仿宋_GB2312" w:eastAsia="方正仿宋_GB2312" w:cs="方正仿宋_GB2312"/>
          <w:kern w:val="0"/>
          <w:sz w:val="24"/>
          <w:szCs w:val="24"/>
        </w:rPr>
        <w:t>采购预算：</w:t>
      </w:r>
      <w:r>
        <w:rPr>
          <w:rFonts w:hint="eastAsia" w:ascii="方正仿宋_GB2312" w:hAnsi="方正仿宋_GB2312" w:eastAsia="方正仿宋_GB2312" w:cs="方正仿宋_GB2312"/>
          <w:kern w:val="0"/>
          <w:sz w:val="24"/>
          <w:szCs w:val="24"/>
          <w:lang w:val="en-US" w:eastAsia="zh-CN"/>
        </w:rPr>
        <w:t>9.4万元</w:t>
      </w:r>
      <w:r>
        <w:rPr>
          <w:rFonts w:hint="eastAsia" w:ascii="方正仿宋_GB2312" w:hAnsi="方正仿宋_GB2312" w:eastAsia="方正仿宋_GB2312" w:cs="方正仿宋_GB2312"/>
          <w:kern w:val="0"/>
          <w:sz w:val="24"/>
          <w:szCs w:val="24"/>
        </w:rPr>
        <w:t>（报价超过此费用为无效报价）</w:t>
      </w:r>
      <w:r>
        <w:rPr>
          <w:rFonts w:hint="eastAsia" w:ascii="方正仿宋_GB2312" w:hAnsi="方正仿宋_GB2312" w:eastAsia="方正仿宋_GB2312" w:cs="方正仿宋_GB2312"/>
          <w:kern w:val="0"/>
          <w:sz w:val="24"/>
          <w:szCs w:val="24"/>
          <w:lang w:eastAsia="zh-CN"/>
        </w:rPr>
        <w:t>。</w:t>
      </w:r>
    </w:p>
    <w:p w14:paraId="530CD279">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eastAsia="zh-CN"/>
        </w:rPr>
      </w:pPr>
      <w:r>
        <w:rPr>
          <w:rFonts w:hint="eastAsia" w:ascii="方正仿宋_GB2312" w:hAnsi="方正仿宋_GB2312" w:eastAsia="方正仿宋_GB2312" w:cs="方正仿宋_GB2312"/>
          <w:kern w:val="0"/>
          <w:sz w:val="24"/>
          <w:szCs w:val="24"/>
          <w:lang w:val="en-US" w:eastAsia="zh-CN"/>
        </w:rPr>
        <w:t>5</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项目交货期：20</w:t>
      </w:r>
      <w:r>
        <w:rPr>
          <w:rFonts w:hint="eastAsia" w:ascii="方正仿宋_GB2312" w:hAnsi="方正仿宋_GB2312" w:eastAsia="方正仿宋_GB2312" w:cs="方正仿宋_GB2312"/>
          <w:kern w:val="0"/>
          <w:sz w:val="24"/>
          <w:szCs w:val="24"/>
        </w:rPr>
        <w:t>个自然日内供货</w:t>
      </w:r>
      <w:r>
        <w:rPr>
          <w:rFonts w:hint="eastAsia" w:ascii="方正仿宋_GB2312" w:hAnsi="方正仿宋_GB2312" w:eastAsia="方正仿宋_GB2312" w:cs="方正仿宋_GB2312"/>
          <w:kern w:val="0"/>
          <w:sz w:val="24"/>
          <w:szCs w:val="24"/>
          <w:lang w:eastAsia="zh-CN"/>
        </w:rPr>
        <w:t>安装完毕。</w:t>
      </w:r>
    </w:p>
    <w:p w14:paraId="409A14DD">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6、项目质保期：验收合格之日起质保期三年。</w:t>
      </w:r>
    </w:p>
    <w:p w14:paraId="5CBCAEA3">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7、项目内容：</w:t>
      </w:r>
    </w:p>
    <w:p w14:paraId="7F622598">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7.1蓄电池：更换32个12V100AH蓄电池。</w:t>
      </w:r>
    </w:p>
    <w:p w14:paraId="06BDC5FD">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7.2 UPS主机：更换2台10KVA工频机、1台40KVA 3/3工频机。</w:t>
      </w:r>
    </w:p>
    <w:p w14:paraId="20A82B26">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7.3更换所有电池连接线缆，采用BVR25电池连接线；要求配置电池端子绝缘保护帽。</w:t>
      </w:r>
    </w:p>
    <w:p w14:paraId="15A21CD1">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7.4（具体内容见第六条《UPS技术需求》 ）。</w:t>
      </w:r>
    </w:p>
    <w:p w14:paraId="706D3E8D">
      <w:pPr>
        <w:autoSpaceDE w:val="0"/>
        <w:autoSpaceDN w:val="0"/>
        <w:spacing w:line="500" w:lineRule="exact"/>
        <w:ind w:firstLine="480" w:firstLineChars="200"/>
        <w:rPr>
          <w:rFonts w:hint="eastAsia"/>
        </w:rPr>
      </w:pPr>
      <w:r>
        <w:rPr>
          <w:rFonts w:hint="eastAsia" w:ascii="方正仿宋_GB2312" w:hAnsi="方正仿宋_GB2312" w:eastAsia="方正仿宋_GB2312" w:cs="方正仿宋_GB2312"/>
          <w:kern w:val="0"/>
          <w:sz w:val="24"/>
          <w:szCs w:val="24"/>
          <w:lang w:val="en-US" w:eastAsia="zh-CN"/>
        </w:rPr>
        <w:t>7.5 更换下来的废旧电池由供应商处置。</w:t>
      </w:r>
    </w:p>
    <w:p w14:paraId="0DB033BA">
      <w:pPr>
        <w:autoSpaceDE w:val="0"/>
        <w:autoSpaceDN w:val="0"/>
        <w:spacing w:line="500" w:lineRule="exact"/>
        <w:ind w:firstLine="602" w:firstLineChars="200"/>
        <w:rPr>
          <w:rFonts w:hint="eastAsia" w:ascii="黑体" w:hAnsi="黑体" w:eastAsia="黑体" w:cs="黑体"/>
          <w:b/>
          <w:bCs/>
          <w:kern w:val="0"/>
          <w:sz w:val="30"/>
          <w:szCs w:val="30"/>
        </w:rPr>
      </w:pPr>
      <w:r>
        <w:rPr>
          <w:rFonts w:hint="eastAsia" w:ascii="黑体" w:hAnsi="黑体" w:eastAsia="黑体" w:cs="黑体"/>
          <w:b/>
          <w:bCs/>
          <w:kern w:val="0"/>
          <w:sz w:val="30"/>
          <w:szCs w:val="30"/>
        </w:rPr>
        <w:t xml:space="preserve">二、供应商资格要求 </w:t>
      </w:r>
    </w:p>
    <w:p w14:paraId="6114ADC0">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1、投标人须是国内注册的独立法人，具备合法有效的营业执照，且合法存续；</w:t>
      </w:r>
    </w:p>
    <w:p w14:paraId="7B102C14">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2、供应商须为所投UPS蓄电池的制造商或代理商，如为代理商，则须提供制造商授权。</w:t>
      </w:r>
    </w:p>
    <w:p w14:paraId="7C1BFA36">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3、供应商自2022年1月1日至今，至少完成过一项类似UPS蓄电池供货合同业绩(须同时提供①合同（含封面页、合同内容页、签章页等关键页）、②项目发票（发票二维码清晰可查并提供税务局发票查询截图，发票开具时间须在本项目招标公告发布之日前）)。</w:t>
      </w:r>
    </w:p>
    <w:p w14:paraId="2F37BE3B">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4、供应商未被列入“信用中国”网站(www.creditchina.gov.cn)或者“中国执行信息公开网”（zxgk.court.gov.cn）失信被执行人名单。（提供网页查询截图）</w:t>
      </w:r>
    </w:p>
    <w:p w14:paraId="1D8540BD">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5、供应商须针对《湖北机场集团有限公司供应商“不良行为”管理办法》在响应文件中做出承诺（格式详见响应文件格式）。</w:t>
      </w:r>
    </w:p>
    <w:p w14:paraId="1E7C7126">
      <w:pPr>
        <w:autoSpaceDE w:val="0"/>
        <w:autoSpaceDN w:val="0"/>
        <w:spacing w:line="5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以上资格要求为本次响应供应商应具备的基本条件，参加响应的供应商必须满足资格</w:t>
      </w:r>
    </w:p>
    <w:p w14:paraId="767FB984">
      <w:pPr>
        <w:autoSpaceDE w:val="0"/>
        <w:autoSpaceDN w:val="0"/>
        <w:spacing w:line="500" w:lineRule="exact"/>
        <w:ind w:firstLine="482" w:firstLineChars="200"/>
        <w:rPr>
          <w:rFonts w:ascii="宋体" w:hAnsi="宋体" w:cs="宋体"/>
          <w:b/>
          <w:color w:val="000000" w:themeColor="text1"/>
          <w:kern w:val="0"/>
          <w:sz w:val="24"/>
          <w:szCs w:val="24"/>
          <w:u w:val="none"/>
          <w14:textFill>
            <w14:solidFill>
              <w14:schemeClr w14:val="tx1"/>
            </w14:solidFill>
          </w14:textFill>
        </w:rPr>
      </w:pPr>
      <w:r>
        <w:rPr>
          <w:rFonts w:hint="eastAsia" w:ascii="宋体" w:hAnsi="宋体" w:cs="宋体"/>
          <w:b/>
          <w:color w:val="000000" w:themeColor="text1"/>
          <w:kern w:val="0"/>
          <w:sz w:val="24"/>
          <w:szCs w:val="24"/>
          <w:u w:val="none"/>
          <w:lang w:val="en-US" w:eastAsia="zh-CN"/>
          <w14:textFill>
            <w14:solidFill>
              <w14:schemeClr w14:val="tx1"/>
            </w14:solidFill>
          </w14:textFill>
        </w:rPr>
        <w:t>三</w:t>
      </w:r>
      <w:r>
        <w:rPr>
          <w:rFonts w:hint="eastAsia" w:ascii="宋体" w:hAnsi="宋体" w:cs="宋体"/>
          <w:b/>
          <w:color w:val="000000" w:themeColor="text1"/>
          <w:kern w:val="0"/>
          <w:sz w:val="24"/>
          <w:szCs w:val="24"/>
          <w:u w:val="none"/>
          <w14:textFill>
            <w14:solidFill>
              <w14:schemeClr w14:val="tx1"/>
            </w14:solidFill>
          </w14:textFill>
        </w:rPr>
        <w:t>、询价响应文件送达地点及截止时间</w:t>
      </w:r>
    </w:p>
    <w:p w14:paraId="5DCA2C09">
      <w:pPr>
        <w:autoSpaceDE w:val="0"/>
        <w:autoSpaceDN w:val="0"/>
        <w:spacing w:line="500" w:lineRule="exact"/>
        <w:ind w:firstLine="480" w:firstLineChars="200"/>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1.响应文件递交截止时间：</w:t>
      </w:r>
      <w:r>
        <w:rPr>
          <w:rFonts w:ascii="宋体" w:hAnsi="宋体" w:cs="宋体"/>
          <w:color w:val="000000" w:themeColor="text1"/>
          <w:kern w:val="0"/>
          <w:sz w:val="24"/>
          <w:szCs w:val="24"/>
          <w:u w:val="none"/>
          <w14:textFill>
            <w14:solidFill>
              <w14:schemeClr w14:val="tx1"/>
            </w14:solidFill>
          </w14:textFill>
        </w:rPr>
        <w:t>202</w:t>
      </w:r>
      <w:r>
        <w:rPr>
          <w:rFonts w:hint="eastAsia" w:ascii="宋体" w:hAnsi="宋体" w:cs="宋体"/>
          <w:color w:val="000000" w:themeColor="text1"/>
          <w:kern w:val="0"/>
          <w:sz w:val="24"/>
          <w:szCs w:val="24"/>
          <w:u w:val="none"/>
          <w:lang w:val="en-US" w:eastAsia="zh-CN"/>
          <w14:textFill>
            <w14:solidFill>
              <w14:schemeClr w14:val="tx1"/>
            </w14:solidFill>
          </w14:textFill>
        </w:rPr>
        <w:t>5</w:t>
      </w:r>
      <w:r>
        <w:rPr>
          <w:rFonts w:hint="eastAsia" w:ascii="宋体" w:hAnsi="宋体" w:cs="宋体"/>
          <w:color w:val="000000" w:themeColor="text1"/>
          <w:kern w:val="0"/>
          <w:sz w:val="24"/>
          <w:szCs w:val="24"/>
          <w:u w:val="none"/>
          <w14:textFill>
            <w14:solidFill>
              <w14:schemeClr w14:val="tx1"/>
            </w14:solidFill>
          </w14:textFill>
        </w:rPr>
        <w:t>年</w:t>
      </w:r>
      <w:r>
        <w:rPr>
          <w:rFonts w:hint="eastAsia" w:ascii="宋体" w:hAnsi="宋体" w:cs="宋体"/>
          <w:color w:val="000000" w:themeColor="text1"/>
          <w:kern w:val="0"/>
          <w:sz w:val="24"/>
          <w:szCs w:val="24"/>
          <w:u w:val="none"/>
          <w:lang w:val="en-US" w:eastAsia="zh-CN"/>
          <w14:textFill>
            <w14:solidFill>
              <w14:schemeClr w14:val="tx1"/>
            </w14:solidFill>
          </w14:textFill>
        </w:rPr>
        <w:t>11</w:t>
      </w:r>
      <w:r>
        <w:rPr>
          <w:rFonts w:hint="eastAsia" w:ascii="宋体" w:hAnsi="宋体" w:cs="宋体"/>
          <w:color w:val="000000" w:themeColor="text1"/>
          <w:kern w:val="0"/>
          <w:sz w:val="24"/>
          <w:szCs w:val="24"/>
          <w:u w:val="none"/>
          <w14:textFill>
            <w14:solidFill>
              <w14:schemeClr w14:val="tx1"/>
            </w14:solidFill>
          </w14:textFill>
        </w:rPr>
        <w:t>月</w:t>
      </w:r>
      <w:r>
        <w:rPr>
          <w:rFonts w:hint="eastAsia" w:ascii="宋体" w:hAnsi="宋体" w:cs="宋体"/>
          <w:color w:val="000000" w:themeColor="text1"/>
          <w:kern w:val="0"/>
          <w:sz w:val="24"/>
          <w:szCs w:val="24"/>
          <w:u w:val="none"/>
          <w:lang w:val="en-US" w:eastAsia="zh-CN"/>
          <w14:textFill>
            <w14:solidFill>
              <w14:schemeClr w14:val="tx1"/>
            </w14:solidFill>
          </w14:textFill>
        </w:rPr>
        <w:t>26</w:t>
      </w:r>
      <w:r>
        <w:rPr>
          <w:rFonts w:hint="eastAsia" w:ascii="宋体" w:hAnsi="宋体" w:cs="宋体"/>
          <w:color w:val="000000" w:themeColor="text1"/>
          <w:kern w:val="0"/>
          <w:sz w:val="24"/>
          <w:szCs w:val="24"/>
          <w:u w:val="none"/>
          <w14:textFill>
            <w14:solidFill>
              <w14:schemeClr w14:val="tx1"/>
            </w14:solidFill>
          </w14:textFill>
        </w:rPr>
        <w:t>日</w:t>
      </w:r>
      <w:r>
        <w:rPr>
          <w:rFonts w:hint="eastAsia" w:ascii="宋体" w:hAnsi="宋体" w:cs="宋体"/>
          <w:color w:val="000000" w:themeColor="text1"/>
          <w:kern w:val="0"/>
          <w:sz w:val="24"/>
          <w:szCs w:val="24"/>
          <w:u w:val="none"/>
          <w:lang w:val="en-US" w:eastAsia="zh-CN"/>
          <w14:textFill>
            <w14:solidFill>
              <w14:schemeClr w14:val="tx1"/>
            </w14:solidFill>
          </w14:textFill>
        </w:rPr>
        <w:t>16</w:t>
      </w:r>
      <w:r>
        <w:rPr>
          <w:rFonts w:hint="eastAsia" w:ascii="宋体" w:hAnsi="宋体" w:cs="宋体"/>
          <w:color w:val="000000" w:themeColor="text1"/>
          <w:kern w:val="0"/>
          <w:sz w:val="24"/>
          <w:szCs w:val="24"/>
          <w:u w:val="none"/>
          <w14:textFill>
            <w14:solidFill>
              <w14:schemeClr w14:val="tx1"/>
            </w14:solidFill>
          </w14:textFill>
        </w:rPr>
        <w:t>时</w:t>
      </w:r>
      <w:r>
        <w:rPr>
          <w:rFonts w:hint="eastAsia" w:ascii="宋体" w:hAnsi="宋体" w:cs="宋体"/>
          <w:color w:val="000000" w:themeColor="text1"/>
          <w:kern w:val="0"/>
          <w:sz w:val="24"/>
          <w:szCs w:val="24"/>
          <w:u w:val="none"/>
          <w:lang w:val="en-US" w:eastAsia="zh-CN"/>
          <w14:textFill>
            <w14:solidFill>
              <w14:schemeClr w14:val="tx1"/>
            </w14:solidFill>
          </w14:textFill>
        </w:rPr>
        <w:t>30</w:t>
      </w:r>
      <w:r>
        <w:rPr>
          <w:rFonts w:hint="eastAsia" w:ascii="宋体" w:hAnsi="宋体" w:cs="宋体"/>
          <w:color w:val="000000" w:themeColor="text1"/>
          <w:kern w:val="0"/>
          <w:sz w:val="24"/>
          <w:szCs w:val="24"/>
          <w:u w:val="none"/>
          <w14:textFill>
            <w14:solidFill>
              <w14:schemeClr w14:val="tx1"/>
            </w14:solidFill>
          </w14:textFill>
        </w:rPr>
        <w:t>分（北京时间）；</w:t>
      </w:r>
    </w:p>
    <w:p w14:paraId="6155EE20">
      <w:pPr>
        <w:autoSpaceDE w:val="0"/>
        <w:autoSpaceDN w:val="0"/>
        <w:spacing w:line="500" w:lineRule="exact"/>
        <w:ind w:firstLine="480" w:firstLineChars="200"/>
        <w:rPr>
          <w:rFonts w:hAnsi="宋体"/>
          <w:bCs/>
          <w:color w:val="000000" w:themeColor="text1"/>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2.响应文件递交地点：武汉天河机场</w:t>
      </w:r>
      <w:r>
        <w:rPr>
          <w:rFonts w:hint="eastAsia" w:ascii="宋体" w:hAnsi="宋体" w:cs="宋体"/>
          <w:color w:val="000000" w:themeColor="text1"/>
          <w:sz w:val="24"/>
          <w:szCs w:val="24"/>
          <w:highlight w:val="none"/>
          <w:u w:val="none"/>
          <w:lang w:val="en-US" w:eastAsia="zh-CN"/>
          <w14:textFill>
            <w14:solidFill>
              <w14:schemeClr w14:val="tx1"/>
            </w14:solidFill>
          </w14:textFill>
        </w:rPr>
        <w:t>国际货运营业厅</w:t>
      </w:r>
      <w:r>
        <w:rPr>
          <w:rFonts w:hint="eastAsia" w:ascii="宋体" w:hAnsi="宋体" w:cs="宋体"/>
          <w:color w:val="000000" w:themeColor="text1"/>
          <w:sz w:val="24"/>
          <w:szCs w:val="24"/>
          <w:highlight w:val="none"/>
          <w:u w:val="none"/>
          <w14:textFill>
            <w14:solidFill>
              <w14:schemeClr w14:val="tx1"/>
            </w14:solidFill>
          </w14:textFill>
        </w:rPr>
        <w:t>。</w:t>
      </w:r>
      <w:r>
        <w:rPr>
          <w:rFonts w:hint="eastAsia" w:hAnsi="宋体"/>
          <w:bCs/>
          <w:color w:val="000000" w:themeColor="text1"/>
          <w:sz w:val="24"/>
          <w:szCs w:val="24"/>
          <w:u w:val="none"/>
          <w14:textFill>
            <w14:solidFill>
              <w14:schemeClr w14:val="tx1"/>
            </w14:solidFill>
          </w14:textFill>
        </w:rPr>
        <w:t>（联系人：</w:t>
      </w:r>
      <w:r>
        <w:rPr>
          <w:rFonts w:hint="eastAsia" w:hAnsi="宋体"/>
          <w:bCs/>
          <w:color w:val="000000" w:themeColor="text1"/>
          <w:sz w:val="24"/>
          <w:szCs w:val="24"/>
          <w:u w:val="none"/>
          <w:lang w:val="en-US" w:eastAsia="zh-CN"/>
          <w14:textFill>
            <w14:solidFill>
              <w14:schemeClr w14:val="tx1"/>
            </w14:solidFill>
          </w14:textFill>
        </w:rPr>
        <w:t>王枫 13437130759</w:t>
      </w:r>
      <w:r>
        <w:rPr>
          <w:rFonts w:hint="eastAsia" w:hAnsi="宋体"/>
          <w:bCs/>
          <w:color w:val="000000" w:themeColor="text1"/>
          <w:sz w:val="24"/>
          <w:szCs w:val="24"/>
          <w:u w:val="none"/>
          <w14:textFill>
            <w14:solidFill>
              <w14:schemeClr w14:val="tx1"/>
            </w14:solidFill>
          </w14:textFill>
        </w:rPr>
        <w:t>）</w:t>
      </w:r>
    </w:p>
    <w:p w14:paraId="2792AA93">
      <w:pPr>
        <w:autoSpaceDE w:val="0"/>
        <w:autoSpaceDN w:val="0"/>
        <w:spacing w:line="500" w:lineRule="exact"/>
        <w:ind w:firstLine="480" w:firstLineChars="200"/>
        <w:rPr>
          <w:rFonts w:hint="eastAsia"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3.逾期未完成递交响应文件的，将视为未递交响应文件。</w:t>
      </w:r>
    </w:p>
    <w:p w14:paraId="41A51302">
      <w:pPr>
        <w:autoSpaceDE w:val="0"/>
        <w:autoSpaceDN w:val="0"/>
        <w:spacing w:line="500" w:lineRule="exact"/>
        <w:ind w:left="479" w:leftChars="228"/>
        <w:rPr>
          <w:rFonts w:ascii="宋体" w:hAnsi="宋体" w:cs="宋体"/>
          <w:b/>
          <w:color w:val="000000" w:themeColor="text1"/>
          <w:kern w:val="0"/>
          <w:sz w:val="24"/>
          <w:szCs w:val="24"/>
          <w:u w:val="none"/>
          <w14:textFill>
            <w14:solidFill>
              <w14:schemeClr w14:val="tx1"/>
            </w14:solidFill>
          </w14:textFill>
        </w:rPr>
      </w:pPr>
      <w:r>
        <w:rPr>
          <w:rFonts w:hint="eastAsia" w:ascii="宋体" w:hAnsi="宋体" w:cs="宋体"/>
          <w:b/>
          <w:color w:val="000000" w:themeColor="text1"/>
          <w:kern w:val="0"/>
          <w:sz w:val="24"/>
          <w:szCs w:val="24"/>
          <w:u w:val="none"/>
          <w:lang w:val="en-US" w:eastAsia="zh-CN"/>
          <w14:textFill>
            <w14:solidFill>
              <w14:schemeClr w14:val="tx1"/>
            </w14:solidFill>
          </w14:textFill>
        </w:rPr>
        <w:t>四</w:t>
      </w:r>
      <w:r>
        <w:rPr>
          <w:rFonts w:hint="eastAsia" w:ascii="宋体" w:hAnsi="宋体" w:cs="宋体"/>
          <w:b/>
          <w:color w:val="000000" w:themeColor="text1"/>
          <w:kern w:val="0"/>
          <w:sz w:val="24"/>
          <w:szCs w:val="24"/>
          <w:u w:val="none"/>
          <w14:textFill>
            <w14:solidFill>
              <w14:schemeClr w14:val="tx1"/>
            </w14:solidFill>
          </w14:textFill>
        </w:rPr>
        <w:t>、询价时间和地点</w:t>
      </w:r>
    </w:p>
    <w:p w14:paraId="5DBF1303">
      <w:pPr>
        <w:autoSpaceDE w:val="0"/>
        <w:autoSpaceDN w:val="0"/>
        <w:spacing w:line="500" w:lineRule="exact"/>
        <w:ind w:firstLine="480" w:firstLineChars="200"/>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1.询价时间：</w:t>
      </w:r>
      <w:r>
        <w:rPr>
          <w:rFonts w:ascii="宋体" w:hAnsi="宋体" w:cs="宋体"/>
          <w:color w:val="000000" w:themeColor="text1"/>
          <w:kern w:val="0"/>
          <w:sz w:val="24"/>
          <w:szCs w:val="24"/>
          <w:u w:val="none"/>
          <w14:textFill>
            <w14:solidFill>
              <w14:schemeClr w14:val="tx1"/>
            </w14:solidFill>
          </w14:textFill>
        </w:rPr>
        <w:t>202</w:t>
      </w:r>
      <w:r>
        <w:rPr>
          <w:rFonts w:hint="eastAsia" w:ascii="宋体" w:hAnsi="宋体" w:cs="宋体"/>
          <w:color w:val="000000" w:themeColor="text1"/>
          <w:kern w:val="0"/>
          <w:sz w:val="24"/>
          <w:szCs w:val="24"/>
          <w:u w:val="none"/>
          <w:lang w:val="en-US" w:eastAsia="zh-CN"/>
          <w14:textFill>
            <w14:solidFill>
              <w14:schemeClr w14:val="tx1"/>
            </w14:solidFill>
          </w14:textFill>
        </w:rPr>
        <w:t>5</w:t>
      </w:r>
      <w:r>
        <w:rPr>
          <w:rFonts w:hint="eastAsia" w:ascii="宋体" w:hAnsi="宋体" w:cs="宋体"/>
          <w:color w:val="000000" w:themeColor="text1"/>
          <w:kern w:val="0"/>
          <w:sz w:val="24"/>
          <w:szCs w:val="24"/>
          <w:u w:val="none"/>
          <w14:textFill>
            <w14:solidFill>
              <w14:schemeClr w14:val="tx1"/>
            </w14:solidFill>
          </w14:textFill>
        </w:rPr>
        <w:t>年</w:t>
      </w:r>
      <w:r>
        <w:rPr>
          <w:rFonts w:hint="eastAsia" w:ascii="宋体" w:hAnsi="宋体" w:cs="宋体"/>
          <w:color w:val="000000" w:themeColor="text1"/>
          <w:kern w:val="0"/>
          <w:sz w:val="24"/>
          <w:szCs w:val="24"/>
          <w:u w:val="none"/>
          <w:lang w:val="en-US" w:eastAsia="zh-CN"/>
          <w14:textFill>
            <w14:solidFill>
              <w14:schemeClr w14:val="tx1"/>
            </w14:solidFill>
          </w14:textFill>
        </w:rPr>
        <w:t>11</w:t>
      </w:r>
      <w:r>
        <w:rPr>
          <w:rFonts w:hint="eastAsia" w:ascii="宋体" w:hAnsi="宋体" w:cs="宋体"/>
          <w:color w:val="000000" w:themeColor="text1"/>
          <w:kern w:val="0"/>
          <w:sz w:val="24"/>
          <w:szCs w:val="24"/>
          <w:u w:val="none"/>
          <w14:textFill>
            <w14:solidFill>
              <w14:schemeClr w14:val="tx1"/>
            </w14:solidFill>
          </w14:textFill>
        </w:rPr>
        <w:t>月</w:t>
      </w:r>
      <w:r>
        <w:rPr>
          <w:rFonts w:hint="eastAsia" w:ascii="宋体" w:hAnsi="宋体" w:cs="宋体"/>
          <w:color w:val="000000" w:themeColor="text1"/>
          <w:kern w:val="0"/>
          <w:sz w:val="24"/>
          <w:szCs w:val="24"/>
          <w:u w:val="none"/>
          <w:lang w:val="en-US" w:eastAsia="zh-CN"/>
          <w14:textFill>
            <w14:solidFill>
              <w14:schemeClr w14:val="tx1"/>
            </w14:solidFill>
          </w14:textFill>
        </w:rPr>
        <w:t>27</w:t>
      </w:r>
      <w:r>
        <w:rPr>
          <w:rFonts w:hint="eastAsia" w:ascii="宋体" w:hAnsi="宋体" w:cs="宋体"/>
          <w:color w:val="000000" w:themeColor="text1"/>
          <w:kern w:val="0"/>
          <w:sz w:val="24"/>
          <w:szCs w:val="24"/>
          <w:u w:val="none"/>
          <w14:textFill>
            <w14:solidFill>
              <w14:schemeClr w14:val="tx1"/>
            </w14:solidFill>
          </w14:textFill>
        </w:rPr>
        <w:t>日</w:t>
      </w:r>
      <w:r>
        <w:rPr>
          <w:rFonts w:hint="eastAsia" w:ascii="宋体" w:hAnsi="宋体" w:cs="宋体"/>
          <w:color w:val="000000" w:themeColor="text1"/>
          <w:kern w:val="0"/>
          <w:sz w:val="24"/>
          <w:szCs w:val="24"/>
          <w:u w:val="none"/>
          <w:lang w:val="en-US" w:eastAsia="zh-CN"/>
          <w14:textFill>
            <w14:solidFill>
              <w14:schemeClr w14:val="tx1"/>
            </w14:solidFill>
          </w14:textFill>
        </w:rPr>
        <w:t>08</w:t>
      </w:r>
      <w:r>
        <w:rPr>
          <w:rFonts w:hint="eastAsia" w:ascii="宋体" w:hAnsi="宋体" w:cs="宋体"/>
          <w:color w:val="000000" w:themeColor="text1"/>
          <w:kern w:val="0"/>
          <w:sz w:val="24"/>
          <w:szCs w:val="24"/>
          <w:u w:val="none"/>
          <w14:textFill>
            <w14:solidFill>
              <w14:schemeClr w14:val="tx1"/>
            </w14:solidFill>
          </w14:textFill>
        </w:rPr>
        <w:t>时</w:t>
      </w:r>
      <w:r>
        <w:rPr>
          <w:rFonts w:hint="eastAsia" w:ascii="宋体" w:hAnsi="宋体" w:cs="宋体"/>
          <w:color w:val="000000" w:themeColor="text1"/>
          <w:kern w:val="0"/>
          <w:sz w:val="24"/>
          <w:szCs w:val="24"/>
          <w:u w:val="none"/>
          <w:lang w:val="en-US" w:eastAsia="zh-CN"/>
          <w14:textFill>
            <w14:solidFill>
              <w14:schemeClr w14:val="tx1"/>
            </w14:solidFill>
          </w14:textFill>
        </w:rPr>
        <w:t>30</w:t>
      </w:r>
      <w:r>
        <w:rPr>
          <w:rFonts w:hint="eastAsia" w:ascii="宋体" w:hAnsi="宋体" w:cs="宋体"/>
          <w:color w:val="000000" w:themeColor="text1"/>
          <w:kern w:val="0"/>
          <w:sz w:val="24"/>
          <w:szCs w:val="24"/>
          <w:u w:val="none"/>
          <w14:textFill>
            <w14:solidFill>
              <w14:schemeClr w14:val="tx1"/>
            </w14:solidFill>
          </w14:textFill>
        </w:rPr>
        <w:t>分（北京时间）（暂定）</w:t>
      </w:r>
    </w:p>
    <w:p w14:paraId="71EE5CD8">
      <w:pPr>
        <w:autoSpaceDE w:val="0"/>
        <w:autoSpaceDN w:val="0"/>
        <w:spacing w:line="500" w:lineRule="exact"/>
        <w:ind w:firstLine="480" w:firstLineChars="200"/>
        <w:rPr>
          <w:rFonts w:hint="eastAsia" w:ascii="宋体" w:hAnsi="宋体" w:eastAsia="宋体" w:cs="宋体"/>
          <w:color w:val="000000" w:themeColor="text1"/>
          <w:kern w:val="0"/>
          <w:sz w:val="24"/>
          <w:szCs w:val="24"/>
          <w:u w:val="none"/>
          <w:lang w:eastAsia="zh-CN"/>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2.询价评审地点：武汉天河机场</w:t>
      </w:r>
      <w:r>
        <w:rPr>
          <w:rFonts w:hint="eastAsia" w:ascii="宋体" w:hAnsi="宋体" w:cs="宋体"/>
          <w:color w:val="000000" w:themeColor="text1"/>
          <w:kern w:val="0"/>
          <w:sz w:val="24"/>
          <w:szCs w:val="24"/>
          <w:u w:val="none"/>
          <w:lang w:eastAsia="zh-CN"/>
          <w14:textFill>
            <w14:solidFill>
              <w14:schemeClr w14:val="tx1"/>
            </w14:solidFill>
          </w14:textFill>
        </w:rPr>
        <w:t>航空物流中心（暂定）</w:t>
      </w:r>
    </w:p>
    <w:p w14:paraId="25E50865">
      <w:pPr>
        <w:autoSpaceDE w:val="0"/>
        <w:autoSpaceDN w:val="0"/>
        <w:spacing w:line="500" w:lineRule="exact"/>
        <w:ind w:left="479" w:leftChars="228"/>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b/>
          <w:color w:val="000000" w:themeColor="text1"/>
          <w:kern w:val="0"/>
          <w:sz w:val="24"/>
          <w:szCs w:val="24"/>
          <w:u w:val="none"/>
          <w:lang w:val="en-US" w:eastAsia="zh-CN"/>
          <w14:textFill>
            <w14:solidFill>
              <w14:schemeClr w14:val="tx1"/>
            </w14:solidFill>
          </w14:textFill>
        </w:rPr>
        <w:t>五</w:t>
      </w:r>
      <w:r>
        <w:rPr>
          <w:rFonts w:hint="eastAsia" w:ascii="宋体" w:hAnsi="宋体" w:cs="宋体"/>
          <w:b/>
          <w:color w:val="000000" w:themeColor="text1"/>
          <w:kern w:val="0"/>
          <w:sz w:val="24"/>
          <w:szCs w:val="24"/>
          <w:u w:val="none"/>
          <w14:textFill>
            <w14:solidFill>
              <w14:schemeClr w14:val="tx1"/>
            </w14:solidFill>
          </w14:textFill>
        </w:rPr>
        <w:t>、</w:t>
      </w:r>
      <w:r>
        <w:rPr>
          <w:rFonts w:hint="eastAsia" w:ascii="宋体" w:hAnsi="宋体" w:cs="宋体"/>
          <w:b/>
          <w:bCs/>
          <w:color w:val="000000" w:themeColor="text1"/>
          <w:kern w:val="0"/>
          <w:sz w:val="24"/>
          <w:szCs w:val="24"/>
          <w:u w:val="none"/>
          <w14:textFill>
            <w14:solidFill>
              <w14:schemeClr w14:val="tx1"/>
            </w14:solidFill>
          </w14:textFill>
        </w:rPr>
        <w:t xml:space="preserve">采购人 </w:t>
      </w:r>
    </w:p>
    <w:p w14:paraId="3EDFF1A9">
      <w:pPr>
        <w:autoSpaceDE w:val="0"/>
        <w:autoSpaceDN w:val="0"/>
        <w:spacing w:line="500" w:lineRule="exact"/>
        <w:ind w:firstLine="480" w:firstLineChars="200"/>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 xml:space="preserve">名    称：湖北机场集团航空物流有限公司 </w:t>
      </w:r>
    </w:p>
    <w:p w14:paraId="7696D582">
      <w:pPr>
        <w:autoSpaceDE w:val="0"/>
        <w:autoSpaceDN w:val="0"/>
        <w:spacing w:line="500" w:lineRule="exact"/>
        <w:ind w:firstLine="480" w:firstLineChars="200"/>
        <w:rPr>
          <w:rFonts w:hAnsi="宋体"/>
          <w:bCs/>
          <w:color w:val="000000" w:themeColor="text1"/>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地    址：</w:t>
      </w:r>
      <w:r>
        <w:rPr>
          <w:rFonts w:hint="eastAsia" w:hAnsi="宋体"/>
          <w:bCs/>
          <w:color w:val="000000" w:themeColor="text1"/>
          <w:sz w:val="24"/>
          <w:szCs w:val="24"/>
          <w:u w:val="none"/>
          <w14:textFill>
            <w14:solidFill>
              <w14:schemeClr w14:val="tx1"/>
            </w14:solidFill>
          </w14:textFill>
        </w:rPr>
        <w:t>武汉市黄陂区天河国际机场</w:t>
      </w:r>
      <w:r>
        <w:rPr>
          <w:rFonts w:hAnsi="宋体"/>
          <w:bCs/>
          <w:color w:val="000000" w:themeColor="text1"/>
          <w:sz w:val="24"/>
          <w:szCs w:val="24"/>
          <w:u w:val="none"/>
          <w14:textFill>
            <w14:solidFill>
              <w14:schemeClr w14:val="tx1"/>
            </w14:solidFill>
          </w14:textFill>
        </w:rPr>
        <w:t>北区货站</w:t>
      </w:r>
    </w:p>
    <w:p w14:paraId="6AF5F493">
      <w:pPr>
        <w:autoSpaceDE w:val="0"/>
        <w:autoSpaceDN w:val="0"/>
        <w:spacing w:line="500" w:lineRule="exact"/>
        <w:ind w:firstLine="480" w:firstLineChars="200"/>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联   系  人：</w:t>
      </w:r>
      <w:r>
        <w:rPr>
          <w:rFonts w:hint="eastAsia" w:hAnsi="宋体"/>
          <w:bCs/>
          <w:color w:val="000000" w:themeColor="text1"/>
          <w:sz w:val="24"/>
          <w:szCs w:val="24"/>
          <w:u w:val="none"/>
          <w:lang w:val="en-US" w:eastAsia="zh-CN"/>
          <w14:textFill>
            <w14:solidFill>
              <w14:schemeClr w14:val="tx1"/>
            </w14:solidFill>
          </w14:textFill>
        </w:rPr>
        <w:t xml:space="preserve">王枫 </w:t>
      </w:r>
      <w:r>
        <w:rPr>
          <w:rFonts w:hint="eastAsia" w:hAnsi="宋体"/>
          <w:bCs/>
          <w:color w:val="000000" w:themeColor="text1"/>
          <w:sz w:val="24"/>
          <w:szCs w:val="24"/>
          <w:u w:val="none"/>
          <w14:textFill>
            <w14:solidFill>
              <w14:schemeClr w14:val="tx1"/>
            </w14:solidFill>
          </w14:textFill>
        </w:rPr>
        <w:t xml:space="preserve"> </w:t>
      </w:r>
    </w:p>
    <w:p w14:paraId="01182491">
      <w:pPr>
        <w:autoSpaceDE w:val="0"/>
        <w:autoSpaceDN w:val="0"/>
        <w:spacing w:line="500" w:lineRule="exact"/>
        <w:ind w:firstLine="480" w:firstLineChars="200"/>
        <w:rPr>
          <w:rFonts w:hAnsi="宋体"/>
          <w:bCs/>
          <w:color w:val="000000" w:themeColor="text1"/>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电       话：</w:t>
      </w:r>
      <w:r>
        <w:rPr>
          <w:rFonts w:hint="eastAsia" w:hAnsi="宋体"/>
          <w:bCs/>
          <w:color w:val="000000" w:themeColor="text1"/>
          <w:sz w:val="24"/>
          <w:szCs w:val="24"/>
          <w:u w:val="none"/>
          <w:lang w:val="en-US" w:eastAsia="zh-CN"/>
          <w14:textFill>
            <w14:solidFill>
              <w14:schemeClr w14:val="tx1"/>
            </w14:solidFill>
          </w14:textFill>
        </w:rPr>
        <w:t xml:space="preserve">13437130759            </w:t>
      </w:r>
    </w:p>
    <w:p w14:paraId="1F1E0D99">
      <w:pPr>
        <w:autoSpaceDE w:val="0"/>
        <w:autoSpaceDN w:val="0"/>
        <w:spacing w:line="500" w:lineRule="exact"/>
        <w:ind w:firstLine="482" w:firstLineChars="200"/>
        <w:rPr>
          <w:rFonts w:ascii="宋体" w:hAnsi="宋体" w:cs="宋体"/>
          <w:b/>
          <w:color w:val="000000" w:themeColor="text1"/>
          <w:kern w:val="0"/>
          <w:sz w:val="24"/>
          <w:szCs w:val="24"/>
          <w:u w:val="none"/>
          <w14:textFill>
            <w14:solidFill>
              <w14:schemeClr w14:val="tx1"/>
            </w14:solidFill>
          </w14:textFill>
        </w:rPr>
      </w:pPr>
      <w:r>
        <w:rPr>
          <w:rFonts w:hint="eastAsia" w:ascii="宋体" w:hAnsi="宋体" w:cs="宋体"/>
          <w:b/>
          <w:color w:val="000000" w:themeColor="text1"/>
          <w:kern w:val="0"/>
          <w:sz w:val="24"/>
          <w:szCs w:val="24"/>
          <w:u w:val="none"/>
          <w:lang w:val="en-US" w:eastAsia="zh-CN"/>
          <w14:textFill>
            <w14:solidFill>
              <w14:schemeClr w14:val="tx1"/>
            </w14:solidFill>
          </w14:textFill>
        </w:rPr>
        <w:t>六</w:t>
      </w:r>
      <w:r>
        <w:rPr>
          <w:rFonts w:hint="eastAsia" w:ascii="宋体" w:hAnsi="宋体" w:cs="宋体"/>
          <w:b/>
          <w:color w:val="000000" w:themeColor="text1"/>
          <w:kern w:val="0"/>
          <w:sz w:val="24"/>
          <w:szCs w:val="24"/>
          <w:u w:val="none"/>
          <w14:textFill>
            <w14:solidFill>
              <w14:schemeClr w14:val="tx1"/>
            </w14:solidFill>
          </w14:textFill>
        </w:rPr>
        <w:t xml:space="preserve">、信息发布媒体 </w:t>
      </w:r>
    </w:p>
    <w:p w14:paraId="778CD571">
      <w:pPr>
        <w:autoSpaceDE w:val="0"/>
        <w:autoSpaceDN w:val="0"/>
        <w:spacing w:line="500" w:lineRule="exact"/>
        <w:ind w:left="479" w:leftChars="228"/>
        <w:rPr>
          <w:rFonts w:ascii="宋体" w:hAnsi="宋体" w:cs="宋体"/>
          <w:bCs/>
          <w:color w:val="000000" w:themeColor="text1"/>
          <w:kern w:val="0"/>
          <w:sz w:val="24"/>
          <w:szCs w:val="24"/>
          <w:u w:val="none"/>
          <w14:textFill>
            <w14:solidFill>
              <w14:schemeClr w14:val="tx1"/>
            </w14:solidFill>
          </w14:textFill>
        </w:rPr>
      </w:pPr>
      <w:r>
        <w:rPr>
          <w:rFonts w:hint="eastAsia" w:ascii="宋体" w:hAnsi="宋体" w:cs="宋体"/>
          <w:bCs/>
          <w:color w:val="000000" w:themeColor="text1"/>
          <w:kern w:val="0"/>
          <w:sz w:val="24"/>
          <w:szCs w:val="24"/>
          <w:u w:val="none"/>
          <w14:textFill>
            <w14:solidFill>
              <w14:schemeClr w14:val="tx1"/>
            </w14:solidFill>
          </w14:textFill>
        </w:rPr>
        <w:t>湖北机场集团有限公司网站上发布。</w:t>
      </w:r>
    </w:p>
    <w:p w14:paraId="76839D1A">
      <w:pPr>
        <w:autoSpaceDE w:val="0"/>
        <w:autoSpaceDN w:val="0"/>
        <w:spacing w:line="500" w:lineRule="exact"/>
        <w:ind w:left="479" w:leftChars="228"/>
        <w:jc w:val="right"/>
        <w:rPr>
          <w:rFonts w:ascii="宋体" w:hAnsi="宋体" w:cs="宋体"/>
          <w:bCs/>
          <w:color w:val="000000" w:themeColor="text1"/>
          <w:kern w:val="0"/>
          <w:sz w:val="24"/>
          <w:szCs w:val="24"/>
          <w:u w:val="none"/>
          <w14:textFill>
            <w14:solidFill>
              <w14:schemeClr w14:val="tx1"/>
            </w14:solidFill>
          </w14:textFill>
        </w:rPr>
      </w:pPr>
    </w:p>
    <w:p w14:paraId="78B399BB">
      <w:pPr>
        <w:pStyle w:val="6"/>
        <w:jc w:val="right"/>
        <w:rPr>
          <w:rFonts w:ascii="宋体" w:hAnsi="宋体" w:cs="宋体"/>
          <w:bCs/>
          <w:color w:val="000000" w:themeColor="text1"/>
          <w:kern w:val="0"/>
          <w:szCs w:val="24"/>
          <w:u w:val="none"/>
          <w14:textFill>
            <w14:solidFill>
              <w14:schemeClr w14:val="tx1"/>
            </w14:solidFill>
          </w14:textFill>
        </w:rPr>
      </w:pPr>
      <w:r>
        <w:rPr>
          <w:rFonts w:hint="eastAsia" w:ascii="宋体" w:hAnsi="宋体" w:cs="宋体"/>
          <w:bCs/>
          <w:color w:val="000000" w:themeColor="text1"/>
          <w:kern w:val="0"/>
          <w:szCs w:val="24"/>
          <w:u w:val="none"/>
          <w14:textFill>
            <w14:solidFill>
              <w14:schemeClr w14:val="tx1"/>
            </w14:solidFill>
          </w14:textFill>
        </w:rPr>
        <w:t>湖北机场集团航空物流有限公司</w:t>
      </w:r>
    </w:p>
    <w:p w14:paraId="0BA6B11A">
      <w:pPr>
        <w:pStyle w:val="6"/>
        <w:jc w:val="center"/>
        <w:rPr>
          <w:color w:val="000000" w:themeColor="text1"/>
          <w:u w:val="none"/>
          <w14:textFill>
            <w14:solidFill>
              <w14:schemeClr w14:val="tx1"/>
            </w14:solidFill>
          </w14:textFill>
        </w:rPr>
      </w:pPr>
      <w:r>
        <w:rPr>
          <w:rFonts w:ascii="宋体" w:hAnsi="宋体" w:cs="宋体"/>
          <w:bCs/>
          <w:color w:val="000000" w:themeColor="text1"/>
          <w:kern w:val="0"/>
          <w:szCs w:val="24"/>
          <w:u w:val="none"/>
          <w14:textFill>
            <w14:solidFill>
              <w14:schemeClr w14:val="tx1"/>
            </w14:solidFill>
          </w14:textFill>
        </w:rPr>
        <w:t xml:space="preserve">                                                 </w:t>
      </w:r>
      <w:r>
        <w:rPr>
          <w:rFonts w:hint="eastAsia" w:ascii="宋体" w:hAnsi="宋体" w:cs="宋体"/>
          <w:bCs/>
          <w:color w:val="000000" w:themeColor="text1"/>
          <w:kern w:val="0"/>
          <w:szCs w:val="24"/>
          <w:u w:val="none"/>
          <w14:textFill>
            <w14:solidFill>
              <w14:schemeClr w14:val="tx1"/>
            </w14:solidFill>
          </w14:textFill>
        </w:rPr>
        <w:t>20</w:t>
      </w:r>
      <w:r>
        <w:rPr>
          <w:rFonts w:ascii="宋体" w:hAnsi="宋体" w:cs="宋体"/>
          <w:bCs/>
          <w:color w:val="000000" w:themeColor="text1"/>
          <w:kern w:val="0"/>
          <w:szCs w:val="24"/>
          <w:u w:val="none"/>
          <w14:textFill>
            <w14:solidFill>
              <w14:schemeClr w14:val="tx1"/>
            </w14:solidFill>
          </w14:textFill>
        </w:rPr>
        <w:t>2</w:t>
      </w:r>
      <w:r>
        <w:rPr>
          <w:rFonts w:hint="eastAsia" w:ascii="宋体" w:hAnsi="宋体" w:cs="宋体"/>
          <w:bCs/>
          <w:color w:val="000000" w:themeColor="text1"/>
          <w:kern w:val="0"/>
          <w:szCs w:val="24"/>
          <w:u w:val="none"/>
          <w:lang w:val="en-US" w:eastAsia="zh-CN"/>
          <w14:textFill>
            <w14:solidFill>
              <w14:schemeClr w14:val="tx1"/>
            </w14:solidFill>
          </w14:textFill>
        </w:rPr>
        <w:t>5</w:t>
      </w:r>
      <w:r>
        <w:rPr>
          <w:rFonts w:hint="eastAsia" w:ascii="宋体" w:hAnsi="宋体" w:cs="宋体"/>
          <w:bCs/>
          <w:color w:val="000000" w:themeColor="text1"/>
          <w:kern w:val="0"/>
          <w:szCs w:val="24"/>
          <w:u w:val="none"/>
          <w14:textFill>
            <w14:solidFill>
              <w14:schemeClr w14:val="tx1"/>
            </w14:solidFill>
          </w14:textFill>
        </w:rPr>
        <w:t>年</w:t>
      </w:r>
      <w:r>
        <w:rPr>
          <w:rFonts w:hint="eastAsia" w:ascii="宋体" w:hAnsi="宋体" w:cs="宋体"/>
          <w:bCs/>
          <w:color w:val="000000" w:themeColor="text1"/>
          <w:kern w:val="0"/>
          <w:szCs w:val="24"/>
          <w:u w:val="none"/>
          <w:lang w:val="en-US" w:eastAsia="zh-CN"/>
          <w14:textFill>
            <w14:solidFill>
              <w14:schemeClr w14:val="tx1"/>
            </w14:solidFill>
          </w14:textFill>
        </w:rPr>
        <w:t>11</w:t>
      </w:r>
      <w:r>
        <w:rPr>
          <w:rFonts w:hint="eastAsia" w:ascii="宋体" w:hAnsi="宋体" w:cs="宋体"/>
          <w:bCs/>
          <w:color w:val="000000" w:themeColor="text1"/>
          <w:kern w:val="0"/>
          <w:szCs w:val="24"/>
          <w:u w:val="none"/>
          <w14:textFill>
            <w14:solidFill>
              <w14:schemeClr w14:val="tx1"/>
            </w14:solidFill>
          </w14:textFill>
        </w:rPr>
        <w:t>月</w:t>
      </w:r>
      <w:r>
        <w:rPr>
          <w:rFonts w:hint="eastAsia" w:ascii="宋体" w:hAnsi="宋体" w:cs="宋体"/>
          <w:bCs/>
          <w:color w:val="000000" w:themeColor="text1"/>
          <w:kern w:val="0"/>
          <w:szCs w:val="24"/>
          <w:u w:val="none"/>
          <w:lang w:val="en-US" w:eastAsia="zh-CN"/>
          <w14:textFill>
            <w14:solidFill>
              <w14:schemeClr w14:val="tx1"/>
            </w14:solidFill>
          </w14:textFill>
        </w:rPr>
        <w:t>21</w:t>
      </w:r>
      <w:r>
        <w:rPr>
          <w:rFonts w:hint="eastAsia" w:ascii="宋体" w:hAnsi="宋体" w:cs="宋体"/>
          <w:bCs/>
          <w:color w:val="000000" w:themeColor="text1"/>
          <w:kern w:val="0"/>
          <w:szCs w:val="24"/>
          <w:u w:val="none"/>
          <w14:textFill>
            <w14:solidFill>
              <w14:schemeClr w14:val="tx1"/>
            </w14:solidFill>
          </w14:textFill>
        </w:rPr>
        <w:t>日</w:t>
      </w:r>
    </w:p>
    <w:p w14:paraId="5AED1147">
      <w:bookmarkStart w:id="22" w:name="_GoBack"/>
      <w:bookmarkEnd w:id="22"/>
    </w:p>
    <w:p w14:paraId="4AEEDCD1">
      <w:pPr>
        <w:pStyle w:val="6"/>
      </w:pPr>
    </w:p>
    <w:p w14:paraId="422A12EA">
      <w:pPr>
        <w:pStyle w:val="6"/>
      </w:pPr>
    </w:p>
    <w:p w14:paraId="5B0A5902">
      <w:pPr>
        <w:pStyle w:val="6"/>
      </w:pPr>
    </w:p>
    <w:p w14:paraId="2472D190">
      <w:pPr>
        <w:pStyle w:val="6"/>
      </w:pPr>
    </w:p>
    <w:p w14:paraId="19426B88"/>
    <w:p w14:paraId="2F0AA26D"/>
    <w:p w14:paraId="3CA524D6"/>
    <w:p w14:paraId="5348A442"/>
    <w:p w14:paraId="4F0ECDE5"/>
    <w:p w14:paraId="6A05C462">
      <w:pPr>
        <w:pStyle w:val="3"/>
        <w:spacing w:line="520" w:lineRule="exact"/>
        <w:rPr>
          <w:rFonts w:hint="eastAsia" w:ascii="黑体" w:hAnsi="黑体" w:eastAsia="黑体" w:cs="黑体"/>
          <w:sz w:val="32"/>
          <w:szCs w:val="32"/>
        </w:rPr>
      </w:pPr>
      <w:bookmarkStart w:id="1" w:name="_Toc6608"/>
      <w:r>
        <w:rPr>
          <w:rFonts w:hint="eastAsia" w:ascii="黑体" w:hAnsi="黑体" w:eastAsia="黑体" w:cs="黑体"/>
          <w:sz w:val="32"/>
          <w:szCs w:val="32"/>
        </w:rPr>
        <w:t>第二章  供应商须知</w:t>
      </w:r>
      <w:bookmarkEnd w:id="1"/>
    </w:p>
    <w:p w14:paraId="7B8B5376">
      <w:pPr>
        <w:pStyle w:val="12"/>
        <w:spacing w:line="520" w:lineRule="exact"/>
        <w:rPr>
          <w:rFonts w:hint="eastAsia" w:ascii="黑体" w:hAnsi="黑体" w:eastAsia="黑体" w:cs="黑体"/>
          <w:sz w:val="30"/>
          <w:szCs w:val="30"/>
        </w:rPr>
      </w:pPr>
      <w:bookmarkStart w:id="2" w:name="_Toc20887"/>
      <w:r>
        <w:rPr>
          <w:rFonts w:hint="eastAsia" w:ascii="黑体" w:hAnsi="黑体" w:eastAsia="黑体" w:cs="黑体"/>
          <w:sz w:val="30"/>
          <w:szCs w:val="30"/>
        </w:rPr>
        <w:t>一、总　则</w:t>
      </w:r>
      <w:bookmarkEnd w:id="2"/>
    </w:p>
    <w:p w14:paraId="5F4EC66A">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1.1 适用范围</w:t>
      </w:r>
    </w:p>
    <w:p w14:paraId="13B45D1E">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本文件仅适用于</w:t>
      </w:r>
      <w:r>
        <w:rPr>
          <w:rFonts w:hint="eastAsia" w:ascii="方正仿宋_GB2312" w:hAnsi="方正仿宋_GB2312" w:eastAsia="方正仿宋_GB2312" w:cs="方正仿宋_GB2312"/>
          <w:kern w:val="0"/>
          <w:sz w:val="24"/>
          <w:szCs w:val="24"/>
        </w:rPr>
        <w:t>湖北机场集团航空物流有限公司</w:t>
      </w:r>
      <w:r>
        <w:rPr>
          <w:rFonts w:hint="eastAsia" w:ascii="方正仿宋_GB2312" w:hAnsi="方正仿宋_GB2312" w:eastAsia="方正仿宋_GB2312" w:cs="方正仿宋_GB2312"/>
          <w:kern w:val="0"/>
          <w:sz w:val="24"/>
          <w:szCs w:val="24"/>
          <w:lang w:val="en-US" w:eastAsia="zh-CN"/>
        </w:rPr>
        <w:t>2025年货站UPS采购项目</w:t>
      </w:r>
      <w:r>
        <w:rPr>
          <w:rFonts w:hint="eastAsia" w:ascii="方正仿宋_GB2312" w:hAnsi="方正仿宋_GB2312" w:eastAsia="方正仿宋_GB2312" w:cs="方正仿宋_GB2312"/>
          <w:bCs/>
          <w:sz w:val="24"/>
          <w:szCs w:val="24"/>
        </w:rPr>
        <w:t>。</w:t>
      </w:r>
    </w:p>
    <w:p w14:paraId="19C166D7">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1.1.1“采购人”是指</w:t>
      </w:r>
      <w:r>
        <w:rPr>
          <w:rFonts w:hint="eastAsia" w:ascii="方正仿宋_GB2312" w:hAnsi="方正仿宋_GB2312" w:eastAsia="方正仿宋_GB2312" w:cs="方正仿宋_GB2312"/>
          <w:kern w:val="0"/>
          <w:sz w:val="24"/>
          <w:szCs w:val="24"/>
        </w:rPr>
        <w:t>湖北机场集团航空物流有限公司</w:t>
      </w:r>
      <w:r>
        <w:rPr>
          <w:rFonts w:hint="eastAsia" w:ascii="方正仿宋_GB2312" w:hAnsi="方正仿宋_GB2312" w:eastAsia="方正仿宋_GB2312" w:cs="方正仿宋_GB2312"/>
          <w:bCs/>
          <w:sz w:val="24"/>
          <w:szCs w:val="24"/>
        </w:rPr>
        <w:t xml:space="preserve">。 </w:t>
      </w:r>
    </w:p>
    <w:p w14:paraId="430D3E62">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 xml:space="preserve">1.1.2 “供应商”是指响应本文件要求，参加询价的法人或者其他组织。如果该供应商在本次询价中成交,即成为“成交供应商”。       </w:t>
      </w:r>
    </w:p>
    <w:p w14:paraId="3DBF8906">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1.1.</w:t>
      </w:r>
      <w:r>
        <w:rPr>
          <w:rFonts w:hint="eastAsia" w:ascii="方正仿宋_GB2312" w:hAnsi="方正仿宋_GB2312" w:eastAsia="方正仿宋_GB2312" w:cs="方正仿宋_GB2312"/>
          <w:bCs/>
          <w:sz w:val="24"/>
          <w:szCs w:val="24"/>
          <w:lang w:val="en-US" w:eastAsia="zh-CN"/>
        </w:rPr>
        <w:t>3</w:t>
      </w:r>
      <w:r>
        <w:rPr>
          <w:rFonts w:hint="eastAsia" w:ascii="方正仿宋_GB2312" w:hAnsi="方正仿宋_GB2312" w:eastAsia="方正仿宋_GB2312" w:cs="方正仿宋_GB2312"/>
          <w:bCs/>
          <w:sz w:val="24"/>
          <w:szCs w:val="24"/>
        </w:rPr>
        <w:t xml:space="preserve"> </w:t>
      </w:r>
      <w:r>
        <w:rPr>
          <w:rFonts w:hint="eastAsia" w:ascii="方正仿宋_GB2312" w:hAnsi="方正仿宋_GB2312" w:eastAsia="方正仿宋_GB2312" w:cs="方正仿宋_GB2312"/>
          <w:sz w:val="24"/>
        </w:rPr>
        <w:t>“货物”是指各种形态和种类的物品，包括原材料、燃料、设备、产品等</w:t>
      </w:r>
      <w:r>
        <w:rPr>
          <w:rFonts w:hint="eastAsia" w:ascii="方正仿宋_GB2312" w:hAnsi="方正仿宋_GB2312" w:eastAsia="方正仿宋_GB2312" w:cs="方正仿宋_GB2312"/>
          <w:bCs/>
          <w:sz w:val="24"/>
          <w:szCs w:val="24"/>
        </w:rPr>
        <w:t>。</w:t>
      </w:r>
    </w:p>
    <w:p w14:paraId="3380125A">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1.1.</w:t>
      </w:r>
      <w:r>
        <w:rPr>
          <w:rFonts w:hint="eastAsia" w:ascii="方正仿宋_GB2312" w:hAnsi="方正仿宋_GB2312" w:eastAsia="方正仿宋_GB2312" w:cs="方正仿宋_GB2312"/>
          <w:bCs/>
          <w:sz w:val="24"/>
          <w:szCs w:val="24"/>
          <w:lang w:val="en-US" w:eastAsia="zh-CN"/>
        </w:rPr>
        <w:t>4</w:t>
      </w:r>
      <w:r>
        <w:rPr>
          <w:rFonts w:hint="eastAsia" w:ascii="方正仿宋_GB2312" w:hAnsi="方正仿宋_GB2312" w:eastAsia="方正仿宋_GB2312" w:cs="方正仿宋_GB2312"/>
          <w:bCs/>
          <w:sz w:val="24"/>
          <w:szCs w:val="24"/>
        </w:rPr>
        <w:t xml:space="preserve"> </w:t>
      </w:r>
      <w:r>
        <w:rPr>
          <w:rFonts w:hint="eastAsia" w:ascii="方正仿宋_GB2312" w:hAnsi="方正仿宋_GB2312" w:eastAsia="方正仿宋_GB2312" w:cs="方正仿宋_GB2312"/>
          <w:sz w:val="24"/>
        </w:rPr>
        <w:t>“服务”是指除货物和工程以外的其他政府采购对象</w:t>
      </w:r>
      <w:r>
        <w:rPr>
          <w:rFonts w:hint="eastAsia" w:ascii="方正仿宋_GB2312" w:hAnsi="方正仿宋_GB2312" w:eastAsia="方正仿宋_GB2312" w:cs="方正仿宋_GB2312"/>
          <w:bCs/>
          <w:sz w:val="24"/>
          <w:szCs w:val="24"/>
        </w:rPr>
        <w:t>。</w:t>
      </w:r>
    </w:p>
    <w:p w14:paraId="53A4ACE4">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1.1.5 “询价通知书”是</w:t>
      </w:r>
      <w:r>
        <w:rPr>
          <w:rFonts w:hint="eastAsia" w:ascii="方正仿宋_GB2312" w:hAnsi="方正仿宋_GB2312" w:eastAsia="方正仿宋_GB2312" w:cs="方正仿宋_GB2312"/>
          <w:sz w:val="24"/>
        </w:rPr>
        <w:t>指本</w:t>
      </w:r>
      <w:r>
        <w:rPr>
          <w:rFonts w:hint="eastAsia" w:ascii="方正仿宋_GB2312" w:hAnsi="方正仿宋_GB2312" w:eastAsia="方正仿宋_GB2312" w:cs="方正仿宋_GB2312"/>
          <w:bCs/>
          <w:sz w:val="24"/>
          <w:szCs w:val="24"/>
          <w:lang w:val="zh-CN"/>
        </w:rPr>
        <w:t>询价通知书、询价通知书澄清（答疑）纪要、询价通知书修改补充通知</w:t>
      </w:r>
      <w:r>
        <w:rPr>
          <w:rFonts w:hint="eastAsia" w:ascii="方正仿宋_GB2312" w:hAnsi="方正仿宋_GB2312" w:eastAsia="方正仿宋_GB2312" w:cs="方正仿宋_GB2312"/>
          <w:bCs/>
          <w:sz w:val="24"/>
          <w:szCs w:val="24"/>
        </w:rPr>
        <w:t>。</w:t>
      </w:r>
    </w:p>
    <w:p w14:paraId="38206387">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1.1.6 “询价响应文件”是指供应商根据本文件要求，编制包含报价、技术和服务等所有内容的文件。</w:t>
      </w:r>
    </w:p>
    <w:p w14:paraId="46FEE72F">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1.2 询价费用</w:t>
      </w:r>
    </w:p>
    <w:p w14:paraId="2880C1B8">
      <w:pPr>
        <w:pStyle w:val="8"/>
        <w:adjustRightInd w:val="0"/>
        <w:snapToGrid w:val="0"/>
        <w:spacing w:line="520" w:lineRule="exact"/>
        <w:ind w:firstLine="480" w:firstLineChars="200"/>
        <w:rPr>
          <w:rFonts w:hAnsi="宋体" w:cs="宋体"/>
          <w:bCs/>
          <w:sz w:val="24"/>
          <w:szCs w:val="24"/>
        </w:rPr>
      </w:pPr>
      <w:r>
        <w:rPr>
          <w:rFonts w:hint="eastAsia" w:ascii="方正仿宋_GB2312" w:hAnsi="方正仿宋_GB2312" w:eastAsia="方正仿宋_GB2312" w:cs="方正仿宋_GB2312"/>
          <w:bCs/>
          <w:sz w:val="24"/>
          <w:szCs w:val="24"/>
        </w:rPr>
        <w:t>1.2.1 询价供应商自行承担与本次询价有关的所有费用，不论询价结果如何，采购人在任何情况下无义务和责任承担此类费用。</w:t>
      </w:r>
    </w:p>
    <w:p w14:paraId="1D5D0D04">
      <w:pPr>
        <w:pStyle w:val="12"/>
        <w:spacing w:line="520" w:lineRule="exact"/>
        <w:rPr>
          <w:rFonts w:hint="eastAsia" w:ascii="黑体" w:hAnsi="黑体" w:eastAsia="黑体" w:cs="黑体"/>
          <w:sz w:val="30"/>
          <w:szCs w:val="30"/>
        </w:rPr>
      </w:pPr>
      <w:bookmarkStart w:id="3" w:name="_Toc27150"/>
      <w:r>
        <w:rPr>
          <w:rFonts w:hint="eastAsia" w:ascii="黑体" w:hAnsi="黑体" w:eastAsia="黑体" w:cs="黑体"/>
          <w:sz w:val="30"/>
          <w:szCs w:val="30"/>
        </w:rPr>
        <w:t>二、询价通知书的澄清与修改</w:t>
      </w:r>
      <w:bookmarkEnd w:id="3"/>
    </w:p>
    <w:p w14:paraId="1CC26568">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lang w:val="zh-CN"/>
        </w:rPr>
      </w:pPr>
      <w:r>
        <w:rPr>
          <w:rFonts w:hint="eastAsia" w:ascii="方正仿宋_GB2312" w:hAnsi="方正仿宋_GB2312" w:eastAsia="方正仿宋_GB2312" w:cs="方正仿宋_GB2312"/>
          <w:bCs/>
          <w:sz w:val="24"/>
          <w:szCs w:val="24"/>
        </w:rPr>
        <w:t>2.1</w:t>
      </w:r>
      <w:r>
        <w:rPr>
          <w:rFonts w:hint="eastAsia" w:ascii="方正仿宋_GB2312" w:hAnsi="方正仿宋_GB2312" w:eastAsia="方正仿宋_GB2312" w:cs="方正仿宋_GB2312"/>
          <w:bCs/>
          <w:sz w:val="24"/>
          <w:szCs w:val="24"/>
          <w:lang w:val="zh-CN"/>
        </w:rPr>
        <w:t>询价通知书截止之日前，采购人可以对已发出的询价通知书进行必要的澄清或者修改，澄清或者修改的内容作为询价通知书的组成部分。</w:t>
      </w:r>
    </w:p>
    <w:p w14:paraId="51010CC8">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lang w:val="zh-CN"/>
        </w:rPr>
      </w:pPr>
      <w:r>
        <w:rPr>
          <w:rFonts w:hint="eastAsia" w:ascii="方正仿宋_GB2312" w:hAnsi="方正仿宋_GB2312" w:eastAsia="方正仿宋_GB2312" w:cs="方正仿宋_GB2312"/>
          <w:bCs/>
          <w:sz w:val="24"/>
          <w:szCs w:val="24"/>
        </w:rPr>
        <w:t>2.2</w:t>
      </w:r>
      <w:r>
        <w:rPr>
          <w:rFonts w:hint="eastAsia" w:ascii="方正仿宋_GB2312" w:hAnsi="方正仿宋_GB2312" w:eastAsia="方正仿宋_GB2312" w:cs="方正仿宋_GB2312"/>
          <w:bCs/>
          <w:sz w:val="24"/>
          <w:szCs w:val="24"/>
          <w:lang w:val="zh-CN"/>
        </w:rPr>
        <w:t>询价通知书、询价通知书澄清（答疑）纪要、询价通知书修改补充通知书内容均以书面明确的内容为准。当询价通知书、修改补充通知、澄清（答疑）纪要内容不一致时，以最后发出的通知（或纪要）或修改文件为准。修改文件是询价通知书的组成部分，对所有已经报名并领取了询价通知书的供应商具有约束力。</w:t>
      </w:r>
    </w:p>
    <w:p w14:paraId="04657E6E">
      <w:pPr>
        <w:pStyle w:val="8"/>
        <w:tabs>
          <w:tab w:val="left" w:pos="540"/>
        </w:tabs>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2.3潜在供应商在收到上述通知后，应立即以书面形式向采购人确认。</w:t>
      </w:r>
    </w:p>
    <w:p w14:paraId="311E08FB">
      <w:pPr>
        <w:pStyle w:val="12"/>
        <w:spacing w:line="520" w:lineRule="exact"/>
        <w:rPr>
          <w:rFonts w:hint="eastAsia" w:ascii="黑体" w:hAnsi="黑体" w:eastAsia="黑体" w:cs="黑体"/>
          <w:sz w:val="30"/>
          <w:szCs w:val="30"/>
        </w:rPr>
      </w:pPr>
      <w:bookmarkStart w:id="4" w:name="_Toc22513"/>
      <w:r>
        <w:rPr>
          <w:rFonts w:hint="eastAsia" w:ascii="黑体" w:hAnsi="黑体" w:eastAsia="黑体" w:cs="黑体"/>
          <w:sz w:val="30"/>
          <w:szCs w:val="30"/>
        </w:rPr>
        <w:t>三、询价通知书的异议</w:t>
      </w:r>
      <w:bookmarkEnd w:id="4"/>
    </w:p>
    <w:p w14:paraId="24D5CE10">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lang w:val="zh-CN"/>
        </w:rPr>
      </w:pPr>
      <w:r>
        <w:rPr>
          <w:rFonts w:hint="eastAsia" w:ascii="方正仿宋_GB2312" w:hAnsi="方正仿宋_GB2312" w:eastAsia="方正仿宋_GB2312" w:cs="方正仿宋_GB2312"/>
          <w:bCs/>
          <w:sz w:val="24"/>
          <w:szCs w:val="24"/>
          <w:lang w:val="zh-CN"/>
        </w:rPr>
        <w:t>3.1任何对询价通知书有异议或要求澄清的潜在供应商，应当在询价通知书递交截止时间前二日以书面形式向采购人提出，采购</w:t>
      </w:r>
      <w:r>
        <w:rPr>
          <w:rFonts w:hint="eastAsia" w:ascii="方正仿宋_GB2312" w:hAnsi="方正仿宋_GB2312" w:eastAsia="方正仿宋_GB2312" w:cs="方正仿宋_GB2312"/>
          <w:bCs/>
          <w:sz w:val="24"/>
          <w:szCs w:val="24"/>
        </w:rPr>
        <w:t>人</w:t>
      </w:r>
      <w:r>
        <w:rPr>
          <w:rFonts w:hint="eastAsia" w:ascii="方正仿宋_GB2312" w:hAnsi="方正仿宋_GB2312" w:eastAsia="方正仿宋_GB2312" w:cs="方正仿宋_GB2312"/>
          <w:bCs/>
          <w:sz w:val="24"/>
          <w:szCs w:val="24"/>
          <w:lang w:val="zh-CN"/>
        </w:rPr>
        <w:t>将在收到异议之日起三日内以书面形式予以答复</w:t>
      </w:r>
      <w:r>
        <w:rPr>
          <w:rFonts w:hint="eastAsia" w:ascii="方正仿宋_GB2312" w:hAnsi="方正仿宋_GB2312" w:eastAsia="方正仿宋_GB2312" w:cs="方正仿宋_GB2312"/>
          <w:bCs/>
          <w:sz w:val="24"/>
          <w:szCs w:val="24"/>
          <w:lang w:val="en-US" w:eastAsia="zh-CN"/>
        </w:rPr>
        <w:t>或公示</w:t>
      </w:r>
      <w:r>
        <w:rPr>
          <w:rFonts w:hint="eastAsia" w:ascii="方正仿宋_GB2312" w:hAnsi="方正仿宋_GB2312" w:eastAsia="方正仿宋_GB2312" w:cs="方正仿宋_GB2312"/>
          <w:bCs/>
          <w:sz w:val="24"/>
          <w:szCs w:val="24"/>
          <w:lang w:val="zh-CN"/>
        </w:rPr>
        <w:t>。</w:t>
      </w:r>
    </w:p>
    <w:p w14:paraId="6570663E">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lang w:val="zh-CN"/>
        </w:rPr>
      </w:pPr>
      <w:r>
        <w:rPr>
          <w:rFonts w:hint="eastAsia" w:ascii="方正仿宋_GB2312" w:hAnsi="方正仿宋_GB2312" w:eastAsia="方正仿宋_GB2312" w:cs="方正仿宋_GB2312"/>
          <w:bCs/>
          <w:sz w:val="24"/>
          <w:szCs w:val="24"/>
        </w:rPr>
        <w:t>3.2</w:t>
      </w:r>
      <w:r>
        <w:rPr>
          <w:rFonts w:hint="eastAsia" w:ascii="方正仿宋_GB2312" w:hAnsi="方正仿宋_GB2312" w:eastAsia="方正仿宋_GB2312" w:cs="方正仿宋_GB2312"/>
          <w:bCs/>
          <w:sz w:val="24"/>
          <w:szCs w:val="24"/>
          <w:lang w:val="zh-CN"/>
        </w:rPr>
        <w:t>未对询价通知书提出异议或要求澄清的，将视为完全理解并默认询价通知书所有条款，并同意放弃对询价通知书有不明或误解而询问、质疑、投诉的权利。</w:t>
      </w:r>
    </w:p>
    <w:p w14:paraId="53AAF4AC">
      <w:pPr>
        <w:pStyle w:val="12"/>
        <w:spacing w:line="520" w:lineRule="exact"/>
        <w:rPr>
          <w:rFonts w:hint="eastAsia" w:ascii="黑体" w:hAnsi="黑体" w:eastAsia="黑体" w:cs="黑体"/>
          <w:sz w:val="30"/>
          <w:szCs w:val="30"/>
        </w:rPr>
      </w:pPr>
      <w:bookmarkStart w:id="5" w:name="_Toc17508"/>
      <w:r>
        <w:rPr>
          <w:rFonts w:hint="eastAsia" w:ascii="黑体" w:hAnsi="黑体" w:eastAsia="黑体" w:cs="黑体"/>
          <w:sz w:val="30"/>
          <w:szCs w:val="30"/>
        </w:rPr>
        <w:t>四、询价响应文件的编制</w:t>
      </w:r>
      <w:bookmarkEnd w:id="5"/>
    </w:p>
    <w:p w14:paraId="75DC9324">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4.1供应商应认真阅读询价通知书的全部内容（包括所有的补充、修改内容），如果供应商没有按照询价通知书要求提交全部资料，或者提交的资料没有对询价通知书在各方面都做出实质性响应而导致其报价被拒绝，该责任由供应商承担。</w:t>
      </w:r>
    </w:p>
    <w:p w14:paraId="0D5E613C">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4.2供应商对询价响应文件的编制应按要求装订和封装。</w:t>
      </w:r>
    </w:p>
    <w:p w14:paraId="74D4404B">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4.3供应商提交的询价响应文件以及与采购人就有关询价的所有来往函电均应使用中文。</w:t>
      </w:r>
    </w:p>
    <w:p w14:paraId="244FBEC1">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4.4询价响应文件的组成，详见询价响应文件格式。</w:t>
      </w:r>
    </w:p>
    <w:p w14:paraId="36B309F0">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4.5报价要求</w:t>
      </w:r>
    </w:p>
    <w:p w14:paraId="0569BEEA">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4.5.1供应商所提供的货物和服务均以人民币报价，而且应是低于市场销售价格的报价。</w:t>
      </w:r>
    </w:p>
    <w:p w14:paraId="77EE51DD">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4.5.2对于本询价函中未列明，而供应商认为必需的费用也需列入总报价。在合同实施时，采购人将不予支付成交供应商没有列入的项目费用，并认为此项目的费用已包括在总报价中。</w:t>
      </w:r>
    </w:p>
    <w:p w14:paraId="2FE9758B">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4.5.3报价为一次性不可更改的报价，若无其它规定，只允许供应商有一个报价，如有选择性报价，询价小组将以最不利于供应商的报价进行评审。</w:t>
      </w:r>
    </w:p>
    <w:p w14:paraId="392C7ED5">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4.5.4项目报价：包括所有设备费、材料费、安装费、运输费、保险费、安装调试费、人员培训费、技术支持费、税费以及质量保证期内的售后服务费等费用在内的全部费用。</w:t>
      </w:r>
    </w:p>
    <w:p w14:paraId="6EA63ABA">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4.6供应商应按报价表（附后）规定格式对本项目进行报价</w:t>
      </w:r>
    </w:p>
    <w:p w14:paraId="494DAE78">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4.7报价表应加盖报价单位公章或由报价代表签字确认。</w:t>
      </w:r>
    </w:p>
    <w:p w14:paraId="6BC7EB7C">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4.8如未达到上述要求，采购人可以拒绝其报价。</w:t>
      </w:r>
    </w:p>
    <w:p w14:paraId="1E276099">
      <w:pPr>
        <w:pStyle w:val="12"/>
        <w:spacing w:line="520" w:lineRule="exact"/>
        <w:rPr>
          <w:rFonts w:hint="eastAsia" w:ascii="黑体" w:hAnsi="黑体" w:eastAsia="黑体" w:cs="黑体"/>
          <w:sz w:val="30"/>
          <w:szCs w:val="30"/>
        </w:rPr>
      </w:pPr>
      <w:bookmarkStart w:id="6" w:name="_Toc2275"/>
      <w:r>
        <w:rPr>
          <w:rFonts w:hint="eastAsia" w:ascii="黑体" w:hAnsi="黑体" w:eastAsia="黑体" w:cs="黑体"/>
          <w:sz w:val="30"/>
          <w:szCs w:val="30"/>
        </w:rPr>
        <w:t>五、计量单位</w:t>
      </w:r>
      <w:bookmarkEnd w:id="6"/>
    </w:p>
    <w:p w14:paraId="303E7994">
      <w:pPr>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5.1除技术要求中另有规定外，本文件所要求使用的计量单位均应采用国家法定计量单位。</w:t>
      </w:r>
    </w:p>
    <w:p w14:paraId="22428CFC">
      <w:pPr>
        <w:pStyle w:val="12"/>
        <w:spacing w:line="520" w:lineRule="exact"/>
        <w:rPr>
          <w:rFonts w:hint="eastAsia" w:ascii="黑体" w:hAnsi="黑体" w:eastAsia="黑体" w:cs="黑体"/>
          <w:sz w:val="30"/>
          <w:szCs w:val="30"/>
        </w:rPr>
      </w:pPr>
      <w:bookmarkStart w:id="7" w:name="_Toc22862"/>
      <w:r>
        <w:rPr>
          <w:rFonts w:hint="eastAsia" w:ascii="黑体" w:hAnsi="黑体" w:eastAsia="黑体" w:cs="黑体"/>
          <w:sz w:val="30"/>
          <w:szCs w:val="30"/>
        </w:rPr>
        <w:t>六、询价有效期</w:t>
      </w:r>
      <w:bookmarkEnd w:id="7"/>
    </w:p>
    <w:p w14:paraId="4FEA6177">
      <w:pPr>
        <w:pStyle w:val="8"/>
        <w:adjustRightInd w:val="0"/>
        <w:snapToGrid w:val="0"/>
        <w:spacing w:line="52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6.1询价有效期为从询价之日起共3个日历日。</w:t>
      </w:r>
    </w:p>
    <w:p w14:paraId="16462546">
      <w:pPr>
        <w:pStyle w:val="12"/>
        <w:spacing w:line="520" w:lineRule="exact"/>
        <w:rPr>
          <w:rFonts w:hint="eastAsia" w:ascii="黑体" w:hAnsi="黑体" w:eastAsia="黑体" w:cs="黑体"/>
          <w:sz w:val="30"/>
          <w:szCs w:val="30"/>
        </w:rPr>
      </w:pPr>
      <w:bookmarkStart w:id="8" w:name="_Toc7176"/>
      <w:r>
        <w:rPr>
          <w:rFonts w:hint="eastAsia" w:ascii="黑体" w:hAnsi="黑体" w:eastAsia="黑体" w:cs="黑体"/>
          <w:sz w:val="30"/>
          <w:szCs w:val="30"/>
        </w:rPr>
        <w:t>七、询价响应文件的递交</w:t>
      </w:r>
      <w:bookmarkEnd w:id="8"/>
    </w:p>
    <w:p w14:paraId="7F19DB22">
      <w:pPr>
        <w:spacing w:line="52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7.响应文件采取纸质响应文的形式。本项目要求供应商递交的响应文件形式详见第一章询价函。供应商未按规定形式要求递交响应文件的，将均被视作无效响应。</w:t>
      </w:r>
    </w:p>
    <w:p w14:paraId="0E0D27D7">
      <w:pPr>
        <w:spacing w:line="52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8.纸质响应文件。</w:t>
      </w:r>
    </w:p>
    <w:p w14:paraId="0E94FEE4">
      <w:pPr>
        <w:spacing w:line="52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（1）纸质响应文件包括正本、副本及单独提供的法定代表人授权委托书（或法定代表人身份证明书）。供应商提交响应文件正、副本的数量见《供应商须知前附表》。</w:t>
      </w:r>
    </w:p>
    <w:p w14:paraId="2D423480">
      <w:pPr>
        <w:spacing w:line="52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（2）每套纸质响应文件须清楚地标明“正本”、“副本”，响应文件的副本可采用正本的复印件，若副本与正本不符，以正本为准；</w:t>
      </w:r>
    </w:p>
    <w:p w14:paraId="394032FB">
      <w:pPr>
        <w:spacing w:line="52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正本需打印或用不褪色墨水书写，并由法定代表人或授权代表（签字）并加盖公章。由授权代表（签字）的，响应文件中应提交《法定代表人授权书》。供应商为自然人的，由供应商本人签字并附身份证明。</w:t>
      </w:r>
    </w:p>
    <w:p w14:paraId="45DEBA8B">
      <w:pPr>
        <w:spacing w:line="52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（4）纸质响应文件中的任何行间插字、涂改和增删，必须由法定代表人或授权代表在旁边签字才有效。</w:t>
      </w:r>
    </w:p>
    <w:p w14:paraId="7246FA9E">
      <w:pPr>
        <w:spacing w:line="52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（5）纸质响应文件应当采用不可拆卸的方法的装订，对未经装订的纸质响应文件可能发生的文件散落或缺损及由此产生的后果由供应商承担。</w:t>
      </w:r>
    </w:p>
    <w:p w14:paraId="71701286">
      <w:pPr>
        <w:spacing w:line="52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（6）纸质响应文件正本、副本应进行密封包装，封包加盖供应商公章，并注明项目编号、项目名称、供应商名称及“（**时间）前不得启封”的字样。</w:t>
      </w:r>
    </w:p>
    <w:p w14:paraId="0A80FFFD">
      <w:pPr>
        <w:spacing w:line="52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9.递交响应文件。递交响应文件的截止时间见第一章询价函，供应商应在规定时间内完成响应文件的递交：</w:t>
      </w:r>
    </w:p>
    <w:p w14:paraId="6B20A415">
      <w:pPr>
        <w:spacing w:line="520" w:lineRule="exact"/>
        <w:ind w:firstLine="720" w:firstLineChars="3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现场递交纸质响应文件：供应商应当在递交响应文件截止时间前，由供应商授权代表凭法定代表人授权书（原件）、本人身份证（原件）将响应文件密封和加写标记后递交到《供应商须知前附表》规定的地点。采购人收到响应文件后向供应商出具签收凭证。逾期送达的或者未送达指定地点的，采购人将拒收。</w:t>
      </w:r>
    </w:p>
    <w:p w14:paraId="448E888D">
      <w:pPr>
        <w:spacing w:line="52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10.响应文件的修改与撤回</w:t>
      </w:r>
    </w:p>
    <w:p w14:paraId="7C4B92FA">
      <w:pPr>
        <w:spacing w:line="52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10.1在提交响应文件截止时间前，供应商可以撤回已提交的响应文件，或对已提交的响应文件进行补充、修改。供应商需要补充、修改响应文件时，应先撤回响应文件，并在提交响应文件截止时间前重新上传新的响应文件。</w:t>
      </w:r>
    </w:p>
    <w:p w14:paraId="4CEE891C">
      <w:pPr>
        <w:spacing w:line="52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10.2从提交响应文件截止时间至响应文件有效期期满这段时间，供应商不得修改或撤销其响应文件。</w:t>
      </w:r>
    </w:p>
    <w:p w14:paraId="0D822C8B">
      <w:pPr>
        <w:spacing w:line="520" w:lineRule="exact"/>
        <w:ind w:firstLine="480" w:firstLineChars="200"/>
        <w:rPr>
          <w:rFonts w:ascii="宋体" w:hAnsi="宋体" w:cs="宋体"/>
          <w:szCs w:val="24"/>
        </w:rPr>
      </w:pPr>
      <w:r>
        <w:rPr>
          <w:rFonts w:hint="eastAsia" w:ascii="方正仿宋_GB2312" w:hAnsi="方正仿宋_GB2312" w:eastAsia="方正仿宋_GB2312" w:cs="方正仿宋_GB2312"/>
          <w:sz w:val="24"/>
          <w:szCs w:val="24"/>
        </w:rPr>
        <w:t>10.3供应商所提交的响应文件在递交响应文件时间截止后，无论成交与否都不退还。</w:t>
      </w:r>
    </w:p>
    <w:p w14:paraId="533512BF">
      <w:pPr>
        <w:pStyle w:val="3"/>
        <w:spacing w:line="240" w:lineRule="auto"/>
        <w:rPr>
          <w:rFonts w:hint="eastAsia" w:ascii="方正仿宋_GB2312" w:hAnsi="方正仿宋_GB2312" w:eastAsia="方正仿宋_GB2312" w:cs="方正仿宋_GB2312"/>
          <w:szCs w:val="32"/>
        </w:rPr>
      </w:pPr>
      <w:bookmarkStart w:id="9" w:name="_Toc20191"/>
    </w:p>
    <w:p w14:paraId="22D8B475">
      <w:pPr>
        <w:pStyle w:val="3"/>
        <w:spacing w:line="520" w:lineRule="exact"/>
        <w:rPr>
          <w:rFonts w:hint="eastAsia" w:ascii="方正仿宋_GB2312" w:hAnsi="方正仿宋_GB2312" w:eastAsia="方正仿宋_GB2312" w:cs="方正仿宋_GB2312"/>
          <w:szCs w:val="32"/>
        </w:rPr>
      </w:pPr>
    </w:p>
    <w:p w14:paraId="5E7E6424">
      <w:pPr>
        <w:pStyle w:val="3"/>
        <w:spacing w:line="520" w:lineRule="exact"/>
        <w:rPr>
          <w:rFonts w:hint="eastAsia" w:ascii="方正仿宋_GB2312" w:hAnsi="方正仿宋_GB2312" w:eastAsia="方正仿宋_GB2312" w:cs="方正仿宋_GB2312"/>
          <w:szCs w:val="32"/>
        </w:rPr>
      </w:pPr>
    </w:p>
    <w:p w14:paraId="608B9FD2">
      <w:pPr>
        <w:pStyle w:val="3"/>
        <w:spacing w:line="520" w:lineRule="exact"/>
        <w:rPr>
          <w:rFonts w:hint="eastAsia" w:ascii="方正仿宋_GB2312" w:hAnsi="方正仿宋_GB2312" w:eastAsia="方正仿宋_GB2312" w:cs="方正仿宋_GB2312"/>
          <w:szCs w:val="32"/>
        </w:rPr>
      </w:pPr>
    </w:p>
    <w:p w14:paraId="49138E17">
      <w:pPr>
        <w:pStyle w:val="3"/>
        <w:spacing w:line="520" w:lineRule="exact"/>
        <w:rPr>
          <w:rFonts w:hint="eastAsia" w:ascii="方正仿宋_GB2312" w:hAnsi="方正仿宋_GB2312" w:eastAsia="方正仿宋_GB2312" w:cs="方正仿宋_GB2312"/>
          <w:szCs w:val="32"/>
        </w:rPr>
      </w:pPr>
    </w:p>
    <w:p w14:paraId="4F348413">
      <w:pPr>
        <w:pStyle w:val="3"/>
        <w:spacing w:line="520" w:lineRule="exact"/>
        <w:rPr>
          <w:rFonts w:hint="eastAsia" w:ascii="方正仿宋_GB2312" w:hAnsi="方正仿宋_GB2312" w:eastAsia="方正仿宋_GB2312" w:cs="方正仿宋_GB2312"/>
          <w:szCs w:val="32"/>
        </w:rPr>
      </w:pPr>
    </w:p>
    <w:p w14:paraId="105D1CB7">
      <w:pPr>
        <w:pStyle w:val="3"/>
        <w:spacing w:line="240" w:lineRule="auto"/>
        <w:rPr>
          <w:rFonts w:hint="eastAsia" w:ascii="方正仿宋_GB2312" w:hAnsi="方正仿宋_GB2312" w:eastAsia="方正仿宋_GB2312" w:cs="方正仿宋_GB2312"/>
          <w:szCs w:val="32"/>
        </w:rPr>
      </w:pPr>
    </w:p>
    <w:p w14:paraId="5703FBA1">
      <w:pPr>
        <w:pStyle w:val="3"/>
        <w:spacing w:line="520" w:lineRule="exact"/>
        <w:rPr>
          <w:rFonts w:hint="eastAsia" w:ascii="方正仿宋_GB2312" w:hAnsi="方正仿宋_GB2312" w:eastAsia="方正仿宋_GB2312" w:cs="方正仿宋_GB2312"/>
          <w:szCs w:val="32"/>
        </w:rPr>
      </w:pPr>
    </w:p>
    <w:p w14:paraId="360A240B">
      <w:pPr>
        <w:pStyle w:val="3"/>
        <w:spacing w:line="240" w:lineRule="auto"/>
        <w:jc w:val="both"/>
        <w:rPr>
          <w:rFonts w:hint="eastAsia" w:ascii="方正仿宋_GB2312" w:hAnsi="方正仿宋_GB2312" w:eastAsia="方正仿宋_GB2312" w:cs="方正仿宋_GB2312"/>
          <w:szCs w:val="32"/>
        </w:rPr>
      </w:pPr>
    </w:p>
    <w:p w14:paraId="0194A94B">
      <w:pPr>
        <w:rPr>
          <w:rFonts w:hint="eastAsia" w:ascii="方正仿宋_GB2312" w:hAnsi="方正仿宋_GB2312" w:eastAsia="方正仿宋_GB2312" w:cs="方正仿宋_GB2312"/>
          <w:szCs w:val="32"/>
        </w:rPr>
      </w:pPr>
    </w:p>
    <w:p w14:paraId="4B7DB875">
      <w:pPr>
        <w:pStyle w:val="3"/>
        <w:spacing w:line="520" w:lineRule="exact"/>
        <w:jc w:val="both"/>
        <w:rPr>
          <w:rFonts w:hint="eastAsia" w:ascii="方正仿宋_GB2312" w:hAnsi="方正仿宋_GB2312" w:eastAsia="方正仿宋_GB2312" w:cs="方正仿宋_GB2312"/>
          <w:szCs w:val="32"/>
        </w:rPr>
      </w:pPr>
    </w:p>
    <w:p w14:paraId="647EA3AB">
      <w:pPr>
        <w:rPr>
          <w:rFonts w:hint="eastAsia"/>
        </w:rPr>
      </w:pPr>
    </w:p>
    <w:p w14:paraId="249CF74A">
      <w:pPr>
        <w:pStyle w:val="3"/>
        <w:spacing w:line="240" w:lineRule="auto"/>
        <w:jc w:val="center"/>
        <w:rPr>
          <w:rFonts w:hint="eastAsia" w:ascii="黑体" w:hAnsi="黑体" w:eastAsia="黑体" w:cs="黑体"/>
          <w:sz w:val="28"/>
          <w:szCs w:val="28"/>
        </w:rPr>
      </w:pPr>
      <w:r>
        <w:rPr>
          <w:rFonts w:hint="eastAsia" w:ascii="黑体" w:hAnsi="黑体" w:eastAsia="黑体" w:cs="黑体"/>
          <w:szCs w:val="32"/>
        </w:rPr>
        <w:t>第三章  询价评议</w:t>
      </w:r>
      <w:bookmarkEnd w:id="9"/>
    </w:p>
    <w:p w14:paraId="1004E5DA">
      <w:pPr>
        <w:pStyle w:val="12"/>
        <w:spacing w:line="500" w:lineRule="exact"/>
        <w:rPr>
          <w:rFonts w:hint="eastAsia" w:ascii="黑体" w:hAnsi="黑体" w:eastAsia="黑体" w:cs="黑体"/>
          <w:sz w:val="30"/>
          <w:szCs w:val="30"/>
        </w:rPr>
      </w:pPr>
      <w:bookmarkStart w:id="10" w:name="_Toc16507"/>
      <w:r>
        <w:rPr>
          <w:rFonts w:hint="eastAsia" w:ascii="黑体" w:hAnsi="黑体" w:eastAsia="黑体" w:cs="黑体"/>
          <w:sz w:val="30"/>
          <w:szCs w:val="30"/>
        </w:rPr>
        <w:t>一、询价方法</w:t>
      </w:r>
      <w:bookmarkEnd w:id="10"/>
    </w:p>
    <w:p w14:paraId="7CCB0F05">
      <w:pPr>
        <w:spacing w:line="500" w:lineRule="exact"/>
        <w:ind w:firstLine="480" w:firstLineChars="200"/>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pacing w:val="2"/>
          <w:sz w:val="24"/>
          <w:szCs w:val="24"/>
        </w:rPr>
        <w:t>1询价小组：</w:t>
      </w:r>
      <w:r>
        <w:rPr>
          <w:rFonts w:hint="eastAsia" w:ascii="方正仿宋_GB2312" w:hAnsi="方正仿宋_GB2312" w:eastAsia="方正仿宋_GB2312" w:cs="方正仿宋_GB2312"/>
          <w:kern w:val="0"/>
          <w:sz w:val="24"/>
          <w:szCs w:val="24"/>
        </w:rPr>
        <w:t>询价小组成员由三人组成。</w:t>
      </w:r>
    </w:p>
    <w:p w14:paraId="47215CB8">
      <w:pPr>
        <w:spacing w:line="500" w:lineRule="exact"/>
        <w:ind w:firstLine="480" w:firstLineChars="200"/>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pacing w:val="2"/>
          <w:sz w:val="24"/>
          <w:szCs w:val="24"/>
        </w:rPr>
        <w:t>2询价评议：由相关人员现场监督。</w:t>
      </w:r>
    </w:p>
    <w:p w14:paraId="0090E4AC">
      <w:pPr>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kern w:val="0"/>
          <w:sz w:val="24"/>
          <w:szCs w:val="24"/>
        </w:rPr>
        <w:t>3询价小组负责对供应商递交询价响应文件的有效性、完整性和对询价响应文件的响应程度进行符合性审查、商务评议和技术评议。</w:t>
      </w:r>
    </w:p>
    <w:p w14:paraId="4FA13E26">
      <w:pPr>
        <w:pStyle w:val="6"/>
        <w:spacing w:line="500" w:lineRule="exact"/>
        <w:ind w:firstLine="48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Cs w:val="24"/>
        </w:rPr>
        <w:t>1.4</w:t>
      </w:r>
      <w:r>
        <w:rPr>
          <w:rFonts w:hint="eastAsia" w:ascii="方正仿宋_GB2312" w:hAnsi="方正仿宋_GB2312" w:eastAsia="方正仿宋_GB2312" w:cs="方正仿宋_GB2312"/>
        </w:rPr>
        <w:t>询价代表：供应商法定代表人或授权代表及项目相关的商务技术人员应在线参与询价活动，询价期间，供应商应保持网络畅通。</w:t>
      </w:r>
    </w:p>
    <w:p w14:paraId="69B7DA9D">
      <w:pPr>
        <w:pStyle w:val="12"/>
        <w:spacing w:line="500" w:lineRule="exact"/>
        <w:rPr>
          <w:rFonts w:hint="eastAsia" w:ascii="方正仿宋_GB2312" w:hAnsi="方正仿宋_GB2312" w:eastAsia="方正仿宋_GB2312" w:cs="方正仿宋_GB2312"/>
          <w:sz w:val="30"/>
          <w:szCs w:val="30"/>
        </w:rPr>
      </w:pPr>
      <w:bookmarkStart w:id="11" w:name="_Toc7092"/>
      <w:r>
        <w:rPr>
          <w:rFonts w:hint="eastAsia" w:ascii="方正仿宋_GB2312" w:hAnsi="方正仿宋_GB2312" w:eastAsia="方正仿宋_GB2312" w:cs="方正仿宋_GB2312"/>
          <w:sz w:val="30"/>
          <w:szCs w:val="30"/>
        </w:rPr>
        <w:t>二、询价步骤</w:t>
      </w:r>
      <w:bookmarkEnd w:id="11"/>
    </w:p>
    <w:p w14:paraId="4E001B86">
      <w:pPr>
        <w:spacing w:line="500" w:lineRule="exact"/>
        <w:ind w:firstLine="480" w:firstLineChars="200"/>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kern w:val="0"/>
          <w:sz w:val="24"/>
          <w:szCs w:val="24"/>
        </w:rPr>
        <w:t>2.1</w:t>
      </w:r>
      <w:r>
        <w:rPr>
          <w:rFonts w:hint="eastAsia" w:ascii="方正仿宋_GB2312" w:hAnsi="方正仿宋_GB2312" w:eastAsia="方正仿宋_GB2312" w:cs="方正仿宋_GB2312"/>
          <w:spacing w:val="2"/>
          <w:sz w:val="24"/>
          <w:szCs w:val="24"/>
        </w:rPr>
        <w:t>响应文件开启</w:t>
      </w:r>
    </w:p>
    <w:p w14:paraId="128FB2D5">
      <w:pPr>
        <w:spacing w:line="500" w:lineRule="exact"/>
        <w:ind w:firstLine="488" w:firstLineChars="200"/>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2.1.1采购人在第一章“询价</w:t>
      </w:r>
      <w:r>
        <w:rPr>
          <w:rFonts w:hint="eastAsia" w:ascii="方正仿宋_GB2312" w:hAnsi="方正仿宋_GB2312" w:eastAsia="方正仿宋_GB2312" w:cs="方正仿宋_GB2312"/>
          <w:spacing w:val="2"/>
          <w:sz w:val="24"/>
          <w:szCs w:val="24"/>
          <w:lang w:val="en-US" w:eastAsia="zh-CN"/>
        </w:rPr>
        <w:t>函</w:t>
      </w:r>
      <w:r>
        <w:rPr>
          <w:rFonts w:hint="eastAsia" w:ascii="方正仿宋_GB2312" w:hAnsi="方正仿宋_GB2312" w:eastAsia="方正仿宋_GB2312" w:cs="方正仿宋_GB2312"/>
          <w:spacing w:val="2"/>
          <w:sz w:val="24"/>
          <w:szCs w:val="24"/>
        </w:rPr>
        <w:t>”中约定的日期、时间和地点组织询价响应文件公开开启，所有供应商均应当准时参加。</w:t>
      </w:r>
    </w:p>
    <w:p w14:paraId="3EB8B3C0">
      <w:pPr>
        <w:spacing w:line="500" w:lineRule="exact"/>
        <w:ind w:firstLine="488" w:firstLineChars="200"/>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2.1.2采购人通过互联网在</w:t>
      </w:r>
      <w:r>
        <w:rPr>
          <w:rFonts w:hint="eastAsia" w:ascii="方正仿宋_GB2312" w:hAnsi="方正仿宋_GB2312" w:eastAsia="方正仿宋_GB2312" w:cs="方正仿宋_GB2312"/>
          <w:bCs/>
          <w:sz w:val="24"/>
          <w:szCs w:val="24"/>
        </w:rPr>
        <w:t>第一章“</w:t>
      </w:r>
      <w:r>
        <w:rPr>
          <w:rFonts w:hint="eastAsia" w:ascii="方正仿宋_GB2312" w:hAnsi="方正仿宋_GB2312" w:eastAsia="方正仿宋_GB2312" w:cs="方正仿宋_GB2312"/>
          <w:bCs/>
          <w:sz w:val="24"/>
          <w:szCs w:val="24"/>
          <w:lang w:val="en-US" w:eastAsia="zh-CN"/>
        </w:rPr>
        <w:t>询价函</w:t>
      </w:r>
      <w:r>
        <w:rPr>
          <w:rFonts w:hint="eastAsia" w:ascii="方正仿宋_GB2312" w:hAnsi="方正仿宋_GB2312" w:eastAsia="方正仿宋_GB2312" w:cs="方正仿宋_GB2312"/>
          <w:bCs/>
          <w:sz w:val="24"/>
          <w:szCs w:val="24"/>
        </w:rPr>
        <w:t>”中规定的时间</w:t>
      </w:r>
      <w:r>
        <w:rPr>
          <w:rFonts w:hint="eastAsia" w:ascii="方正仿宋_GB2312" w:hAnsi="方正仿宋_GB2312" w:eastAsia="方正仿宋_GB2312" w:cs="方正仿宋_GB2312"/>
          <w:spacing w:val="2"/>
          <w:sz w:val="24"/>
          <w:szCs w:val="24"/>
        </w:rPr>
        <w:t>组织线上开启，截止响应文件递交时间，递交响应文件不足3家的，不进行开启。</w:t>
      </w:r>
    </w:p>
    <w:p w14:paraId="547F4127">
      <w:pPr>
        <w:spacing w:line="500" w:lineRule="exact"/>
        <w:ind w:firstLine="488" w:firstLineChars="200"/>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2.1.4开启程序</w:t>
      </w:r>
    </w:p>
    <w:p w14:paraId="763FB9BF">
      <w:pPr>
        <w:spacing w:line="500" w:lineRule="exact"/>
        <w:ind w:firstLine="488" w:firstLineChars="200"/>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（1）宣布开启纪律；</w:t>
      </w:r>
    </w:p>
    <w:p w14:paraId="18B9A8E8">
      <w:pPr>
        <w:spacing w:line="500" w:lineRule="exact"/>
        <w:ind w:firstLine="488" w:firstLineChars="200"/>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 xml:space="preserve">（2）宣布主持人、记录人、监标人等有关人员姓名； </w:t>
      </w:r>
    </w:p>
    <w:p w14:paraId="42E06128">
      <w:pPr>
        <w:spacing w:line="500" w:lineRule="exact"/>
        <w:ind w:firstLine="488" w:firstLineChars="200"/>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（3）公布在递交响应文件截止时间前响应文件的递交情况，并由采购人核查供应商代表是否出席开启会并核实其身份；</w:t>
      </w:r>
    </w:p>
    <w:p w14:paraId="68485E5A">
      <w:pPr>
        <w:spacing w:line="500" w:lineRule="exact"/>
        <w:ind w:firstLine="488" w:firstLineChars="200"/>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（4）公布询价保证金递交情况（如有）；</w:t>
      </w:r>
    </w:p>
    <w:p w14:paraId="1B5925C8">
      <w:pPr>
        <w:spacing w:line="500" w:lineRule="exact"/>
        <w:ind w:firstLine="488" w:firstLineChars="200"/>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（5）开启结束。</w:t>
      </w:r>
    </w:p>
    <w:p w14:paraId="7253FE25">
      <w:pPr>
        <w:spacing w:line="500" w:lineRule="exact"/>
        <w:ind w:firstLine="488" w:firstLineChars="200"/>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2.1.5供应商代表对开启过程和开启记录有疑义，以及认为采购人相关工作人员有需要回避的情形的，应当场提出询问或者回避申请。采购人将及时处理供应商代表提出的询问或者回避申请。</w:t>
      </w:r>
    </w:p>
    <w:p w14:paraId="59610A6F">
      <w:pPr>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2.2审查及评议</w:t>
      </w:r>
    </w:p>
    <w:p w14:paraId="24D87C00">
      <w:pPr>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2.2.1询价小组审查各供应商的询价响应文件是否实质上响应了询价通知书的要求。实质上响应的询价响应文件应该是与询价通知书要求的全部条款、条件和规格相符，没有重大负偏离。</w:t>
      </w:r>
    </w:p>
    <w:p w14:paraId="2BAA5687">
      <w:pPr>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2.2.2在递交询价响应文件截止时间后，供应商不得通过修正或撤消不合要求的偏离或保留从而使其报价成为实质上响应的报价。</w:t>
      </w:r>
    </w:p>
    <w:p w14:paraId="50DCC717">
      <w:pPr>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2.2.3如在资格性审查、符合性审查中发现下列情况之一的，其询价响应文件将被视为未实质性响应询价通知书，而做无效报价处理： </w:t>
      </w:r>
    </w:p>
    <w:p w14:paraId="1936BD88">
      <w:pPr>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1)报价超过本项目预算金额的；  </w:t>
      </w:r>
    </w:p>
    <w:p w14:paraId="5352D10D">
      <w:pPr>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2)询价响应文件未加盖单位公章或未有法定代表人或者被授权人签名的；  </w:t>
      </w:r>
    </w:p>
    <w:p w14:paraId="7DD0B1DE">
      <w:pPr>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3)资格证明文件不全的；  </w:t>
      </w:r>
    </w:p>
    <w:p w14:paraId="0AE652AB">
      <w:pPr>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4)未按询价通知书规定格式填写或者字迹模糊不清的；  </w:t>
      </w:r>
    </w:p>
    <w:p w14:paraId="4106C2F3">
      <w:pPr>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5)询价有效期不足的； </w:t>
      </w:r>
    </w:p>
    <w:p w14:paraId="4402E33B">
      <w:pPr>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6)</w:t>
      </w:r>
      <w:r>
        <w:rPr>
          <w:rFonts w:hint="eastAsia" w:ascii="方正仿宋_GB2312" w:hAnsi="方正仿宋_GB2312" w:eastAsia="方正仿宋_GB2312" w:cs="方正仿宋_GB2312"/>
          <w:sz w:val="24"/>
          <w:szCs w:val="24"/>
        </w:rPr>
        <w:t>询价响应文件附有采购人不能接受的条件的；</w:t>
      </w:r>
      <w:r>
        <w:rPr>
          <w:rFonts w:hint="eastAsia" w:ascii="方正仿宋_GB2312" w:hAnsi="方正仿宋_GB2312" w:eastAsia="方正仿宋_GB2312" w:cs="方正仿宋_GB2312"/>
          <w:kern w:val="0"/>
          <w:sz w:val="24"/>
          <w:szCs w:val="24"/>
        </w:rPr>
        <w:t xml:space="preserve">  </w:t>
      </w:r>
    </w:p>
    <w:p w14:paraId="0C2C053E">
      <w:pPr>
        <w:spacing w:line="5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7)不符合法律、法规和询价通知书中规定的其他实质性要求的。 </w:t>
      </w:r>
    </w:p>
    <w:p w14:paraId="60C32AD5">
      <w:pPr>
        <w:spacing w:line="5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2.3询价响应文件的澄清  </w:t>
      </w:r>
    </w:p>
    <w:p w14:paraId="30791290">
      <w:pPr>
        <w:spacing w:line="5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rPr>
        <w:t>在评审期间，询价小组可要求供应商对其询价响应文件中含义不明确、对同类问题表述不一致或有明显文字和计算错误的内容做必要的澄清，说明或者补正。供应商有责任按照采购人的通知指派专人进行答疑和澄清，但澄清、说明或者补正不得超出询价响应文件的范围或者改变询价响应文件的实质性内容。澄清回复均应由供应商的法定代表人或授权代表签字的书面形式作出。</w:t>
      </w:r>
    </w:p>
    <w:p w14:paraId="5F2A27C4">
      <w:pPr>
        <w:pStyle w:val="12"/>
        <w:spacing w:line="500" w:lineRule="exact"/>
        <w:rPr>
          <w:rFonts w:hint="eastAsia" w:ascii="黑体" w:hAnsi="黑体" w:eastAsia="黑体" w:cs="黑体"/>
          <w:spacing w:val="2"/>
          <w:sz w:val="30"/>
          <w:szCs w:val="30"/>
        </w:rPr>
      </w:pPr>
      <w:bookmarkStart w:id="12" w:name="_Toc20111"/>
      <w:r>
        <w:rPr>
          <w:rFonts w:hint="eastAsia" w:ascii="黑体" w:hAnsi="黑体" w:eastAsia="黑体" w:cs="黑体"/>
          <w:spacing w:val="2"/>
          <w:sz w:val="30"/>
          <w:szCs w:val="30"/>
        </w:rPr>
        <w:t>三、</w:t>
      </w:r>
      <w:r>
        <w:rPr>
          <w:rFonts w:hint="eastAsia" w:ascii="黑体" w:hAnsi="黑体" w:eastAsia="黑体" w:cs="黑体"/>
          <w:sz w:val="30"/>
          <w:szCs w:val="30"/>
        </w:rPr>
        <w:t>确定成交供应商办法（最低价法）</w:t>
      </w:r>
      <w:bookmarkEnd w:id="12"/>
    </w:p>
    <w:p w14:paraId="6A6F8BA3">
      <w:pPr>
        <w:spacing w:line="500" w:lineRule="exact"/>
        <w:ind w:firstLine="488" w:firstLineChars="200"/>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3.1询价小组从质量和服务均能满足采购文件实质性响应要求的供应商中,按照报价由低到高的顺序</w:t>
      </w:r>
      <w:r>
        <w:rPr>
          <w:rFonts w:hint="eastAsia" w:ascii="方正仿宋_GB2312" w:hAnsi="方正仿宋_GB2312" w:eastAsia="方正仿宋_GB2312" w:cs="方正仿宋_GB2312"/>
          <w:sz w:val="24"/>
          <w:szCs w:val="24"/>
        </w:rPr>
        <w:t>推荐3名或以上的</w:t>
      </w:r>
      <w:r>
        <w:rPr>
          <w:rFonts w:hint="eastAsia" w:ascii="方正仿宋_GB2312" w:hAnsi="方正仿宋_GB2312" w:eastAsia="方正仿宋_GB2312" w:cs="方正仿宋_GB2312"/>
          <w:spacing w:val="2"/>
          <w:sz w:val="24"/>
          <w:szCs w:val="24"/>
        </w:rPr>
        <w:t>成交候选人,并编写评审报告。</w:t>
      </w:r>
    </w:p>
    <w:p w14:paraId="1498132D">
      <w:pPr>
        <w:spacing w:line="500" w:lineRule="exact"/>
        <w:ind w:firstLine="488" w:firstLineChars="200"/>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3.2</w:t>
      </w:r>
      <w:r>
        <w:rPr>
          <w:rFonts w:hint="eastAsia" w:ascii="方正仿宋_GB2312" w:hAnsi="方正仿宋_GB2312" w:eastAsia="方正仿宋_GB2312" w:cs="方正仿宋_GB2312"/>
          <w:sz w:val="24"/>
          <w:szCs w:val="24"/>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5407CEF9">
      <w:pPr>
        <w:spacing w:line="500" w:lineRule="exact"/>
        <w:ind w:firstLine="488"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3.3</w:t>
      </w:r>
      <w:r>
        <w:rPr>
          <w:rFonts w:hint="eastAsia" w:ascii="方正仿宋_GB2312" w:hAnsi="方正仿宋_GB2312" w:eastAsia="方正仿宋_GB2312" w:cs="方正仿宋_GB2312"/>
          <w:sz w:val="24"/>
          <w:szCs w:val="24"/>
        </w:rPr>
        <w:t>采购人根据询价小组的成交候选供应商名单，根据</w:t>
      </w:r>
      <w:r>
        <w:rPr>
          <w:rFonts w:hint="eastAsia" w:ascii="方正仿宋_GB2312" w:hAnsi="方正仿宋_GB2312" w:eastAsia="方正仿宋_GB2312" w:cs="方正仿宋_GB2312"/>
          <w:spacing w:val="2"/>
          <w:sz w:val="24"/>
          <w:szCs w:val="24"/>
        </w:rPr>
        <w:t>质量和服务均能满足询价通知书实质性响应要求且报价最低的原则</w:t>
      </w:r>
      <w:r>
        <w:rPr>
          <w:rFonts w:hint="eastAsia" w:ascii="方正仿宋_GB2312" w:hAnsi="方正仿宋_GB2312" w:eastAsia="方正仿宋_GB2312" w:cs="方正仿宋_GB2312"/>
          <w:sz w:val="24"/>
          <w:szCs w:val="24"/>
        </w:rPr>
        <w:t>确定成交供应商。</w:t>
      </w:r>
    </w:p>
    <w:p w14:paraId="58305D62">
      <w:pPr>
        <w:pStyle w:val="12"/>
        <w:spacing w:line="500" w:lineRule="exact"/>
        <w:rPr>
          <w:rFonts w:hint="eastAsia" w:ascii="黑体" w:hAnsi="黑体" w:eastAsia="黑体" w:cs="黑体"/>
          <w:sz w:val="30"/>
          <w:szCs w:val="30"/>
        </w:rPr>
      </w:pPr>
      <w:bookmarkStart w:id="13" w:name="_Toc10839"/>
      <w:r>
        <w:rPr>
          <w:rFonts w:hint="eastAsia" w:ascii="黑体" w:hAnsi="黑体" w:eastAsia="黑体" w:cs="黑体"/>
          <w:sz w:val="30"/>
          <w:szCs w:val="30"/>
        </w:rPr>
        <w:t>四、签订合同</w:t>
      </w:r>
      <w:bookmarkEnd w:id="13"/>
    </w:p>
    <w:p w14:paraId="50DA7805">
      <w:pPr>
        <w:spacing w:line="50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4.1成交供应商在收到成交通知书后，按其规定与采购人签订合同。</w:t>
      </w:r>
    </w:p>
    <w:p w14:paraId="4EC8438E">
      <w:pPr>
        <w:spacing w:line="500" w:lineRule="exact"/>
        <w:ind w:firstLine="480" w:firstLineChars="200"/>
        <w:rPr>
          <w:rFonts w:ascii="宋体" w:hAnsi="宋体" w:cs="宋体"/>
          <w:bCs/>
          <w:sz w:val="24"/>
          <w:szCs w:val="24"/>
        </w:rPr>
      </w:pPr>
    </w:p>
    <w:p w14:paraId="43DB59DD">
      <w:pPr>
        <w:pStyle w:val="12"/>
        <w:spacing w:line="500" w:lineRule="exact"/>
        <w:rPr>
          <w:rFonts w:hint="eastAsia" w:ascii="黑体" w:hAnsi="黑体" w:eastAsia="黑体" w:cs="黑体"/>
          <w:sz w:val="30"/>
          <w:szCs w:val="30"/>
        </w:rPr>
      </w:pPr>
      <w:bookmarkStart w:id="14" w:name="_Toc22689"/>
      <w:r>
        <w:rPr>
          <w:rFonts w:hint="eastAsia" w:ascii="黑体" w:hAnsi="黑体" w:eastAsia="黑体" w:cs="黑体"/>
          <w:sz w:val="30"/>
          <w:szCs w:val="30"/>
          <w:lang w:val="en-US" w:eastAsia="zh-CN"/>
        </w:rPr>
        <w:t>五</w:t>
      </w:r>
      <w:r>
        <w:rPr>
          <w:rFonts w:hint="eastAsia" w:ascii="黑体" w:hAnsi="黑体" w:eastAsia="黑体" w:cs="黑体"/>
          <w:sz w:val="30"/>
          <w:szCs w:val="30"/>
        </w:rPr>
        <w:t>、询价采购失败条件</w:t>
      </w:r>
      <w:bookmarkEnd w:id="14"/>
    </w:p>
    <w:p w14:paraId="58C5BCDC">
      <w:pPr>
        <w:spacing w:line="500" w:lineRule="exact"/>
        <w:ind w:firstLine="488"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6.</w:t>
      </w:r>
      <w:r>
        <w:rPr>
          <w:rFonts w:hint="eastAsia" w:ascii="方正仿宋_GB2312" w:hAnsi="方正仿宋_GB2312" w:eastAsia="方正仿宋_GB2312" w:cs="方正仿宋_GB2312"/>
          <w:sz w:val="24"/>
          <w:szCs w:val="24"/>
        </w:rPr>
        <w:t>1出现影响采购公正的违法、违规行为的；</w:t>
      </w:r>
    </w:p>
    <w:p w14:paraId="7A7F87D9">
      <w:pPr>
        <w:spacing w:line="500" w:lineRule="exact"/>
        <w:ind w:firstLine="488"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6.</w:t>
      </w:r>
      <w:r>
        <w:rPr>
          <w:rFonts w:hint="eastAsia" w:ascii="方正仿宋_GB2312" w:hAnsi="方正仿宋_GB2312" w:eastAsia="方正仿宋_GB2312" w:cs="方正仿宋_GB2312"/>
          <w:sz w:val="24"/>
          <w:szCs w:val="24"/>
        </w:rPr>
        <w:t>2因重大变故，采购任务取消的；</w:t>
      </w:r>
    </w:p>
    <w:p w14:paraId="7521E025">
      <w:pPr>
        <w:spacing w:line="50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pacing w:val="2"/>
          <w:sz w:val="24"/>
          <w:szCs w:val="24"/>
        </w:rPr>
        <w:t>6.</w:t>
      </w:r>
      <w:r>
        <w:rPr>
          <w:rFonts w:hint="eastAsia" w:ascii="方正仿宋_GB2312" w:hAnsi="方正仿宋_GB2312" w:eastAsia="方正仿宋_GB2312" w:cs="方正仿宋_GB2312"/>
          <w:sz w:val="24"/>
          <w:szCs w:val="24"/>
        </w:rPr>
        <w:t xml:space="preserve">3有效报价供应商不满足法定家数的； </w:t>
      </w:r>
    </w:p>
    <w:p w14:paraId="462F901A">
      <w:pPr>
        <w:spacing w:line="500" w:lineRule="exact"/>
        <w:ind w:firstLine="48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6.</w:t>
      </w:r>
      <w:r>
        <w:rPr>
          <w:rFonts w:hint="eastAsia" w:ascii="方正仿宋_GB2312" w:hAnsi="方正仿宋_GB2312" w:eastAsia="方正仿宋_GB2312" w:cs="方正仿宋_GB2312"/>
          <w:sz w:val="24"/>
          <w:szCs w:val="24"/>
        </w:rPr>
        <w:t>4所有报价均超过采购预算的；</w:t>
      </w:r>
    </w:p>
    <w:p w14:paraId="0CF71D92">
      <w:pPr>
        <w:pStyle w:val="3"/>
        <w:spacing w:line="500" w:lineRule="exact"/>
        <w:rPr>
          <w:rFonts w:hint="eastAsia" w:ascii="宋体" w:hAnsi="宋体" w:cs="宋体"/>
          <w:sz w:val="28"/>
          <w:szCs w:val="28"/>
        </w:rPr>
        <w:sectPr>
          <w:headerReference r:id="rId5" w:type="default"/>
          <w:footerReference r:id="rId6" w:type="default"/>
          <w:pgSz w:w="11906" w:h="16838"/>
          <w:pgMar w:top="1361" w:right="1274" w:bottom="1361" w:left="1191"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3758B20">
      <w:pPr>
        <w:pStyle w:val="3"/>
        <w:spacing w:line="500" w:lineRule="exact"/>
        <w:rPr>
          <w:rFonts w:ascii="宋体" w:hAnsi="宋体" w:cs="宋体"/>
          <w:sz w:val="28"/>
          <w:szCs w:val="28"/>
        </w:rPr>
      </w:pPr>
    </w:p>
    <w:p w14:paraId="55065390">
      <w:pPr>
        <w:pStyle w:val="3"/>
        <w:numPr>
          <w:ilvl w:val="0"/>
          <w:numId w:val="5"/>
        </w:numPr>
        <w:spacing w:line="500" w:lineRule="exact"/>
        <w:rPr>
          <w:rFonts w:hint="eastAsia" w:ascii="黑体" w:hAnsi="黑体" w:eastAsia="黑体" w:cs="黑体"/>
          <w:sz w:val="30"/>
          <w:szCs w:val="30"/>
        </w:rPr>
      </w:pPr>
      <w:bookmarkStart w:id="15" w:name="_Toc17616"/>
      <w:r>
        <w:rPr>
          <w:rFonts w:hint="eastAsia" w:ascii="黑体" w:hAnsi="黑体" w:eastAsia="黑体" w:cs="黑体"/>
          <w:sz w:val="30"/>
          <w:szCs w:val="30"/>
        </w:rPr>
        <w:t xml:space="preserve">  采购项目内容及技术规格要求</w:t>
      </w:r>
      <w:bookmarkEnd w:id="15"/>
    </w:p>
    <w:p w14:paraId="50784318"/>
    <w:p w14:paraId="5E9F9141">
      <w:pPr>
        <w:numPr>
          <w:ilvl w:val="0"/>
          <w:numId w:val="6"/>
        </w:numPr>
        <w:autoSpaceDE w:val="0"/>
        <w:autoSpaceDN w:val="0"/>
        <w:spacing w:line="400" w:lineRule="exact"/>
        <w:rPr>
          <w:rFonts w:hint="eastAsia"/>
          <w:sz w:val="24"/>
        </w:rPr>
      </w:pPr>
      <w:r>
        <w:rPr>
          <w:rFonts w:hint="eastAsia"/>
          <w:sz w:val="24"/>
        </w:rPr>
        <w:t>技术要求</w:t>
      </w:r>
    </w:p>
    <w:p w14:paraId="7A07A646">
      <w:pPr>
        <w:pStyle w:val="10"/>
        <w:rPr>
          <w:rFonts w:hint="eastAsia"/>
          <w:sz w:val="24"/>
        </w:rPr>
      </w:pPr>
    </w:p>
    <w:tbl>
      <w:tblPr>
        <w:tblStyle w:val="17"/>
        <w:tblW w:w="9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68"/>
        <w:gridCol w:w="1395"/>
        <w:gridCol w:w="1125"/>
        <w:gridCol w:w="2595"/>
        <w:gridCol w:w="1065"/>
        <w:gridCol w:w="1088"/>
      </w:tblGrid>
      <w:tr w14:paraId="47BF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11" w:type="dxa"/>
            <w:tcBorders>
              <w:top w:val="single" w:color="auto" w:sz="4" w:space="0"/>
              <w:left w:val="single" w:color="auto" w:sz="4" w:space="0"/>
              <w:bottom w:val="single" w:color="auto" w:sz="4" w:space="0"/>
              <w:right w:val="single" w:color="auto" w:sz="4" w:space="0"/>
            </w:tcBorders>
            <w:vAlign w:val="center"/>
          </w:tcPr>
          <w:p w14:paraId="0928BBA3">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条</w:t>
            </w:r>
            <w:r>
              <w:rPr>
                <w:rFonts w:hint="eastAsia" w:asciiTheme="minorEastAsia" w:hAnsiTheme="minorEastAsia" w:eastAsiaTheme="minorEastAsia" w:cstheme="minorEastAsia"/>
                <w:sz w:val="24"/>
                <w:highlight w:val="none"/>
              </w:rPr>
              <w:t>目</w:t>
            </w:r>
          </w:p>
        </w:tc>
        <w:tc>
          <w:tcPr>
            <w:tcW w:w="1568" w:type="dxa"/>
            <w:tcBorders>
              <w:top w:val="single" w:color="auto" w:sz="4" w:space="0"/>
              <w:left w:val="single" w:color="auto" w:sz="4" w:space="0"/>
              <w:bottom w:val="single" w:color="auto" w:sz="4" w:space="0"/>
              <w:right w:val="single" w:color="auto" w:sz="4" w:space="0"/>
            </w:tcBorders>
            <w:vAlign w:val="center"/>
          </w:tcPr>
          <w:p w14:paraId="67028D56">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名称</w:t>
            </w:r>
          </w:p>
        </w:tc>
        <w:tc>
          <w:tcPr>
            <w:tcW w:w="1395" w:type="dxa"/>
            <w:tcBorders>
              <w:top w:val="single" w:color="auto" w:sz="4" w:space="0"/>
              <w:left w:val="single" w:color="auto" w:sz="4" w:space="0"/>
              <w:bottom w:val="single" w:color="auto" w:sz="4" w:space="0"/>
              <w:right w:val="single" w:color="auto" w:sz="4" w:space="0"/>
            </w:tcBorders>
            <w:vAlign w:val="center"/>
          </w:tcPr>
          <w:p w14:paraId="4C278189">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型号</w:t>
            </w:r>
          </w:p>
        </w:tc>
        <w:tc>
          <w:tcPr>
            <w:tcW w:w="1125" w:type="dxa"/>
            <w:tcBorders>
              <w:top w:val="single" w:color="auto" w:sz="4" w:space="0"/>
              <w:left w:val="single" w:color="auto" w:sz="4" w:space="0"/>
              <w:bottom w:val="single" w:color="auto" w:sz="4" w:space="0"/>
              <w:right w:val="single" w:color="auto" w:sz="4" w:space="0"/>
            </w:tcBorders>
            <w:vAlign w:val="center"/>
          </w:tcPr>
          <w:p w14:paraId="45486E7D">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数量</w:t>
            </w:r>
          </w:p>
        </w:tc>
        <w:tc>
          <w:tcPr>
            <w:tcW w:w="2595" w:type="dxa"/>
            <w:tcBorders>
              <w:top w:val="single" w:color="auto" w:sz="4" w:space="0"/>
              <w:left w:val="single" w:color="auto" w:sz="4" w:space="0"/>
              <w:bottom w:val="single" w:color="auto" w:sz="4" w:space="0"/>
              <w:right w:val="single" w:color="auto" w:sz="4" w:space="0"/>
            </w:tcBorders>
            <w:vAlign w:val="center"/>
          </w:tcPr>
          <w:p w14:paraId="31DEE2F4">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交货期</w:t>
            </w:r>
          </w:p>
        </w:tc>
        <w:tc>
          <w:tcPr>
            <w:tcW w:w="1065" w:type="dxa"/>
            <w:tcBorders>
              <w:top w:val="single" w:color="auto" w:sz="4" w:space="0"/>
              <w:left w:val="single" w:color="auto" w:sz="4" w:space="0"/>
              <w:bottom w:val="single" w:color="auto" w:sz="4" w:space="0"/>
              <w:right w:val="single" w:color="auto" w:sz="4" w:space="0"/>
            </w:tcBorders>
            <w:vAlign w:val="center"/>
          </w:tcPr>
          <w:p w14:paraId="75B4BACB">
            <w:pPr>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交货</w:t>
            </w:r>
            <w:r>
              <w:rPr>
                <w:rFonts w:hint="eastAsia" w:asciiTheme="minorEastAsia" w:hAnsiTheme="minorEastAsia" w:eastAsiaTheme="minorEastAsia" w:cstheme="minorEastAsia"/>
                <w:sz w:val="24"/>
                <w:highlight w:val="none"/>
                <w:lang w:eastAsia="zh-CN"/>
              </w:rPr>
              <w:t>期限</w:t>
            </w:r>
          </w:p>
        </w:tc>
        <w:tc>
          <w:tcPr>
            <w:tcW w:w="1088" w:type="dxa"/>
            <w:tcBorders>
              <w:top w:val="single" w:color="auto" w:sz="4" w:space="0"/>
              <w:left w:val="single" w:color="auto" w:sz="4" w:space="0"/>
              <w:bottom w:val="single" w:color="auto" w:sz="4" w:space="0"/>
              <w:right w:val="single" w:color="auto" w:sz="4" w:space="0"/>
            </w:tcBorders>
            <w:vAlign w:val="center"/>
          </w:tcPr>
          <w:p w14:paraId="321CDBA8">
            <w:pPr>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总价</w:t>
            </w:r>
          </w:p>
        </w:tc>
      </w:tr>
      <w:tr w14:paraId="4560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11" w:type="dxa"/>
            <w:tcBorders>
              <w:top w:val="single" w:color="auto" w:sz="4" w:space="0"/>
              <w:left w:val="single" w:color="auto" w:sz="4" w:space="0"/>
              <w:bottom w:val="single" w:color="auto" w:sz="4" w:space="0"/>
              <w:right w:val="single" w:color="auto" w:sz="4" w:space="0"/>
            </w:tcBorders>
            <w:vAlign w:val="center"/>
          </w:tcPr>
          <w:p w14:paraId="76911F87">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568" w:type="dxa"/>
            <w:tcBorders>
              <w:top w:val="single" w:color="auto" w:sz="4" w:space="0"/>
              <w:left w:val="single" w:color="auto" w:sz="4" w:space="0"/>
              <w:bottom w:val="single" w:color="auto" w:sz="4" w:space="0"/>
              <w:right w:val="single" w:color="auto" w:sz="4" w:space="0"/>
            </w:tcBorders>
            <w:vAlign w:val="center"/>
          </w:tcPr>
          <w:p w14:paraId="27D159F3">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UPS工频主机</w:t>
            </w:r>
          </w:p>
        </w:tc>
        <w:tc>
          <w:tcPr>
            <w:tcW w:w="1395" w:type="dxa"/>
            <w:tcBorders>
              <w:top w:val="single" w:color="auto" w:sz="4" w:space="0"/>
              <w:left w:val="single" w:color="auto" w:sz="4" w:space="0"/>
              <w:bottom w:val="single" w:color="auto" w:sz="4" w:space="0"/>
              <w:right w:val="single" w:color="auto" w:sz="4" w:space="0"/>
            </w:tcBorders>
            <w:vAlign w:val="center"/>
          </w:tcPr>
          <w:p w14:paraId="3437583F">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10KVA</w:t>
            </w:r>
          </w:p>
        </w:tc>
        <w:tc>
          <w:tcPr>
            <w:tcW w:w="1125" w:type="dxa"/>
            <w:tcBorders>
              <w:top w:val="single" w:color="auto" w:sz="4" w:space="0"/>
              <w:left w:val="single" w:color="auto" w:sz="4" w:space="0"/>
              <w:bottom w:val="single" w:color="auto" w:sz="4" w:space="0"/>
              <w:right w:val="single" w:color="auto" w:sz="4" w:space="0"/>
            </w:tcBorders>
            <w:vAlign w:val="center"/>
          </w:tcPr>
          <w:p w14:paraId="7D2FD39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2台</w:t>
            </w:r>
          </w:p>
        </w:tc>
        <w:tc>
          <w:tcPr>
            <w:tcW w:w="2595" w:type="dxa"/>
            <w:tcBorders>
              <w:top w:val="single" w:color="auto" w:sz="4" w:space="0"/>
              <w:left w:val="single" w:color="auto" w:sz="4" w:space="0"/>
              <w:bottom w:val="single" w:color="auto" w:sz="4" w:space="0"/>
              <w:right w:val="single" w:color="auto" w:sz="4" w:space="0"/>
            </w:tcBorders>
            <w:vAlign w:val="center"/>
          </w:tcPr>
          <w:p w14:paraId="57650E69">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自签订合同之日起</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个自然日内供货</w:t>
            </w:r>
          </w:p>
        </w:tc>
        <w:tc>
          <w:tcPr>
            <w:tcW w:w="1065" w:type="dxa"/>
            <w:tcBorders>
              <w:top w:val="single" w:color="auto" w:sz="4" w:space="0"/>
              <w:left w:val="single" w:color="auto" w:sz="4" w:space="0"/>
              <w:bottom w:val="single" w:color="auto" w:sz="4" w:space="0"/>
              <w:right w:val="single" w:color="auto" w:sz="4" w:space="0"/>
            </w:tcBorders>
            <w:vAlign w:val="center"/>
          </w:tcPr>
          <w:p w14:paraId="7C8B4779">
            <w:pPr>
              <w:jc w:val="center"/>
              <w:rPr>
                <w:rFonts w:hint="eastAsia" w:asciiTheme="minorEastAsia" w:hAnsiTheme="minorEastAsia" w:eastAsiaTheme="minorEastAsia" w:cstheme="minorEastAsia"/>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14:paraId="68BA841A">
            <w:pPr>
              <w:jc w:val="center"/>
              <w:rPr>
                <w:rFonts w:hint="eastAsia" w:asciiTheme="minorEastAsia" w:hAnsiTheme="minorEastAsia" w:eastAsiaTheme="minorEastAsia" w:cstheme="minorEastAsia"/>
                <w:sz w:val="24"/>
                <w:highlight w:val="none"/>
              </w:rPr>
            </w:pPr>
          </w:p>
        </w:tc>
      </w:tr>
      <w:tr w14:paraId="1C7F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11" w:type="dxa"/>
            <w:tcBorders>
              <w:top w:val="single" w:color="auto" w:sz="4" w:space="0"/>
              <w:left w:val="single" w:color="auto" w:sz="4" w:space="0"/>
              <w:bottom w:val="single" w:color="auto" w:sz="4" w:space="0"/>
              <w:right w:val="single" w:color="auto" w:sz="4" w:space="0"/>
            </w:tcBorders>
            <w:vAlign w:val="center"/>
          </w:tcPr>
          <w:p w14:paraId="5B1CC03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568" w:type="dxa"/>
            <w:tcBorders>
              <w:top w:val="single" w:color="auto" w:sz="4" w:space="0"/>
              <w:left w:val="single" w:color="auto" w:sz="4" w:space="0"/>
              <w:bottom w:val="single" w:color="auto" w:sz="4" w:space="0"/>
              <w:right w:val="single" w:color="auto" w:sz="4" w:space="0"/>
            </w:tcBorders>
            <w:vAlign w:val="center"/>
          </w:tcPr>
          <w:p w14:paraId="02616FB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UPS工频主机</w:t>
            </w:r>
          </w:p>
        </w:tc>
        <w:tc>
          <w:tcPr>
            <w:tcW w:w="1395" w:type="dxa"/>
            <w:tcBorders>
              <w:top w:val="single" w:color="auto" w:sz="4" w:space="0"/>
              <w:left w:val="single" w:color="auto" w:sz="4" w:space="0"/>
              <w:bottom w:val="single" w:color="auto" w:sz="4" w:space="0"/>
              <w:right w:val="single" w:color="auto" w:sz="4" w:space="0"/>
            </w:tcBorders>
            <w:vAlign w:val="center"/>
          </w:tcPr>
          <w:p w14:paraId="55FEC95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40KVA</w:t>
            </w:r>
          </w:p>
        </w:tc>
        <w:tc>
          <w:tcPr>
            <w:tcW w:w="1125" w:type="dxa"/>
            <w:tcBorders>
              <w:top w:val="single" w:color="auto" w:sz="4" w:space="0"/>
              <w:left w:val="single" w:color="auto" w:sz="4" w:space="0"/>
              <w:bottom w:val="single" w:color="auto" w:sz="4" w:space="0"/>
              <w:right w:val="single" w:color="auto" w:sz="4" w:space="0"/>
            </w:tcBorders>
            <w:vAlign w:val="center"/>
          </w:tcPr>
          <w:p w14:paraId="072C364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1台</w:t>
            </w:r>
          </w:p>
        </w:tc>
        <w:tc>
          <w:tcPr>
            <w:tcW w:w="2595" w:type="dxa"/>
            <w:tcBorders>
              <w:top w:val="single" w:color="auto" w:sz="4" w:space="0"/>
              <w:left w:val="single" w:color="auto" w:sz="4" w:space="0"/>
              <w:bottom w:val="single" w:color="auto" w:sz="4" w:space="0"/>
              <w:right w:val="single" w:color="auto" w:sz="4" w:space="0"/>
            </w:tcBorders>
            <w:vAlign w:val="center"/>
          </w:tcPr>
          <w:p w14:paraId="44597405">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自签订合同之日起</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个自然日内供货</w:t>
            </w:r>
          </w:p>
        </w:tc>
        <w:tc>
          <w:tcPr>
            <w:tcW w:w="1065" w:type="dxa"/>
            <w:tcBorders>
              <w:top w:val="single" w:color="auto" w:sz="4" w:space="0"/>
              <w:left w:val="single" w:color="auto" w:sz="4" w:space="0"/>
              <w:bottom w:val="single" w:color="auto" w:sz="4" w:space="0"/>
              <w:right w:val="single" w:color="auto" w:sz="4" w:space="0"/>
            </w:tcBorders>
            <w:vAlign w:val="center"/>
          </w:tcPr>
          <w:p w14:paraId="7268BE5C">
            <w:pPr>
              <w:jc w:val="center"/>
              <w:rPr>
                <w:rFonts w:hint="eastAsia" w:asciiTheme="minorEastAsia" w:hAnsiTheme="minorEastAsia" w:eastAsiaTheme="minorEastAsia" w:cstheme="minorEastAsia"/>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14:paraId="1A1B8CF7">
            <w:pPr>
              <w:jc w:val="center"/>
              <w:rPr>
                <w:rFonts w:hint="eastAsia" w:asciiTheme="minorEastAsia" w:hAnsiTheme="minorEastAsia" w:eastAsiaTheme="minorEastAsia" w:cstheme="minorEastAsia"/>
                <w:sz w:val="24"/>
                <w:highlight w:val="none"/>
              </w:rPr>
            </w:pPr>
          </w:p>
        </w:tc>
      </w:tr>
      <w:tr w14:paraId="6F97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11" w:type="dxa"/>
            <w:tcBorders>
              <w:top w:val="single" w:color="auto" w:sz="4" w:space="0"/>
              <w:left w:val="single" w:color="auto" w:sz="4" w:space="0"/>
              <w:bottom w:val="single" w:color="auto" w:sz="4" w:space="0"/>
              <w:right w:val="single" w:color="auto" w:sz="4" w:space="0"/>
            </w:tcBorders>
            <w:vAlign w:val="center"/>
          </w:tcPr>
          <w:p w14:paraId="69CDE13D">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568" w:type="dxa"/>
            <w:tcBorders>
              <w:top w:val="single" w:color="auto" w:sz="4" w:space="0"/>
              <w:left w:val="single" w:color="auto" w:sz="4" w:space="0"/>
              <w:bottom w:val="single" w:color="auto" w:sz="4" w:space="0"/>
              <w:right w:val="single" w:color="auto" w:sz="4" w:space="0"/>
            </w:tcBorders>
            <w:vAlign w:val="center"/>
          </w:tcPr>
          <w:p w14:paraId="0D8610B7">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蓄电池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含连接线</w:t>
            </w:r>
            <w:r>
              <w:rPr>
                <w:rFonts w:hint="eastAsia" w:asciiTheme="minorEastAsia" w:hAnsiTheme="minorEastAsia" w:eastAsiaTheme="minorEastAsia" w:cstheme="minorEastAsia"/>
                <w:sz w:val="24"/>
                <w:szCs w:val="24"/>
                <w:highlight w:val="none"/>
                <w:lang w:eastAsia="zh-CN"/>
              </w:rPr>
              <w:t>）</w:t>
            </w:r>
          </w:p>
        </w:tc>
        <w:tc>
          <w:tcPr>
            <w:tcW w:w="1395" w:type="dxa"/>
            <w:tcBorders>
              <w:top w:val="single" w:color="auto" w:sz="4" w:space="0"/>
              <w:left w:val="single" w:color="auto" w:sz="4" w:space="0"/>
              <w:bottom w:val="single" w:color="auto" w:sz="4" w:space="0"/>
              <w:right w:val="single" w:color="auto" w:sz="4" w:space="0"/>
            </w:tcBorders>
            <w:vAlign w:val="center"/>
          </w:tcPr>
          <w:p w14:paraId="4D4B2B8D">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12V100AH</w:t>
            </w:r>
          </w:p>
        </w:tc>
        <w:tc>
          <w:tcPr>
            <w:tcW w:w="1125" w:type="dxa"/>
            <w:tcBorders>
              <w:top w:val="single" w:color="auto" w:sz="4" w:space="0"/>
              <w:left w:val="single" w:color="auto" w:sz="4" w:space="0"/>
              <w:bottom w:val="single" w:color="auto" w:sz="4" w:space="0"/>
              <w:right w:val="single" w:color="auto" w:sz="4" w:space="0"/>
            </w:tcBorders>
            <w:vAlign w:val="center"/>
          </w:tcPr>
          <w:p w14:paraId="1BD5DD66">
            <w:pPr>
              <w:spacing w:line="360" w:lineRule="auto"/>
              <w:jc w:val="center"/>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32个</w:t>
            </w:r>
          </w:p>
        </w:tc>
        <w:tc>
          <w:tcPr>
            <w:tcW w:w="2595" w:type="dxa"/>
            <w:tcBorders>
              <w:top w:val="single" w:color="auto" w:sz="4" w:space="0"/>
              <w:left w:val="single" w:color="auto" w:sz="4" w:space="0"/>
              <w:bottom w:val="single" w:color="auto" w:sz="4" w:space="0"/>
              <w:right w:val="single" w:color="auto" w:sz="4" w:space="0"/>
            </w:tcBorders>
            <w:vAlign w:val="center"/>
          </w:tcPr>
          <w:p w14:paraId="4BFFC287">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自签订合同之日起</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个自然日内供货</w:t>
            </w:r>
          </w:p>
        </w:tc>
        <w:tc>
          <w:tcPr>
            <w:tcW w:w="1065" w:type="dxa"/>
            <w:tcBorders>
              <w:top w:val="single" w:color="auto" w:sz="4" w:space="0"/>
              <w:left w:val="single" w:color="auto" w:sz="4" w:space="0"/>
              <w:bottom w:val="single" w:color="auto" w:sz="4" w:space="0"/>
              <w:right w:val="single" w:color="auto" w:sz="4" w:space="0"/>
            </w:tcBorders>
            <w:vAlign w:val="center"/>
          </w:tcPr>
          <w:p w14:paraId="13570DE7">
            <w:pPr>
              <w:jc w:val="center"/>
              <w:rPr>
                <w:rFonts w:hint="eastAsia" w:asciiTheme="minorEastAsia" w:hAnsiTheme="minorEastAsia" w:eastAsiaTheme="minorEastAsia" w:cstheme="minorEastAsia"/>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14:paraId="1275F4F7">
            <w:pPr>
              <w:jc w:val="center"/>
              <w:rPr>
                <w:rFonts w:hint="eastAsia" w:asciiTheme="minorEastAsia" w:hAnsiTheme="minorEastAsia" w:eastAsiaTheme="minorEastAsia" w:cstheme="minorEastAsia"/>
                <w:sz w:val="24"/>
                <w:highlight w:val="none"/>
              </w:rPr>
            </w:pPr>
          </w:p>
        </w:tc>
      </w:tr>
    </w:tbl>
    <w:p w14:paraId="3C123BBD">
      <w:pPr>
        <w:autoSpaceDE w:val="0"/>
        <w:autoSpaceDN w:val="0"/>
        <w:spacing w:line="500" w:lineRule="exact"/>
        <w:jc w:val="left"/>
        <w:rPr>
          <w:rFonts w:hint="eastAsia" w:asciiTheme="minorEastAsia" w:hAnsiTheme="minorEastAsia" w:eastAsiaTheme="minorEastAsia" w:cstheme="minorEastAsia"/>
          <w:color w:val="auto"/>
          <w:sz w:val="21"/>
          <w:szCs w:val="21"/>
          <w:highlight w:val="none"/>
          <w:lang w:val="en-US" w:eastAsia="zh-CN"/>
        </w:rPr>
      </w:pPr>
    </w:p>
    <w:p w14:paraId="75F2E998">
      <w:pPr>
        <w:pStyle w:val="6"/>
        <w:numPr>
          <w:ilvl w:val="0"/>
          <w:numId w:val="7"/>
        </w:num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技术规格要求</w:t>
      </w:r>
    </w:p>
    <w:tbl>
      <w:tblPr>
        <w:tblStyle w:val="17"/>
        <w:tblW w:w="9786"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2773"/>
        <w:gridCol w:w="7013"/>
      </w:tblGrid>
      <w:tr w14:paraId="56994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5" w:hRule="atLeast"/>
        </w:trPr>
        <w:tc>
          <w:tcPr>
            <w:tcW w:w="2773" w:type="dxa"/>
            <w:vAlign w:val="center"/>
          </w:tcPr>
          <w:p w14:paraId="1DE7172B">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指标项 </w:t>
            </w:r>
          </w:p>
        </w:tc>
        <w:tc>
          <w:tcPr>
            <w:tcW w:w="7013" w:type="dxa"/>
            <w:tcMar>
              <w:top w:w="0" w:type="dxa"/>
              <w:left w:w="108" w:type="dxa"/>
              <w:bottom w:w="0" w:type="dxa"/>
              <w:right w:w="108" w:type="dxa"/>
            </w:tcMar>
            <w:vAlign w:val="center"/>
          </w:tcPr>
          <w:p w14:paraId="7160EC64">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技术规格要求</w:t>
            </w:r>
          </w:p>
        </w:tc>
      </w:tr>
      <w:tr w14:paraId="3919C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shd w:val="clear" w:color="auto" w:fill="auto"/>
            <w:vAlign w:val="center"/>
          </w:tcPr>
          <w:p w14:paraId="22680FF6">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品牌建议</w:t>
            </w:r>
          </w:p>
        </w:tc>
        <w:tc>
          <w:tcPr>
            <w:tcW w:w="7013" w:type="dxa"/>
            <w:shd w:val="clear" w:color="auto" w:fill="auto"/>
            <w:tcMar>
              <w:top w:w="0" w:type="dxa"/>
              <w:left w:w="108" w:type="dxa"/>
              <w:bottom w:w="0" w:type="dxa"/>
              <w:right w:w="108" w:type="dxa"/>
            </w:tcMar>
            <w:vAlign w:val="center"/>
          </w:tcPr>
          <w:p w14:paraId="45159E11">
            <w:pPr>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要求国产自主品牌</w:t>
            </w:r>
            <w:r>
              <w:rPr>
                <w:rFonts w:hint="eastAsia" w:asciiTheme="minorEastAsia" w:hAnsiTheme="minorEastAsia" w:eastAsiaTheme="minorEastAsia" w:cstheme="minorEastAsia"/>
                <w:b w:val="0"/>
                <w:bCs w:val="0"/>
                <w:color w:val="auto"/>
                <w:sz w:val="21"/>
                <w:szCs w:val="21"/>
                <w:highlight w:val="none"/>
                <w:lang w:val="en-US" w:eastAsia="zh-CN"/>
              </w:rPr>
              <w:t>或合资品牌</w:t>
            </w:r>
            <w:r>
              <w:rPr>
                <w:rFonts w:hint="eastAsia" w:asciiTheme="minorEastAsia" w:hAnsiTheme="minorEastAsia" w:eastAsiaTheme="minorEastAsia" w:cstheme="minorEastAsia"/>
                <w:b w:val="0"/>
                <w:bCs w:val="0"/>
                <w:color w:val="auto"/>
                <w:sz w:val="21"/>
                <w:szCs w:val="21"/>
                <w:highlight w:val="none"/>
              </w:rPr>
              <w:t>，必须是</w:t>
            </w:r>
            <w:r>
              <w:rPr>
                <w:rFonts w:hint="eastAsia" w:asciiTheme="minorEastAsia" w:hAnsiTheme="minorEastAsia" w:eastAsiaTheme="minorEastAsia" w:cstheme="minorEastAsia"/>
                <w:b w:val="0"/>
                <w:bCs w:val="0"/>
                <w:color w:val="auto"/>
                <w:sz w:val="21"/>
                <w:szCs w:val="21"/>
                <w:highlight w:val="none"/>
                <w:lang w:val="en-US" w:eastAsia="zh-CN"/>
              </w:rPr>
              <w:t>UPS主机和</w:t>
            </w:r>
            <w:r>
              <w:rPr>
                <w:rFonts w:hint="eastAsia" w:asciiTheme="minorEastAsia" w:hAnsiTheme="minorEastAsia" w:eastAsiaTheme="minorEastAsia" w:cstheme="minorEastAsia"/>
                <w:b w:val="0"/>
                <w:bCs w:val="0"/>
                <w:color w:val="auto"/>
                <w:sz w:val="21"/>
                <w:szCs w:val="21"/>
                <w:highlight w:val="none"/>
              </w:rPr>
              <w:t>电池制造商生产的产品， 不得是OEM产品</w:t>
            </w:r>
            <w:r>
              <w:rPr>
                <w:rFonts w:hint="eastAsia" w:asciiTheme="minorEastAsia" w:hAnsiTheme="minorEastAsia" w:eastAsiaTheme="minorEastAsia" w:cstheme="minorEastAsia"/>
                <w:b w:val="0"/>
                <w:bCs w:val="0"/>
                <w:color w:val="auto"/>
                <w:sz w:val="21"/>
                <w:szCs w:val="21"/>
                <w:highlight w:val="none"/>
                <w:lang w:eastAsia="zh-CN"/>
              </w:rPr>
              <w:t>。</w:t>
            </w:r>
          </w:p>
        </w:tc>
      </w:tr>
      <w:tr w14:paraId="0685F3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shd w:val="clear" w:color="auto" w:fill="auto"/>
            <w:vAlign w:val="center"/>
          </w:tcPr>
          <w:p w14:paraId="277A59CF">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质保期限</w:t>
            </w:r>
          </w:p>
        </w:tc>
        <w:tc>
          <w:tcPr>
            <w:tcW w:w="7013" w:type="dxa"/>
            <w:shd w:val="clear" w:color="auto" w:fill="auto"/>
            <w:tcMar>
              <w:top w:w="0" w:type="dxa"/>
              <w:left w:w="108" w:type="dxa"/>
              <w:bottom w:w="0" w:type="dxa"/>
              <w:right w:w="108" w:type="dxa"/>
            </w:tcMar>
            <w:vAlign w:val="center"/>
          </w:tcPr>
          <w:p w14:paraId="7071344A">
            <w:pPr>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要求不低于原厂3年，从</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UPS主机及</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电池安装完毕并通过验收之日算起；</w:t>
            </w:r>
          </w:p>
          <w:p w14:paraId="1A7E6EF3">
            <w:pPr>
              <w:jc w:val="left"/>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须制造商提供售后服务承诺证明</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tc>
      </w:tr>
      <w:tr w14:paraId="66228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shd w:val="clear" w:color="auto" w:fill="auto"/>
            <w:vAlign w:val="center"/>
          </w:tcPr>
          <w:p w14:paraId="3E099C47">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参考品牌</w:t>
            </w:r>
          </w:p>
        </w:tc>
        <w:tc>
          <w:tcPr>
            <w:tcW w:w="7013" w:type="dxa"/>
            <w:shd w:val="clear" w:color="auto" w:fill="auto"/>
            <w:tcMar>
              <w:top w:w="0" w:type="dxa"/>
              <w:left w:w="108" w:type="dxa"/>
              <w:bottom w:w="0" w:type="dxa"/>
              <w:right w:w="108" w:type="dxa"/>
            </w:tcMar>
            <w:vAlign w:val="center"/>
          </w:tcPr>
          <w:p w14:paraId="6961E850">
            <w:pPr>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电池：双登、理士、科士达</w:t>
            </w:r>
          </w:p>
          <w:p w14:paraId="509D3A9B">
            <w:pPr>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UPS工频主机：山特、科华、雷迪司</w:t>
            </w:r>
          </w:p>
        </w:tc>
      </w:tr>
      <w:tr w14:paraId="3A0324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00852156">
            <w:pPr>
              <w:jc w:val="cente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548235" w:themeColor="accent6" w:themeShade="BF"/>
                <w:sz w:val="21"/>
                <w:szCs w:val="21"/>
                <w:highlight w:val="none"/>
                <w:lang w:val="en-US" w:eastAsia="zh-CN"/>
              </w:rPr>
              <w:t>UPS主机基本要求</w:t>
            </w:r>
          </w:p>
        </w:tc>
        <w:tc>
          <w:tcPr>
            <w:tcW w:w="7013" w:type="dxa"/>
            <w:tcMar>
              <w:top w:w="0" w:type="dxa"/>
              <w:left w:w="108" w:type="dxa"/>
              <w:bottom w:w="0" w:type="dxa"/>
              <w:right w:w="108" w:type="dxa"/>
            </w:tcMar>
            <w:vAlign w:val="center"/>
          </w:tcPr>
          <w:p w14:paraId="5DDE6BF1">
            <w:pPr>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工频机</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10KVA单相输入、单相输出</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tc>
      </w:tr>
      <w:tr w14:paraId="1EFAC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5A8E1296">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输入电压范围</w:t>
            </w:r>
          </w:p>
        </w:tc>
        <w:tc>
          <w:tcPr>
            <w:tcW w:w="7013" w:type="dxa"/>
            <w:tcMar>
              <w:top w:w="0" w:type="dxa"/>
              <w:left w:w="108" w:type="dxa"/>
              <w:bottom w:w="0" w:type="dxa"/>
              <w:right w:w="108" w:type="dxa"/>
            </w:tcMar>
            <w:vAlign w:val="center"/>
          </w:tcPr>
          <w:p w14:paraId="61ADC638">
            <w:pPr>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范围 (1</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76</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V~</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264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V (Ph-N) )，适应恶劣电网环境，适应各种燃油发电机接入</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tc>
      </w:tr>
      <w:tr w14:paraId="09AD8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66930674">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保护与告警功能</w:t>
            </w:r>
          </w:p>
        </w:tc>
        <w:tc>
          <w:tcPr>
            <w:tcW w:w="7013" w:type="dxa"/>
            <w:tcMar>
              <w:top w:w="0" w:type="dxa"/>
              <w:left w:w="108" w:type="dxa"/>
              <w:bottom w:w="0" w:type="dxa"/>
              <w:right w:w="108" w:type="dxa"/>
            </w:tcMar>
            <w:vAlign w:val="center"/>
          </w:tcPr>
          <w:p w14:paraId="602B629D">
            <w:pPr>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短路、过载、电池电压低、输出过欠压保护、风扇故障告警；</w:t>
            </w:r>
          </w:p>
        </w:tc>
      </w:tr>
      <w:tr w14:paraId="0B9D7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68549FB8">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pacing w:val="-4"/>
                <w:sz w:val="21"/>
                <w:szCs w:val="21"/>
              </w:rPr>
              <w:t>输出稳压精度</w:t>
            </w:r>
          </w:p>
        </w:tc>
        <w:tc>
          <w:tcPr>
            <w:tcW w:w="7013" w:type="dxa"/>
            <w:tcMar>
              <w:top w:w="0" w:type="dxa"/>
              <w:left w:w="108" w:type="dxa"/>
              <w:bottom w:w="0" w:type="dxa"/>
              <w:right w:w="108" w:type="dxa"/>
            </w:tcMar>
            <w:vAlign w:val="center"/>
          </w:tcPr>
          <w:p w14:paraId="09C727BC">
            <w:pPr>
              <w:pStyle w:val="26"/>
              <w:spacing w:before="53"/>
              <w:ind w:left="36"/>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pacing w:val="1"/>
                <w:sz w:val="21"/>
                <w:szCs w:val="21"/>
              </w:rPr>
              <w:t>输出为空载和额定阻性负载，调节输入电压为</w:t>
            </w:r>
            <w:r>
              <w:rPr>
                <w:rFonts w:hint="eastAsia" w:asciiTheme="minorEastAsia" w:hAnsiTheme="minorEastAsia" w:eastAsiaTheme="minorEastAsia" w:cstheme="minorEastAsia"/>
                <w:spacing w:val="-5"/>
                <w:sz w:val="21"/>
                <w:szCs w:val="21"/>
              </w:rPr>
              <w:t>UPS</w:t>
            </w:r>
            <w:r>
              <w:rPr>
                <w:rFonts w:hint="eastAsia" w:asciiTheme="minorEastAsia" w:hAnsiTheme="minorEastAsia" w:eastAsiaTheme="minorEastAsia" w:cstheme="minorEastAsia"/>
                <w:spacing w:val="-3"/>
                <w:sz w:val="21"/>
                <w:szCs w:val="21"/>
              </w:rPr>
              <w:t>上、下限值时，其稳压精度应为</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2"/>
                <w:sz w:val="21"/>
                <w:szCs w:val="21"/>
              </w:rPr>
              <w:t>|S|≤1.5%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p>
        </w:tc>
      </w:tr>
      <w:tr w14:paraId="26447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246ACCB8">
            <w:pPr>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输出频率</w:t>
            </w:r>
          </w:p>
        </w:tc>
        <w:tc>
          <w:tcPr>
            <w:tcW w:w="7013" w:type="dxa"/>
            <w:tcMar>
              <w:top w:w="0" w:type="dxa"/>
              <w:left w:w="108" w:type="dxa"/>
              <w:bottom w:w="0" w:type="dxa"/>
              <w:right w:w="108" w:type="dxa"/>
            </w:tcMar>
            <w:vAlign w:val="center"/>
          </w:tcPr>
          <w:p w14:paraId="63920DEA">
            <w:pPr>
              <w:tabs>
                <w:tab w:val="left" w:pos="450"/>
              </w:tabs>
              <w:jc w:val="left"/>
              <w:rPr>
                <w:rFonts w:hint="eastAsia" w:asciiTheme="minorEastAsia" w:hAnsiTheme="minorEastAsia" w:eastAsiaTheme="minorEastAsia" w:cstheme="minorEastAsia"/>
                <w:b w:val="0"/>
                <w:bCs w:val="0"/>
                <w:color w:val="FF0000"/>
                <w:sz w:val="21"/>
                <w:szCs w:val="21"/>
                <w:highlight w:val="none"/>
                <w:lang w:val="en-US" w:eastAsia="zh-CN"/>
              </w:rPr>
            </w:pPr>
            <w:r>
              <w:rPr>
                <w:rFonts w:hint="eastAsia" w:asciiTheme="minorEastAsia" w:hAnsiTheme="minorEastAsia" w:eastAsiaTheme="minorEastAsia" w:cstheme="minorEastAsia"/>
                <w:spacing w:val="-2"/>
                <w:sz w:val="21"/>
                <w:szCs w:val="21"/>
              </w:rPr>
              <w:t>在电池逆变工作状态下，输出为额定阻性负载，输出频率应不宽于（50±0.5）Hz</w:t>
            </w:r>
            <w:r>
              <w:rPr>
                <w:rFonts w:hint="eastAsia" w:asciiTheme="minorEastAsia" w:hAnsiTheme="minorEastAsia" w:eastAsiaTheme="minorEastAsia" w:cstheme="minorEastAsia"/>
                <w:spacing w:val="-2"/>
                <w:sz w:val="21"/>
                <w:szCs w:val="21"/>
                <w:lang w:eastAsia="zh-CN"/>
              </w:rPr>
              <w:t>；</w:t>
            </w:r>
          </w:p>
        </w:tc>
      </w:tr>
      <w:tr w14:paraId="09352D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2" w:hRule="atLeast"/>
        </w:trPr>
        <w:tc>
          <w:tcPr>
            <w:tcW w:w="2773" w:type="dxa"/>
            <w:vAlign w:val="center"/>
          </w:tcPr>
          <w:p w14:paraId="50C78EF6">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pacing w:val="-4"/>
                <w:sz w:val="21"/>
                <w:szCs w:val="21"/>
              </w:rPr>
              <w:t>输入电流谐波成份</w:t>
            </w:r>
          </w:p>
        </w:tc>
        <w:tc>
          <w:tcPr>
            <w:tcW w:w="7013" w:type="dxa"/>
            <w:tcMar>
              <w:top w:w="0" w:type="dxa"/>
              <w:left w:w="108" w:type="dxa"/>
              <w:bottom w:w="0" w:type="dxa"/>
              <w:right w:w="108" w:type="dxa"/>
            </w:tcMar>
            <w:vAlign w:val="center"/>
          </w:tcPr>
          <w:p w14:paraId="54E61390">
            <w:pPr>
              <w:pStyle w:val="26"/>
              <w:spacing w:before="43" w:line="278" w:lineRule="auto"/>
              <w:ind w:left="668" w:right="1513" w:hanging="632"/>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pacing w:val="-2"/>
                <w:sz w:val="21"/>
                <w:szCs w:val="21"/>
              </w:rPr>
              <w:t xml:space="preserve">100%非线性负载：＜8% </w:t>
            </w:r>
            <w:r>
              <w:rPr>
                <w:rFonts w:hint="eastAsia" w:asciiTheme="minorEastAsia" w:hAnsiTheme="minorEastAsia" w:eastAsiaTheme="minorEastAsia" w:cstheme="minorEastAsia"/>
                <w:spacing w:val="-2"/>
                <w:sz w:val="21"/>
                <w:szCs w:val="21"/>
                <w:lang w:eastAsia="zh-CN"/>
              </w:rPr>
              <w:t>；</w:t>
            </w:r>
            <w:r>
              <w:rPr>
                <w:rFonts w:hint="eastAsia" w:asciiTheme="minorEastAsia" w:hAnsiTheme="minorEastAsia" w:eastAsiaTheme="minorEastAsia" w:cstheme="minorEastAsia"/>
                <w:spacing w:val="-2"/>
                <w:sz w:val="21"/>
                <w:szCs w:val="21"/>
              </w:rPr>
              <w:t>50%</w:t>
            </w:r>
            <w:r>
              <w:rPr>
                <w:rFonts w:hint="eastAsia" w:asciiTheme="minorEastAsia" w:hAnsiTheme="minorEastAsia" w:eastAsiaTheme="minorEastAsia" w:cstheme="minorEastAsia"/>
                <w:spacing w:val="-4"/>
                <w:sz w:val="21"/>
                <w:szCs w:val="21"/>
              </w:rPr>
              <w:t>非线性负载：＜15%</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30%</w:t>
            </w:r>
            <w:r>
              <w:rPr>
                <w:rFonts w:hint="eastAsia" w:asciiTheme="minorEastAsia" w:hAnsiTheme="minorEastAsia" w:eastAsiaTheme="minorEastAsia" w:cstheme="minorEastAsia"/>
                <w:spacing w:val="-4"/>
                <w:sz w:val="21"/>
                <w:szCs w:val="21"/>
              </w:rPr>
              <w:t>线性负载：＜22%</w:t>
            </w:r>
            <w:r>
              <w:rPr>
                <w:rFonts w:hint="eastAsia" w:asciiTheme="minorEastAsia" w:hAnsiTheme="minorEastAsia" w:eastAsiaTheme="minorEastAsia" w:cstheme="minorEastAsia"/>
                <w:spacing w:val="-4"/>
                <w:sz w:val="21"/>
                <w:szCs w:val="21"/>
                <w:lang w:eastAsia="zh-CN"/>
              </w:rPr>
              <w:t>；</w:t>
            </w:r>
          </w:p>
        </w:tc>
      </w:tr>
      <w:tr w14:paraId="7AA019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365A999D">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过载能力</w:t>
            </w:r>
          </w:p>
        </w:tc>
        <w:tc>
          <w:tcPr>
            <w:tcW w:w="7013" w:type="dxa"/>
            <w:tcMar>
              <w:top w:w="0" w:type="dxa"/>
              <w:left w:w="108" w:type="dxa"/>
              <w:bottom w:w="0" w:type="dxa"/>
              <w:right w:w="108" w:type="dxa"/>
            </w:tcMar>
            <w:vAlign w:val="center"/>
          </w:tcPr>
          <w:p w14:paraId="00C51166">
            <w:pPr>
              <w:pStyle w:val="26"/>
              <w:spacing w:before="169" w:line="278" w:lineRule="auto"/>
              <w:ind w:left="34"/>
              <w:jc w:val="both"/>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pacing w:val="-4"/>
                <w:sz w:val="21"/>
                <w:szCs w:val="21"/>
              </w:rPr>
              <w:t>输入电压为额定值，输出为阻性负载，调节输出电</w:t>
            </w:r>
            <w:r>
              <w:rPr>
                <w:rFonts w:hint="eastAsia" w:asciiTheme="minorEastAsia" w:hAnsiTheme="minorEastAsia" w:eastAsiaTheme="minorEastAsia" w:cstheme="minorEastAsia"/>
                <w:spacing w:val="-3"/>
                <w:sz w:val="21"/>
                <w:szCs w:val="21"/>
              </w:rPr>
              <w:t xml:space="preserve">流，使输出功率为额定值的 </w:t>
            </w:r>
            <w:r>
              <w:rPr>
                <w:rFonts w:hint="eastAsia" w:asciiTheme="minorEastAsia" w:hAnsiTheme="minorEastAsia" w:eastAsiaTheme="minorEastAsia" w:cstheme="minorEastAsia"/>
                <w:sz w:val="21"/>
                <w:szCs w:val="21"/>
              </w:rPr>
              <w:t>125%时，机器正常工</w:t>
            </w:r>
            <w:r>
              <w:rPr>
                <w:rFonts w:hint="eastAsia" w:asciiTheme="minorEastAsia" w:hAnsiTheme="minorEastAsia" w:eastAsiaTheme="minorEastAsia" w:cstheme="minorEastAsia"/>
                <w:spacing w:val="-2"/>
                <w:sz w:val="21"/>
                <w:szCs w:val="21"/>
              </w:rPr>
              <w:t>作时间应：≥10min</w:t>
            </w:r>
            <w:r>
              <w:rPr>
                <w:rFonts w:hint="eastAsia" w:asciiTheme="minorEastAsia" w:hAnsiTheme="minorEastAsia" w:eastAsiaTheme="minorEastAsia" w:cstheme="minorEastAsia"/>
                <w:spacing w:val="-2"/>
                <w:sz w:val="21"/>
                <w:szCs w:val="21"/>
                <w:lang w:eastAsia="zh-CN"/>
              </w:rPr>
              <w:t>；</w:t>
            </w:r>
          </w:p>
        </w:tc>
      </w:tr>
      <w:tr w14:paraId="23C9B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542B53CA">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pacing w:val="-4"/>
                <w:sz w:val="21"/>
                <w:szCs w:val="21"/>
              </w:rPr>
              <w:t>市电电池转换时间</w:t>
            </w:r>
          </w:p>
        </w:tc>
        <w:tc>
          <w:tcPr>
            <w:tcW w:w="7013" w:type="dxa"/>
            <w:tcMar>
              <w:top w:w="0" w:type="dxa"/>
              <w:left w:w="108" w:type="dxa"/>
              <w:bottom w:w="0" w:type="dxa"/>
              <w:right w:w="108" w:type="dxa"/>
            </w:tcMar>
            <w:vAlign w:val="center"/>
          </w:tcPr>
          <w:p w14:paraId="44A96BA8">
            <w:pPr>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pacing w:val="-5"/>
                <w:sz w:val="21"/>
                <w:szCs w:val="21"/>
              </w:rPr>
              <w:t xml:space="preserve">输入电压为额定值、输出为 </w:t>
            </w:r>
            <w:r>
              <w:rPr>
                <w:rFonts w:hint="eastAsia" w:asciiTheme="minorEastAsia" w:hAnsiTheme="minorEastAsia" w:eastAsiaTheme="minorEastAsia" w:cstheme="minorEastAsia"/>
                <w:sz w:val="21"/>
                <w:szCs w:val="21"/>
              </w:rPr>
              <w:t>50%额定阻性负载，</w:t>
            </w:r>
            <w:r>
              <w:rPr>
                <w:rFonts w:hint="eastAsia" w:asciiTheme="minorEastAsia" w:hAnsiTheme="minorEastAsia" w:eastAsiaTheme="minorEastAsia" w:cstheme="minorEastAsia"/>
                <w:spacing w:val="-3"/>
                <w:sz w:val="21"/>
                <w:szCs w:val="21"/>
              </w:rPr>
              <w:t xml:space="preserve">市电与电池供电相互转换时间应为 </w:t>
            </w:r>
            <w:r>
              <w:rPr>
                <w:rFonts w:hint="eastAsia" w:asciiTheme="minorEastAsia" w:hAnsiTheme="minorEastAsia" w:eastAsiaTheme="minorEastAsia" w:cstheme="minorEastAsia"/>
                <w:sz w:val="21"/>
                <w:szCs w:val="21"/>
              </w:rPr>
              <w:t>0ms</w:t>
            </w:r>
            <w:r>
              <w:rPr>
                <w:rFonts w:hint="eastAsia" w:asciiTheme="minorEastAsia" w:hAnsiTheme="minorEastAsia" w:eastAsiaTheme="minorEastAsia" w:cstheme="minorEastAsia"/>
                <w:sz w:val="21"/>
                <w:szCs w:val="21"/>
                <w:lang w:eastAsia="zh-CN"/>
              </w:rPr>
              <w:t>；</w:t>
            </w:r>
          </w:p>
        </w:tc>
      </w:tr>
      <w:tr w14:paraId="10B63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2280D32A">
            <w:pPr>
              <w:jc w:val="center"/>
              <w:rPr>
                <w:rFonts w:hint="eastAsia" w:asciiTheme="minorEastAsia" w:hAnsiTheme="minorEastAsia" w:eastAsiaTheme="minorEastAsia" w:cstheme="minorEastAsia"/>
                <w:b w:val="0"/>
                <w:bCs w:val="0"/>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spacing w:val="-4"/>
                <w:sz w:val="21"/>
                <w:szCs w:val="21"/>
                <w:lang w:val="en-US" w:eastAsia="zh-CN"/>
              </w:rPr>
              <w:t>UPS主机基本要求</w:t>
            </w:r>
          </w:p>
        </w:tc>
        <w:tc>
          <w:tcPr>
            <w:tcW w:w="7013" w:type="dxa"/>
            <w:tcMar>
              <w:top w:w="0" w:type="dxa"/>
              <w:left w:w="108" w:type="dxa"/>
              <w:bottom w:w="0" w:type="dxa"/>
              <w:right w:w="108" w:type="dxa"/>
            </w:tcMar>
            <w:vAlign w:val="center"/>
          </w:tcPr>
          <w:p w14:paraId="4D45CF89">
            <w:pPr>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工频机4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0KVA三相输入、三相输出</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tc>
      </w:tr>
      <w:tr w14:paraId="0E8EF9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7A71FF7E">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输入电压范围</w:t>
            </w:r>
          </w:p>
        </w:tc>
        <w:tc>
          <w:tcPr>
            <w:tcW w:w="7013" w:type="dxa"/>
            <w:tcMar>
              <w:top w:w="0" w:type="dxa"/>
              <w:left w:w="108" w:type="dxa"/>
              <w:bottom w:w="0" w:type="dxa"/>
              <w:right w:w="108" w:type="dxa"/>
            </w:tcMar>
            <w:vAlign w:val="center"/>
          </w:tcPr>
          <w:p w14:paraId="771702A4">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范围 (</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304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V~</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456</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V )，适应恶劣电网环境，适应各种燃油发电机接入</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tc>
      </w:tr>
      <w:tr w14:paraId="28FA6C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701361B4">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保护与告警功能</w:t>
            </w:r>
          </w:p>
        </w:tc>
        <w:tc>
          <w:tcPr>
            <w:tcW w:w="7013" w:type="dxa"/>
            <w:tcMar>
              <w:top w:w="0" w:type="dxa"/>
              <w:left w:w="108" w:type="dxa"/>
              <w:bottom w:w="0" w:type="dxa"/>
              <w:right w:w="108" w:type="dxa"/>
            </w:tcMar>
            <w:vAlign w:val="center"/>
          </w:tcPr>
          <w:p w14:paraId="5911E415">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短路、过载、电池电压低、输出过欠压保护、风扇故障告警；</w:t>
            </w:r>
          </w:p>
        </w:tc>
      </w:tr>
      <w:tr w14:paraId="382E58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153585C8">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pacing w:val="-4"/>
                <w:sz w:val="21"/>
                <w:szCs w:val="21"/>
              </w:rPr>
              <w:t>输出稳压精度</w:t>
            </w:r>
          </w:p>
        </w:tc>
        <w:tc>
          <w:tcPr>
            <w:tcW w:w="7013" w:type="dxa"/>
            <w:tcMar>
              <w:top w:w="0" w:type="dxa"/>
              <w:left w:w="108" w:type="dxa"/>
              <w:bottom w:w="0" w:type="dxa"/>
              <w:right w:w="108" w:type="dxa"/>
            </w:tcMar>
            <w:vAlign w:val="center"/>
          </w:tcPr>
          <w:p w14:paraId="6D8641E5">
            <w:pPr>
              <w:pStyle w:val="26"/>
              <w:spacing w:before="53"/>
              <w:ind w:left="35"/>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pacing w:val="-4"/>
                <w:sz w:val="21"/>
                <w:szCs w:val="21"/>
              </w:rPr>
              <w:t xml:space="preserve">输出为空载和额定阻性负载，调节输入电压为 </w:t>
            </w:r>
            <w:r>
              <w:rPr>
                <w:rFonts w:hint="eastAsia" w:asciiTheme="minorEastAsia" w:hAnsiTheme="minorEastAsia" w:eastAsiaTheme="minorEastAsia" w:cstheme="minorEastAsia"/>
                <w:spacing w:val="-5"/>
                <w:sz w:val="21"/>
                <w:szCs w:val="21"/>
              </w:rPr>
              <w:t>UPS</w:t>
            </w:r>
            <w:r>
              <w:rPr>
                <w:rFonts w:hint="eastAsia" w:asciiTheme="minorEastAsia" w:hAnsiTheme="minorEastAsia" w:eastAsiaTheme="minorEastAsia" w:cstheme="minorEastAsia"/>
                <w:spacing w:val="-3"/>
                <w:sz w:val="21"/>
                <w:szCs w:val="21"/>
              </w:rPr>
              <w:t>上、下限值时，其稳压精度应为</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2"/>
                <w:sz w:val="21"/>
                <w:szCs w:val="21"/>
              </w:rPr>
              <w:t>|S|≤1%</w:t>
            </w:r>
            <w:r>
              <w:rPr>
                <w:rFonts w:hint="eastAsia" w:asciiTheme="minorEastAsia" w:hAnsiTheme="minorEastAsia" w:eastAsiaTheme="minorEastAsia" w:cstheme="minorEastAsia"/>
                <w:spacing w:val="-2"/>
                <w:sz w:val="21"/>
                <w:szCs w:val="21"/>
                <w:lang w:eastAsia="zh-CN"/>
              </w:rPr>
              <w:t>；</w:t>
            </w:r>
          </w:p>
        </w:tc>
      </w:tr>
      <w:tr w14:paraId="43B00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266415E5">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输出频率</w:t>
            </w:r>
          </w:p>
        </w:tc>
        <w:tc>
          <w:tcPr>
            <w:tcW w:w="7013" w:type="dxa"/>
            <w:tcMar>
              <w:top w:w="0" w:type="dxa"/>
              <w:left w:w="108" w:type="dxa"/>
              <w:bottom w:w="0" w:type="dxa"/>
              <w:right w:w="108" w:type="dxa"/>
            </w:tcMar>
            <w:vAlign w:val="center"/>
          </w:tcPr>
          <w:p w14:paraId="520329EE">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pacing w:val="-2"/>
                <w:sz w:val="21"/>
                <w:szCs w:val="21"/>
              </w:rPr>
              <w:t>在电池逆变工作状态下，输出为额定阻性负载，输出频率应不宽于（50±0.5）Hz</w:t>
            </w:r>
            <w:r>
              <w:rPr>
                <w:rFonts w:hint="eastAsia" w:asciiTheme="minorEastAsia" w:hAnsiTheme="minorEastAsia" w:eastAsiaTheme="minorEastAsia" w:cstheme="minorEastAsia"/>
                <w:spacing w:val="-2"/>
                <w:sz w:val="21"/>
                <w:szCs w:val="21"/>
                <w:lang w:eastAsia="zh-CN"/>
              </w:rPr>
              <w:t>；</w:t>
            </w:r>
          </w:p>
        </w:tc>
      </w:tr>
      <w:tr w14:paraId="07B091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7E3CF0EB">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pacing w:val="-4"/>
                <w:sz w:val="21"/>
                <w:szCs w:val="21"/>
              </w:rPr>
              <w:t>输入电流谐波成份</w:t>
            </w:r>
          </w:p>
        </w:tc>
        <w:tc>
          <w:tcPr>
            <w:tcW w:w="7013" w:type="dxa"/>
            <w:tcMar>
              <w:top w:w="0" w:type="dxa"/>
              <w:left w:w="108" w:type="dxa"/>
              <w:bottom w:w="0" w:type="dxa"/>
              <w:right w:w="108" w:type="dxa"/>
            </w:tcMar>
            <w:vAlign w:val="center"/>
          </w:tcPr>
          <w:p w14:paraId="14D87090">
            <w:pPr>
              <w:pStyle w:val="26"/>
              <w:spacing w:before="68" w:line="278" w:lineRule="auto"/>
              <w:ind w:left="35" w:right="83"/>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pacing w:val="-2"/>
                <w:sz w:val="21"/>
                <w:szCs w:val="21"/>
              </w:rPr>
              <w:t>输入电压与频率为额定值，输出为额定非线性负载</w:t>
            </w:r>
            <w:r>
              <w:rPr>
                <w:rFonts w:hint="eastAsia" w:asciiTheme="minorEastAsia" w:hAnsiTheme="minorEastAsia" w:eastAsiaTheme="minorEastAsia" w:cstheme="minorEastAsia"/>
                <w:sz w:val="21"/>
                <w:szCs w:val="21"/>
              </w:rPr>
              <w:t>时，2～39 次总谐波成份：</w:t>
            </w:r>
            <w:r>
              <w:rPr>
                <w:rFonts w:hint="eastAsia" w:asciiTheme="minorEastAsia" w:hAnsiTheme="minorEastAsia" w:eastAsiaTheme="minorEastAsia" w:cstheme="minorEastAsia"/>
                <w:spacing w:val="-2"/>
                <w:sz w:val="21"/>
                <w:szCs w:val="21"/>
              </w:rPr>
              <w:t>100%非线性负载：＜5% 50%非线性负载：＜8%</w:t>
            </w:r>
            <w:r>
              <w:rPr>
                <w:rFonts w:hint="eastAsia" w:asciiTheme="minorEastAsia" w:hAnsiTheme="minorEastAsia" w:eastAsiaTheme="minorEastAsia" w:cstheme="minorEastAsia"/>
                <w:spacing w:val="-2"/>
                <w:sz w:val="21"/>
                <w:szCs w:val="21"/>
                <w:lang w:eastAsia="zh-CN"/>
              </w:rPr>
              <w:t>；</w:t>
            </w:r>
            <w:r>
              <w:rPr>
                <w:rFonts w:hint="eastAsia" w:asciiTheme="minorEastAsia" w:hAnsiTheme="minorEastAsia" w:eastAsiaTheme="minorEastAsia" w:cstheme="minorEastAsia"/>
                <w:spacing w:val="-2"/>
                <w:sz w:val="21"/>
                <w:szCs w:val="21"/>
              </w:rPr>
              <w:t>30%</w:t>
            </w:r>
            <w:r>
              <w:rPr>
                <w:rFonts w:hint="eastAsia" w:asciiTheme="minorEastAsia" w:hAnsiTheme="minorEastAsia" w:eastAsiaTheme="minorEastAsia" w:cstheme="minorEastAsia"/>
                <w:spacing w:val="-4"/>
                <w:sz w:val="21"/>
                <w:szCs w:val="21"/>
              </w:rPr>
              <w:t>非线性负载：＜11%</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100%非线性负载：＜8% 50%</w:t>
            </w:r>
            <w:r>
              <w:rPr>
                <w:rFonts w:hint="eastAsia" w:asciiTheme="minorEastAsia" w:hAnsiTheme="minorEastAsia" w:eastAsiaTheme="minorEastAsia" w:cstheme="minorEastAsia"/>
                <w:spacing w:val="-4"/>
                <w:sz w:val="21"/>
                <w:szCs w:val="21"/>
              </w:rPr>
              <w:t>非线性负载：15%</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30%</w:t>
            </w:r>
            <w:r>
              <w:rPr>
                <w:rFonts w:hint="eastAsia" w:asciiTheme="minorEastAsia" w:hAnsiTheme="minorEastAsia" w:eastAsiaTheme="minorEastAsia" w:cstheme="minorEastAsia"/>
                <w:spacing w:val="-4"/>
                <w:sz w:val="21"/>
                <w:szCs w:val="21"/>
              </w:rPr>
              <w:t>非线性负载：＜22%</w:t>
            </w:r>
            <w:r>
              <w:rPr>
                <w:rFonts w:hint="eastAsia" w:asciiTheme="minorEastAsia" w:hAnsiTheme="minorEastAsia" w:eastAsiaTheme="minorEastAsia" w:cstheme="minorEastAsia"/>
                <w:spacing w:val="-4"/>
                <w:sz w:val="21"/>
                <w:szCs w:val="21"/>
                <w:lang w:eastAsia="zh-CN"/>
              </w:rPr>
              <w:t>；</w:t>
            </w:r>
          </w:p>
        </w:tc>
      </w:tr>
      <w:tr w14:paraId="6E7C1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668D77D5">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过载能力</w:t>
            </w:r>
          </w:p>
        </w:tc>
        <w:tc>
          <w:tcPr>
            <w:tcW w:w="7013" w:type="dxa"/>
            <w:tcMar>
              <w:top w:w="0" w:type="dxa"/>
              <w:left w:w="108" w:type="dxa"/>
              <w:bottom w:w="0" w:type="dxa"/>
              <w:right w:w="108" w:type="dxa"/>
            </w:tcMar>
            <w:vAlign w:val="center"/>
          </w:tcPr>
          <w:p w14:paraId="0FCA5918">
            <w:pPr>
              <w:pStyle w:val="26"/>
              <w:spacing w:before="169" w:line="278" w:lineRule="auto"/>
              <w:ind w:left="35" w:right="1"/>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pacing w:val="-6"/>
                <w:sz w:val="21"/>
                <w:szCs w:val="21"/>
              </w:rPr>
              <w:t>输入电压为额定值，输出为阻性负载，调节输出</w:t>
            </w:r>
            <w:r>
              <w:rPr>
                <w:rFonts w:hint="eastAsia" w:asciiTheme="minorEastAsia" w:hAnsiTheme="minorEastAsia" w:eastAsiaTheme="minorEastAsia" w:cstheme="minorEastAsia"/>
                <w:spacing w:val="-4"/>
                <w:sz w:val="21"/>
                <w:szCs w:val="21"/>
              </w:rPr>
              <w:t xml:space="preserve">电流，使输出功率为额定值的 </w:t>
            </w:r>
            <w:r>
              <w:rPr>
                <w:rFonts w:hint="eastAsia" w:asciiTheme="minorEastAsia" w:hAnsiTheme="minorEastAsia" w:eastAsiaTheme="minorEastAsia" w:cstheme="minorEastAsia"/>
                <w:spacing w:val="-2"/>
                <w:sz w:val="21"/>
                <w:szCs w:val="21"/>
              </w:rPr>
              <w:t>125%时，机器正常工作时间应≥30s</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p>
        </w:tc>
      </w:tr>
      <w:tr w14:paraId="77E84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62DB710F">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pacing w:val="-4"/>
                <w:sz w:val="21"/>
                <w:szCs w:val="21"/>
              </w:rPr>
              <w:t>市电电池转换时间</w:t>
            </w:r>
          </w:p>
        </w:tc>
        <w:tc>
          <w:tcPr>
            <w:tcW w:w="7013" w:type="dxa"/>
            <w:tcMar>
              <w:top w:w="0" w:type="dxa"/>
              <w:left w:w="108" w:type="dxa"/>
              <w:bottom w:w="0" w:type="dxa"/>
              <w:right w:w="108" w:type="dxa"/>
            </w:tcMar>
            <w:vAlign w:val="center"/>
          </w:tcPr>
          <w:p w14:paraId="7380BD8D">
            <w:pPr>
              <w:pStyle w:val="31"/>
              <w:spacing w:line="360" w:lineRule="auto"/>
              <w:ind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z w:val="21"/>
                <w:szCs w:val="21"/>
              </w:rPr>
              <w:t>输入电压为额定值、输出为 50%额定阻性负</w:t>
            </w:r>
            <w:r>
              <w:rPr>
                <w:rFonts w:hint="eastAsia" w:asciiTheme="minorEastAsia" w:hAnsiTheme="minorEastAsia" w:eastAsiaTheme="minorEastAsia" w:cstheme="minorEastAsia"/>
                <w:spacing w:val="-5"/>
                <w:sz w:val="21"/>
                <w:szCs w:val="21"/>
              </w:rPr>
              <w:t>载，市电与电池供电相互转换时间应为</w:t>
            </w:r>
            <w:r>
              <w:rPr>
                <w:rFonts w:hint="eastAsia" w:asciiTheme="minorEastAsia" w:hAnsiTheme="minorEastAsia" w:eastAsiaTheme="minorEastAsia" w:cstheme="minorEastAsia"/>
                <w:spacing w:val="-2"/>
                <w:sz w:val="21"/>
                <w:szCs w:val="21"/>
              </w:rPr>
              <w:t>0ms</w:t>
            </w:r>
            <w:r>
              <w:rPr>
                <w:rFonts w:hint="eastAsia" w:asciiTheme="minorEastAsia" w:hAnsiTheme="minorEastAsia" w:eastAsiaTheme="minorEastAsia" w:cstheme="minorEastAsia"/>
                <w:spacing w:val="-2"/>
                <w:sz w:val="21"/>
                <w:szCs w:val="21"/>
                <w:lang w:eastAsia="zh-CN"/>
              </w:rPr>
              <w:t>；</w:t>
            </w:r>
          </w:p>
        </w:tc>
      </w:tr>
      <w:tr w14:paraId="6E4BD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773" w:type="dxa"/>
            <w:vAlign w:val="center"/>
          </w:tcPr>
          <w:p w14:paraId="530928A5">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UPS主机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认证相关</w:t>
            </w:r>
          </w:p>
        </w:tc>
        <w:tc>
          <w:tcPr>
            <w:tcW w:w="7013" w:type="dxa"/>
            <w:tcMar>
              <w:top w:w="0" w:type="dxa"/>
              <w:left w:w="108" w:type="dxa"/>
              <w:bottom w:w="0" w:type="dxa"/>
              <w:right w:w="108" w:type="dxa"/>
            </w:tcMar>
            <w:vAlign w:val="center"/>
          </w:tcPr>
          <w:p w14:paraId="1E179E01">
            <w:pPr>
              <w:pStyle w:val="31"/>
              <w:spacing w:line="360" w:lineRule="auto"/>
              <w:ind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UPS电源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制造商的完整的管理体系认证：ISO9001质量管理体系认证，ISO14001环境管理体系认证，ISO45001职业健康安全管理体系认证，上述认证需提供有效期内证件复印件并加盖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UPS主机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制造商公章；</w:t>
            </w:r>
          </w:p>
          <w:p w14:paraId="686C809C">
            <w:pPr>
              <w:pStyle w:val="31"/>
              <w:spacing w:line="360" w:lineRule="auto"/>
              <w:ind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2）提供</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主机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产品泰尔检测报告复印件。</w:t>
            </w:r>
          </w:p>
        </w:tc>
      </w:tr>
    </w:tbl>
    <w:p w14:paraId="2C557B35">
      <w:pPr>
        <w:pStyle w:val="23"/>
        <w:numPr>
          <w:ilvl w:val="0"/>
          <w:numId w:val="0"/>
        </w:numPr>
        <w:rPr>
          <w:rFonts w:hint="eastAsia" w:asciiTheme="minorEastAsia" w:hAnsiTheme="minorEastAsia" w:eastAsiaTheme="minorEastAsia" w:cstheme="minorEastAsia"/>
          <w:color w:val="000000" w:themeColor="text1"/>
          <w:sz w:val="21"/>
          <w:szCs w:val="21"/>
          <w14:textFill>
            <w14:solidFill>
              <w14:schemeClr w14:val="tx1"/>
            </w14:solidFill>
          </w14:textFill>
        </w:rPr>
      </w:pPr>
    </w:p>
    <w:tbl>
      <w:tblPr>
        <w:tblStyle w:val="17"/>
        <w:tblW w:w="9786" w:type="dxa"/>
        <w:tblInd w:w="9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2417"/>
        <w:gridCol w:w="7369"/>
      </w:tblGrid>
      <w:tr w14:paraId="5D40C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417" w:type="dxa"/>
            <w:tcMar>
              <w:top w:w="0" w:type="dxa"/>
              <w:left w:w="108" w:type="dxa"/>
              <w:bottom w:w="0" w:type="dxa"/>
              <w:right w:w="108" w:type="dxa"/>
            </w:tcMar>
            <w:vAlign w:val="center"/>
          </w:tcPr>
          <w:p w14:paraId="6DAEAEA9">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548235" w:themeColor="accent6" w:themeShade="BF"/>
                <w:sz w:val="21"/>
                <w:szCs w:val="21"/>
                <w:highlight w:val="none"/>
                <w:lang w:val="en-US" w:eastAsia="zh-CN"/>
              </w:rPr>
              <w:t>蓄电池基本</w:t>
            </w:r>
            <w:r>
              <w:rPr>
                <w:rFonts w:hint="eastAsia" w:asciiTheme="minorEastAsia" w:hAnsiTheme="minorEastAsia" w:eastAsiaTheme="minorEastAsia" w:cstheme="minorEastAsia"/>
                <w:color w:val="548235" w:themeColor="accent6" w:themeShade="BF"/>
                <w:sz w:val="21"/>
                <w:szCs w:val="21"/>
                <w:highlight w:val="none"/>
              </w:rPr>
              <w:t>要求</w:t>
            </w:r>
          </w:p>
        </w:tc>
        <w:tc>
          <w:tcPr>
            <w:tcW w:w="7369" w:type="dxa"/>
            <w:tcMar>
              <w:top w:w="0" w:type="dxa"/>
              <w:left w:w="108" w:type="dxa"/>
              <w:bottom w:w="0" w:type="dxa"/>
              <w:right w:w="108" w:type="dxa"/>
            </w:tcMar>
            <w:vAlign w:val="center"/>
          </w:tcPr>
          <w:p w14:paraId="46F1A48C">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蓄电池 12V100AH</w:t>
            </w:r>
          </w:p>
        </w:tc>
      </w:tr>
      <w:tr w14:paraId="063D4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417" w:type="dxa"/>
            <w:tcMar>
              <w:top w:w="0" w:type="dxa"/>
              <w:left w:w="108" w:type="dxa"/>
              <w:bottom w:w="0" w:type="dxa"/>
              <w:right w:w="108" w:type="dxa"/>
            </w:tcMar>
            <w:vAlign w:val="center"/>
          </w:tcPr>
          <w:p w14:paraId="5D7F368F">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容量要求</w:t>
            </w:r>
          </w:p>
        </w:tc>
        <w:tc>
          <w:tcPr>
            <w:tcW w:w="7369" w:type="dxa"/>
            <w:tcMar>
              <w:top w:w="0" w:type="dxa"/>
              <w:left w:w="108" w:type="dxa"/>
              <w:bottom w:w="0" w:type="dxa"/>
              <w:right w:w="108" w:type="dxa"/>
            </w:tcMar>
            <w:vAlign w:val="center"/>
          </w:tcPr>
          <w:p w14:paraId="0DE55D27">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放电，100AH（终止电压10.8V，25℃）；按照C10放电率验证蓄电池容量；</w:t>
            </w:r>
          </w:p>
        </w:tc>
      </w:tr>
      <w:tr w14:paraId="4CB447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417" w:type="dxa"/>
            <w:tcMar>
              <w:top w:w="0" w:type="dxa"/>
              <w:left w:w="108" w:type="dxa"/>
              <w:bottom w:w="0" w:type="dxa"/>
              <w:right w:w="108" w:type="dxa"/>
            </w:tcMar>
            <w:vAlign w:val="center"/>
          </w:tcPr>
          <w:p w14:paraId="1460847B">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电池设计寿命</w:t>
            </w:r>
          </w:p>
        </w:tc>
        <w:tc>
          <w:tcPr>
            <w:tcW w:w="7369" w:type="dxa"/>
            <w:tcMar>
              <w:top w:w="0" w:type="dxa"/>
              <w:left w:w="108" w:type="dxa"/>
              <w:bottom w:w="0" w:type="dxa"/>
              <w:right w:w="108" w:type="dxa"/>
            </w:tcMar>
            <w:vAlign w:val="center"/>
          </w:tcPr>
          <w:p w14:paraId="2C903C75">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浮充状态条件下环境工作温度25℃时，不低于10年</w:t>
            </w:r>
          </w:p>
        </w:tc>
      </w:tr>
      <w:tr w14:paraId="66B49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417" w:type="dxa"/>
            <w:tcMar>
              <w:top w:w="0" w:type="dxa"/>
              <w:left w:w="108" w:type="dxa"/>
              <w:bottom w:w="0" w:type="dxa"/>
              <w:right w:w="108" w:type="dxa"/>
            </w:tcMar>
            <w:vAlign w:val="center"/>
          </w:tcPr>
          <w:p w14:paraId="3EFA9976">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安全阀</w:t>
            </w:r>
          </w:p>
        </w:tc>
        <w:tc>
          <w:tcPr>
            <w:tcW w:w="7369" w:type="dxa"/>
            <w:tcMar>
              <w:top w:w="0" w:type="dxa"/>
              <w:left w:w="108" w:type="dxa"/>
              <w:bottom w:w="0" w:type="dxa"/>
              <w:right w:w="108" w:type="dxa"/>
            </w:tcMar>
            <w:vAlign w:val="center"/>
          </w:tcPr>
          <w:p w14:paraId="4CF76D69">
            <w:pPr>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应在1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kPa-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kPa的范围内可靠的开启和关闭</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提供相关证明；</w:t>
            </w:r>
          </w:p>
        </w:tc>
      </w:tr>
      <w:tr w14:paraId="636B2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9" w:hRule="atLeast"/>
        </w:trPr>
        <w:tc>
          <w:tcPr>
            <w:tcW w:w="2417" w:type="dxa"/>
            <w:tcMar>
              <w:top w:w="0" w:type="dxa"/>
              <w:left w:w="108" w:type="dxa"/>
              <w:bottom w:w="0" w:type="dxa"/>
              <w:right w:w="108" w:type="dxa"/>
            </w:tcMar>
            <w:vAlign w:val="center"/>
          </w:tcPr>
          <w:p w14:paraId="668081D6">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内阻标准</w:t>
            </w:r>
          </w:p>
        </w:tc>
        <w:tc>
          <w:tcPr>
            <w:tcW w:w="7369" w:type="dxa"/>
            <w:tcMar>
              <w:top w:w="0" w:type="dxa"/>
              <w:left w:w="108" w:type="dxa"/>
              <w:bottom w:w="0" w:type="dxa"/>
              <w:right w:w="108" w:type="dxa"/>
            </w:tcMar>
            <w:vAlign w:val="center"/>
          </w:tcPr>
          <w:p w14:paraId="66D402D7">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≤5.5毫欧</w:t>
            </w:r>
          </w:p>
        </w:tc>
      </w:tr>
      <w:tr w14:paraId="37C9E7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417" w:type="dxa"/>
            <w:tcMar>
              <w:top w:w="0" w:type="dxa"/>
              <w:left w:w="108" w:type="dxa"/>
              <w:bottom w:w="0" w:type="dxa"/>
              <w:right w:w="108" w:type="dxa"/>
            </w:tcMar>
            <w:vAlign w:val="center"/>
          </w:tcPr>
          <w:p w14:paraId="1AFA7A97">
            <w:pPr>
              <w:spacing w:line="48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阻燃性能</w:t>
            </w:r>
          </w:p>
        </w:tc>
        <w:tc>
          <w:tcPr>
            <w:tcW w:w="7369" w:type="dxa"/>
            <w:tcMar>
              <w:top w:w="0" w:type="dxa"/>
              <w:left w:w="108" w:type="dxa"/>
              <w:bottom w:w="0" w:type="dxa"/>
              <w:right w:w="108" w:type="dxa"/>
            </w:tcMar>
            <w:vAlign w:val="center"/>
          </w:tcPr>
          <w:p w14:paraId="23E53638">
            <w:pPr>
              <w:pStyle w:val="26"/>
              <w:spacing w:before="86" w:line="242" w:lineRule="auto"/>
              <w:ind w:right="29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蓄电池壳、盖、安全 阀、连接条保护罩等应符合</w:t>
            </w:r>
            <w:r>
              <w:rPr>
                <w:rFonts w:hint="eastAsia" w:asciiTheme="minorEastAsia" w:hAnsiTheme="minorEastAsia" w:eastAsiaTheme="minorEastAsia" w:cstheme="minorEastAsia"/>
                <w:sz w:val="21"/>
                <w:szCs w:val="21"/>
              </w:rPr>
              <w:t>GB/T 2408-2021中的第</w:t>
            </w:r>
            <w:r>
              <w:rPr>
                <w:rFonts w:hint="eastAsia" w:asciiTheme="minorEastAsia" w:hAnsiTheme="minorEastAsia" w:eastAsiaTheme="minorEastAsia" w:cstheme="minorEastAsia"/>
                <w:spacing w:val="-2"/>
                <w:sz w:val="21"/>
                <w:szCs w:val="21"/>
              </w:rPr>
              <w:t>8.4.2</w:t>
            </w:r>
          </w:p>
          <w:p w14:paraId="3735D41E">
            <w:pPr>
              <w:spacing w:line="480" w:lineRule="exact"/>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pacing w:val="-2"/>
                <w:sz w:val="21"/>
                <w:szCs w:val="21"/>
              </w:rPr>
              <w:t>条HB(水平级)和第9.4条V-0 (垂直级)的要求</w:t>
            </w:r>
            <w:r>
              <w:rPr>
                <w:rFonts w:hint="eastAsia" w:asciiTheme="minorEastAsia" w:hAnsiTheme="minorEastAsia" w:eastAsiaTheme="minorEastAsia" w:cstheme="minorEastAsia"/>
                <w:spacing w:val="-2"/>
                <w:sz w:val="21"/>
                <w:szCs w:val="21"/>
                <w:lang w:eastAsia="zh-CN"/>
              </w:rPr>
              <w:t>；</w:t>
            </w:r>
          </w:p>
        </w:tc>
      </w:tr>
      <w:tr w14:paraId="7F5F1F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3" w:hRule="atLeast"/>
        </w:trPr>
        <w:tc>
          <w:tcPr>
            <w:tcW w:w="2417" w:type="dxa"/>
            <w:tcMar>
              <w:top w:w="0" w:type="dxa"/>
              <w:left w:w="108" w:type="dxa"/>
              <w:bottom w:w="0" w:type="dxa"/>
              <w:right w:w="108" w:type="dxa"/>
            </w:tcMar>
            <w:vAlign w:val="center"/>
          </w:tcPr>
          <w:p w14:paraId="00539074">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设计重量</w:t>
            </w:r>
          </w:p>
        </w:tc>
        <w:tc>
          <w:tcPr>
            <w:tcW w:w="7369" w:type="dxa"/>
            <w:tcMar>
              <w:top w:w="0" w:type="dxa"/>
              <w:left w:w="108" w:type="dxa"/>
              <w:bottom w:w="0" w:type="dxa"/>
              <w:right w:w="108" w:type="dxa"/>
            </w:tcMar>
            <w:vAlign w:val="center"/>
          </w:tcPr>
          <w:p w14:paraId="76B04027">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单只电池重量不小于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kg</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0C5058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1" w:hRule="atLeast"/>
        </w:trPr>
        <w:tc>
          <w:tcPr>
            <w:tcW w:w="2417" w:type="dxa"/>
            <w:tcMar>
              <w:top w:w="0" w:type="dxa"/>
              <w:left w:w="108" w:type="dxa"/>
              <w:bottom w:w="0" w:type="dxa"/>
              <w:right w:w="108" w:type="dxa"/>
            </w:tcMar>
            <w:vAlign w:val="center"/>
          </w:tcPr>
          <w:p w14:paraId="2944D43F">
            <w:pPr>
              <w:ind w:firstLine="630" w:firstLineChars="3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过度放电</w:t>
            </w:r>
          </w:p>
        </w:tc>
        <w:tc>
          <w:tcPr>
            <w:tcW w:w="7369" w:type="dxa"/>
            <w:tcMar>
              <w:top w:w="0" w:type="dxa"/>
              <w:left w:w="108" w:type="dxa"/>
              <w:bottom w:w="0" w:type="dxa"/>
              <w:right w:w="108" w:type="dxa"/>
            </w:tcMar>
            <w:vAlign w:val="center"/>
          </w:tcPr>
          <w:p w14:paraId="66D38F9D">
            <w:pPr>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pacing w:val="-2"/>
                <w:sz w:val="21"/>
                <w:szCs w:val="21"/>
              </w:rPr>
              <w:t>容量恢复值应≥ 90%Cₑ</w:t>
            </w:r>
            <w:r>
              <w:rPr>
                <w:rFonts w:hint="eastAsia" w:asciiTheme="minorEastAsia" w:hAnsiTheme="minorEastAsia" w:eastAsiaTheme="minorEastAsia" w:cstheme="minorEastAsia"/>
                <w:spacing w:val="-2"/>
                <w:sz w:val="21"/>
                <w:szCs w:val="21"/>
                <w:lang w:eastAsia="zh-CN"/>
              </w:rPr>
              <w:t>；</w:t>
            </w:r>
          </w:p>
        </w:tc>
      </w:tr>
      <w:tr w14:paraId="0B6F7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417" w:type="dxa"/>
            <w:tcMar>
              <w:top w:w="0" w:type="dxa"/>
              <w:left w:w="108" w:type="dxa"/>
              <w:bottom w:w="0" w:type="dxa"/>
              <w:right w:w="108" w:type="dxa"/>
            </w:tcMar>
            <w:vAlign w:val="center"/>
          </w:tcPr>
          <w:p w14:paraId="04B9FE57">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品质要求</w:t>
            </w:r>
          </w:p>
        </w:tc>
        <w:tc>
          <w:tcPr>
            <w:tcW w:w="7369" w:type="dxa"/>
            <w:tcMar>
              <w:top w:w="0" w:type="dxa"/>
              <w:left w:w="108" w:type="dxa"/>
              <w:bottom w:w="0" w:type="dxa"/>
              <w:right w:w="108" w:type="dxa"/>
            </w:tcMar>
            <w:vAlign w:val="center"/>
          </w:tcPr>
          <w:p w14:paraId="5133E2E2">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原装全新产品，要求为同一批次生产，生产日期不得为超出3个月的库存产品，电池现场检测通过率100%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77AA55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417" w:type="dxa"/>
            <w:tcMar>
              <w:top w:w="0" w:type="dxa"/>
              <w:left w:w="108" w:type="dxa"/>
              <w:bottom w:w="0" w:type="dxa"/>
              <w:right w:w="108" w:type="dxa"/>
            </w:tcMar>
            <w:vAlign w:val="center"/>
          </w:tcPr>
          <w:p w14:paraId="217BC2C6">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容量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一致性要求</w:t>
            </w:r>
          </w:p>
        </w:tc>
        <w:tc>
          <w:tcPr>
            <w:tcW w:w="7369" w:type="dxa"/>
            <w:tcMar>
              <w:top w:w="0" w:type="dxa"/>
              <w:left w:w="108" w:type="dxa"/>
              <w:bottom w:w="0" w:type="dxa"/>
              <w:right w:w="108" w:type="dxa"/>
            </w:tcMar>
            <w:vAlign w:val="center"/>
          </w:tcPr>
          <w:p w14:paraId="61FC023A">
            <w:pPr>
              <w:pStyle w:val="26"/>
              <w:spacing w:before="86" w:line="242" w:lineRule="auto"/>
              <w:ind w:right="180"/>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pacing w:val="-2"/>
                <w:sz w:val="21"/>
                <w:szCs w:val="21"/>
              </w:rPr>
              <w:t>同组蓄电池10h率容量试验时，最大实际容量与最小实际容量的差值与整组蓄电池的平均容量值之比应≤</w:t>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pacing w:val="-10"/>
                <w:sz w:val="21"/>
                <w:szCs w:val="21"/>
                <w:lang w:eastAsia="zh-CN"/>
              </w:rPr>
              <w:t>；</w:t>
            </w:r>
          </w:p>
        </w:tc>
      </w:tr>
      <w:tr w14:paraId="79B06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2417" w:type="dxa"/>
            <w:tcMar>
              <w:top w:w="0" w:type="dxa"/>
              <w:left w:w="108" w:type="dxa"/>
              <w:bottom w:w="0" w:type="dxa"/>
              <w:right w:w="108" w:type="dxa"/>
            </w:tcMar>
            <w:vAlign w:val="center"/>
          </w:tcPr>
          <w:p w14:paraId="73F3AF5D">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认证相关</w:t>
            </w:r>
          </w:p>
        </w:tc>
        <w:tc>
          <w:tcPr>
            <w:tcW w:w="7369" w:type="dxa"/>
            <w:tcMar>
              <w:top w:w="0" w:type="dxa"/>
              <w:left w:w="108" w:type="dxa"/>
              <w:bottom w:w="0" w:type="dxa"/>
              <w:right w:w="108" w:type="dxa"/>
            </w:tcMar>
            <w:vAlign w:val="center"/>
          </w:tcPr>
          <w:p w14:paraId="3DDEB720">
            <w:pPr>
              <w:pStyle w:val="31"/>
              <w:spacing w:line="360" w:lineRule="auto"/>
              <w:ind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1）提供电池制造商的完整的管理体系认证：ISO9001质量管理体系认证，ISO14001环境管理体系认证，ISO45001职业健康安全管理体系认证，上述认证需提供有效期内证件复印件并加盖电池制造商公章；</w:t>
            </w:r>
          </w:p>
          <w:p w14:paraId="08DA84CA">
            <w:pPr>
              <w:pStyle w:val="31"/>
              <w:spacing w:line="360" w:lineRule="auto"/>
              <w:ind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2）提供电池产品泰尔检测报告复印件并加盖电池制造商公章。</w:t>
            </w:r>
          </w:p>
        </w:tc>
      </w:tr>
    </w:tbl>
    <w:p w14:paraId="5C291095">
      <w:pPr>
        <w:pStyle w:val="10"/>
        <w:rPr>
          <w:rFonts w:hint="eastAsia"/>
          <w:sz w:val="24"/>
        </w:rPr>
      </w:pPr>
    </w:p>
    <w:p w14:paraId="3657567C">
      <w:pPr>
        <w:pStyle w:val="10"/>
        <w:rPr>
          <w:rFonts w:hint="default" w:eastAsia="宋体"/>
          <w:sz w:val="24"/>
          <w:lang w:val="en-US" w:eastAsia="zh-CN"/>
        </w:rPr>
        <w:sectPr>
          <w:pgSz w:w="11906" w:h="16838"/>
          <w:pgMar w:top="1361" w:right="1276" w:bottom="1361" w:left="1191" w:header="851" w:footer="992" w:gutter="0"/>
          <w:pgBorders>
            <w:top w:val="none" w:sz="0" w:space="0"/>
            <w:left w:val="none" w:sz="0" w:space="0"/>
            <w:bottom w:val="none" w:sz="0" w:space="0"/>
            <w:right w:val="none" w:sz="0" w:space="0"/>
          </w:pgBorders>
          <w:pgNumType w:start="1"/>
          <w:cols w:space="0" w:num="1"/>
          <w:rtlGutter w:val="0"/>
          <w:docGrid w:type="lines" w:linePitch="314" w:charSpace="0"/>
        </w:sectPr>
      </w:pPr>
      <w:r>
        <w:rPr>
          <w:rFonts w:hint="eastAsia"/>
          <w:sz w:val="24"/>
          <w:lang w:val="en-US" w:eastAsia="zh-CN"/>
        </w:rPr>
        <w:t>注：以上表内所附的品牌只作为建议项，可参考的部分参数</w:t>
      </w:r>
    </w:p>
    <w:p w14:paraId="7B436EA3">
      <w:pPr>
        <w:pStyle w:val="10"/>
        <w:rPr>
          <w:rFonts w:hint="eastAsia"/>
          <w:sz w:val="24"/>
        </w:rPr>
      </w:pPr>
    </w:p>
    <w:p w14:paraId="50E7A7E7">
      <w:pPr>
        <w:autoSpaceDE w:val="0"/>
        <w:autoSpaceDN w:val="0"/>
        <w:spacing w:line="500" w:lineRule="exact"/>
        <w:jc w:val="left"/>
        <w:rPr>
          <w:sz w:val="24"/>
        </w:rPr>
      </w:pPr>
      <w:r>
        <w:rPr>
          <w:rFonts w:hint="eastAsia"/>
          <w:sz w:val="24"/>
        </w:rPr>
        <w:t>二、商务要求</w:t>
      </w:r>
    </w:p>
    <w:p w14:paraId="71870511">
      <w:pPr>
        <w:autoSpaceDE w:val="0"/>
        <w:autoSpaceDN w:val="0"/>
        <w:spacing w:line="500" w:lineRule="exact"/>
        <w:rPr>
          <w:sz w:val="24"/>
        </w:rPr>
      </w:pPr>
      <w:r>
        <w:rPr>
          <w:rFonts w:hint="eastAsia"/>
          <w:sz w:val="24"/>
        </w:rPr>
        <w:t>1、供应商需根据第</w:t>
      </w:r>
      <w:r>
        <w:rPr>
          <w:rFonts w:hint="eastAsia"/>
          <w:sz w:val="24"/>
          <w:lang w:eastAsia="zh-CN"/>
        </w:rPr>
        <w:t>五</w:t>
      </w:r>
      <w:r>
        <w:rPr>
          <w:rFonts w:hint="eastAsia"/>
          <w:sz w:val="24"/>
        </w:rPr>
        <w:t>章响应文件格式附件二报价一览表和分项报价表中要求的格式和内容报价，否则按无效报价处理。本项目所有费用均包含在投标报价中，采购人不再另外支付任何费用。</w:t>
      </w:r>
    </w:p>
    <w:p w14:paraId="5D6D296C">
      <w:pPr>
        <w:autoSpaceDE w:val="0"/>
        <w:autoSpaceDN w:val="0"/>
        <w:spacing w:line="500" w:lineRule="exact"/>
        <w:rPr>
          <w:rFonts w:hint="eastAsia"/>
          <w:sz w:val="24"/>
          <w:lang w:val="en-US" w:eastAsia="zh-CN"/>
        </w:rPr>
      </w:pPr>
      <w:r>
        <w:rPr>
          <w:rFonts w:hint="eastAsia"/>
          <w:sz w:val="24"/>
        </w:rPr>
        <w:t>2、付款方式：</w:t>
      </w:r>
      <w:r>
        <w:rPr>
          <w:rFonts w:hint="eastAsia"/>
          <w:sz w:val="24"/>
          <w:lang w:val="en-US" w:eastAsia="zh-CN"/>
        </w:rPr>
        <w:t>无预付款，</w:t>
      </w:r>
      <w:r>
        <w:rPr>
          <w:rFonts w:hint="eastAsia"/>
          <w:sz w:val="24"/>
        </w:rPr>
        <w:t>供应商按要求将每批货物运到采购人指定地点，</w:t>
      </w:r>
      <w:r>
        <w:rPr>
          <w:rFonts w:hint="eastAsia"/>
          <w:sz w:val="24"/>
          <w:lang w:val="en-US" w:eastAsia="zh-CN"/>
        </w:rPr>
        <w:t>供货完成并验收合格后，</w:t>
      </w:r>
      <w:r>
        <w:rPr>
          <w:rFonts w:hint="eastAsia"/>
          <w:sz w:val="24"/>
        </w:rPr>
        <w:t>，供应商向采购人提供本次完成交货的货物的等额增值税专用发票和验收凭证后，采购人向供应商支付本次完成交货的货物价款的</w:t>
      </w:r>
      <w:r>
        <w:rPr>
          <w:rFonts w:hint="eastAsia"/>
          <w:sz w:val="24"/>
          <w:lang w:val="en-US" w:eastAsia="zh-CN"/>
        </w:rPr>
        <w:t>95%，余下5%结算留作质保金，质保期满，无质量问题，供应商开具质保金对应金额收据后，采购人向供应商支付剩余5%的结算价款（不计利息）。</w:t>
      </w:r>
    </w:p>
    <w:p w14:paraId="342AE983">
      <w:pPr>
        <w:autoSpaceDE w:val="0"/>
        <w:autoSpaceDN w:val="0"/>
        <w:spacing w:line="500" w:lineRule="exact"/>
        <w:rPr>
          <w:rFonts w:hint="default"/>
          <w:sz w:val="24"/>
          <w:lang w:val="en-US" w:eastAsia="zh-CN"/>
        </w:rPr>
      </w:pPr>
      <w:r>
        <w:rPr>
          <w:rFonts w:hint="eastAsia"/>
          <w:sz w:val="24"/>
          <w:lang w:val="en-US" w:eastAsia="zh-CN"/>
        </w:rPr>
        <w:t>3、报价要求：供应商的报价须包括履行本项目所必须的所有成本费用和投标人应承担的一切税费，包括但不仅限于办公、交通、人员、差旅、文件、工时费、材料费、运输费税费及防疫等其他管理费用，不受任何调价因素的影响，在整个履行合同期间有效。</w:t>
      </w:r>
    </w:p>
    <w:p w14:paraId="5123FA36">
      <w:pPr>
        <w:pStyle w:val="10"/>
        <w:rPr>
          <w:rFonts w:hint="default"/>
          <w:lang w:val="en-US" w:eastAsia="zh-CN"/>
        </w:rPr>
      </w:pPr>
    </w:p>
    <w:p w14:paraId="047CA9DF">
      <w:pPr>
        <w:pStyle w:val="25"/>
        <w:spacing w:line="360" w:lineRule="auto"/>
        <w:rPr>
          <w:rFonts w:ascii="宋体" w:hAnsi="宋体" w:cs="宋体"/>
          <w:sz w:val="24"/>
          <w:szCs w:val="24"/>
        </w:rPr>
      </w:pPr>
      <w:r>
        <w:rPr>
          <w:rFonts w:hint="eastAsia" w:ascii="宋体" w:hAnsi="宋体" w:cs="宋体"/>
          <w:sz w:val="24"/>
          <w:szCs w:val="24"/>
        </w:rPr>
        <w:t>三、湖北机场集团“供应商不良行为”管理暂行办法（试行）-节选</w:t>
      </w:r>
    </w:p>
    <w:p w14:paraId="06877B20">
      <w:pPr>
        <w:pStyle w:val="25"/>
        <w:spacing w:line="420" w:lineRule="exact"/>
        <w:ind w:firstLine="480" w:firstLineChars="200"/>
        <w:rPr>
          <w:sz w:val="24"/>
          <w:szCs w:val="24"/>
        </w:rPr>
      </w:pPr>
    </w:p>
    <w:p w14:paraId="572E4453">
      <w:pPr>
        <w:pStyle w:val="25"/>
        <w:spacing w:line="420" w:lineRule="exact"/>
        <w:ind w:firstLine="480" w:firstLineChars="200"/>
        <w:rPr>
          <w:sz w:val="24"/>
          <w:szCs w:val="24"/>
        </w:rPr>
      </w:pPr>
      <w:r>
        <w:rPr>
          <w:rFonts w:hint="eastAsia"/>
          <w:sz w:val="24"/>
          <w:szCs w:val="24"/>
        </w:rPr>
        <w:t>第一章 总则</w:t>
      </w:r>
    </w:p>
    <w:p w14:paraId="4615ED48">
      <w:pPr>
        <w:pStyle w:val="25"/>
        <w:spacing w:line="420" w:lineRule="exact"/>
        <w:ind w:firstLine="480" w:firstLineChars="200"/>
        <w:rPr>
          <w:sz w:val="24"/>
          <w:szCs w:val="24"/>
        </w:rPr>
      </w:pPr>
    </w:p>
    <w:p w14:paraId="2735B4D8">
      <w:pPr>
        <w:pStyle w:val="25"/>
        <w:spacing w:line="420" w:lineRule="exact"/>
        <w:ind w:firstLine="480" w:firstLineChars="200"/>
        <w:rPr>
          <w:sz w:val="24"/>
          <w:szCs w:val="24"/>
        </w:rPr>
      </w:pPr>
      <w:r>
        <w:rPr>
          <w:rFonts w:hint="eastAsia"/>
          <w:sz w:val="24"/>
          <w:szCs w:val="24"/>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30BEDD41">
      <w:pPr>
        <w:pStyle w:val="25"/>
        <w:spacing w:line="420" w:lineRule="exact"/>
        <w:ind w:firstLine="480" w:firstLineChars="200"/>
        <w:rPr>
          <w:sz w:val="24"/>
          <w:szCs w:val="24"/>
        </w:rPr>
      </w:pPr>
      <w:r>
        <w:rPr>
          <w:rFonts w:hint="eastAsia"/>
          <w:sz w:val="24"/>
          <w:szCs w:val="24"/>
        </w:rPr>
        <w:t>供应商不良行为分一般不良行为和严重不良行为。</w:t>
      </w:r>
    </w:p>
    <w:p w14:paraId="2375DE23">
      <w:pPr>
        <w:pStyle w:val="25"/>
        <w:spacing w:line="420" w:lineRule="exact"/>
        <w:ind w:firstLine="480" w:firstLineChars="200"/>
        <w:rPr>
          <w:sz w:val="24"/>
          <w:szCs w:val="24"/>
        </w:rPr>
      </w:pPr>
    </w:p>
    <w:p w14:paraId="07BCFB2F">
      <w:pPr>
        <w:pStyle w:val="25"/>
        <w:spacing w:line="420" w:lineRule="exact"/>
        <w:ind w:firstLine="480" w:firstLineChars="200"/>
        <w:rPr>
          <w:sz w:val="24"/>
          <w:szCs w:val="24"/>
        </w:rPr>
      </w:pPr>
      <w:r>
        <w:rPr>
          <w:rFonts w:hint="eastAsia"/>
          <w:sz w:val="24"/>
          <w:szCs w:val="24"/>
        </w:rPr>
        <w:t>第二章 不良行为的定义</w:t>
      </w:r>
    </w:p>
    <w:p w14:paraId="5BB58C07">
      <w:pPr>
        <w:pStyle w:val="25"/>
        <w:spacing w:line="420" w:lineRule="exact"/>
        <w:ind w:firstLine="480" w:firstLineChars="200"/>
        <w:rPr>
          <w:sz w:val="24"/>
          <w:szCs w:val="24"/>
        </w:rPr>
      </w:pPr>
    </w:p>
    <w:p w14:paraId="73BEDEE4">
      <w:pPr>
        <w:pStyle w:val="25"/>
        <w:spacing w:line="420" w:lineRule="exact"/>
        <w:ind w:firstLine="480" w:firstLineChars="200"/>
        <w:rPr>
          <w:sz w:val="24"/>
          <w:szCs w:val="24"/>
        </w:rPr>
      </w:pPr>
      <w:r>
        <w:rPr>
          <w:rFonts w:hint="eastAsia"/>
          <w:sz w:val="24"/>
          <w:szCs w:val="24"/>
        </w:rPr>
        <w:t>第四条 供应商“一般不良行为”定义。</w:t>
      </w:r>
    </w:p>
    <w:p w14:paraId="7EA716F2">
      <w:pPr>
        <w:pStyle w:val="25"/>
        <w:spacing w:line="420" w:lineRule="exact"/>
        <w:ind w:firstLine="480" w:firstLineChars="200"/>
        <w:rPr>
          <w:sz w:val="24"/>
          <w:szCs w:val="24"/>
        </w:rPr>
      </w:pPr>
      <w:r>
        <w:rPr>
          <w:rFonts w:hint="eastAsia"/>
          <w:sz w:val="24"/>
          <w:szCs w:val="24"/>
        </w:rPr>
        <w:t>（一）采取不正当手段诋毁、排挤其他供应商或故意以虚构事实等方式进行投诉的；</w:t>
      </w:r>
    </w:p>
    <w:p w14:paraId="71699AFE">
      <w:pPr>
        <w:pStyle w:val="25"/>
        <w:spacing w:line="420" w:lineRule="exact"/>
        <w:ind w:firstLine="480" w:firstLineChars="200"/>
        <w:rPr>
          <w:sz w:val="24"/>
          <w:szCs w:val="24"/>
        </w:rPr>
      </w:pPr>
      <w:r>
        <w:rPr>
          <w:rFonts w:hint="eastAsia"/>
          <w:sz w:val="24"/>
          <w:szCs w:val="24"/>
        </w:rPr>
        <w:t>（二）中标（成交）后未按文件规定要求提交履约保证金，给采购方工作造成一定影响的；</w:t>
      </w:r>
    </w:p>
    <w:p w14:paraId="1CD36DC9">
      <w:pPr>
        <w:pStyle w:val="25"/>
        <w:spacing w:line="420" w:lineRule="exact"/>
        <w:ind w:firstLine="480" w:firstLineChars="200"/>
        <w:rPr>
          <w:sz w:val="24"/>
          <w:szCs w:val="24"/>
        </w:rPr>
      </w:pPr>
      <w:r>
        <w:rPr>
          <w:rFonts w:hint="eastAsia"/>
          <w:sz w:val="24"/>
          <w:szCs w:val="24"/>
        </w:rPr>
        <w:t>（三）中标（成交）后违反投标、竞价承诺或合同约定，擅自提高价格、降低质量标准、无故拖延工期或供货时间，给采购方工作造成影响，情节较轻的；</w:t>
      </w:r>
    </w:p>
    <w:p w14:paraId="6E3C00D3">
      <w:pPr>
        <w:pStyle w:val="25"/>
        <w:spacing w:line="420" w:lineRule="exact"/>
        <w:ind w:firstLine="480" w:firstLineChars="200"/>
        <w:rPr>
          <w:sz w:val="24"/>
          <w:szCs w:val="24"/>
        </w:rPr>
      </w:pPr>
      <w:r>
        <w:rPr>
          <w:rFonts w:hint="eastAsia"/>
          <w:sz w:val="24"/>
          <w:szCs w:val="24"/>
        </w:rPr>
        <w:t>（四）不能完全履行合同约定，但违约情节较轻的；</w:t>
      </w:r>
    </w:p>
    <w:p w14:paraId="58EFA367">
      <w:pPr>
        <w:pStyle w:val="25"/>
        <w:spacing w:line="420" w:lineRule="exact"/>
        <w:ind w:firstLine="480" w:firstLineChars="200"/>
        <w:rPr>
          <w:sz w:val="24"/>
          <w:szCs w:val="24"/>
        </w:rPr>
      </w:pPr>
      <w:r>
        <w:rPr>
          <w:rFonts w:hint="eastAsia"/>
          <w:sz w:val="24"/>
          <w:szCs w:val="24"/>
        </w:rPr>
        <w:t>（五）其他违背诚实信用原则，情节较轻的行为。</w:t>
      </w:r>
    </w:p>
    <w:p w14:paraId="7228A8EE">
      <w:pPr>
        <w:pStyle w:val="25"/>
        <w:spacing w:line="420" w:lineRule="exact"/>
        <w:ind w:firstLine="480" w:firstLineChars="200"/>
        <w:rPr>
          <w:sz w:val="24"/>
          <w:szCs w:val="24"/>
        </w:rPr>
      </w:pPr>
      <w:r>
        <w:rPr>
          <w:rFonts w:hint="eastAsia"/>
          <w:sz w:val="24"/>
          <w:szCs w:val="24"/>
        </w:rPr>
        <w:t>第五条 供应商“严重不良行为”定义。</w:t>
      </w:r>
    </w:p>
    <w:p w14:paraId="36704474">
      <w:pPr>
        <w:pStyle w:val="25"/>
        <w:spacing w:line="420" w:lineRule="exact"/>
        <w:ind w:firstLine="480" w:firstLineChars="200"/>
        <w:rPr>
          <w:sz w:val="24"/>
          <w:szCs w:val="24"/>
        </w:rPr>
      </w:pPr>
      <w:r>
        <w:rPr>
          <w:rFonts w:hint="eastAsia"/>
          <w:sz w:val="24"/>
          <w:szCs w:val="24"/>
        </w:rPr>
        <w:t>（一）向集团从事招标采购工作的各类相关工作人员、集团委托的招标代理机构等行贿或者提供其他不正当利益，以及其他可能影响集团相关工作人员公正履行工作职责的；</w:t>
      </w:r>
    </w:p>
    <w:p w14:paraId="6B680DA1">
      <w:pPr>
        <w:pStyle w:val="25"/>
        <w:spacing w:line="420" w:lineRule="exact"/>
        <w:ind w:firstLine="480" w:firstLineChars="200"/>
        <w:rPr>
          <w:sz w:val="24"/>
          <w:szCs w:val="24"/>
        </w:rPr>
      </w:pPr>
      <w:r>
        <w:rPr>
          <w:rFonts w:hint="eastAsia"/>
          <w:sz w:val="24"/>
          <w:szCs w:val="24"/>
        </w:rPr>
        <w:t>（二）串通采购人、其他供应商或集团委托的招标代理机构进行投标、围标和竞价，干扰正常招标采购秩序的；</w:t>
      </w:r>
    </w:p>
    <w:p w14:paraId="406CFFF4">
      <w:pPr>
        <w:pStyle w:val="25"/>
        <w:spacing w:line="420" w:lineRule="exact"/>
        <w:ind w:firstLine="480" w:firstLineChars="200"/>
        <w:rPr>
          <w:sz w:val="24"/>
          <w:szCs w:val="24"/>
        </w:rPr>
      </w:pPr>
      <w:r>
        <w:rPr>
          <w:rFonts w:hint="eastAsia"/>
          <w:sz w:val="24"/>
          <w:szCs w:val="24"/>
        </w:rPr>
        <w:t>（三）非法以他人名义进行投标、竞价或者以其他方式弄虚作假骗取中标（成交）的；</w:t>
      </w:r>
    </w:p>
    <w:p w14:paraId="432FA27D">
      <w:pPr>
        <w:pStyle w:val="25"/>
        <w:spacing w:line="420" w:lineRule="exact"/>
        <w:ind w:firstLine="480" w:firstLineChars="200"/>
        <w:rPr>
          <w:sz w:val="24"/>
          <w:szCs w:val="24"/>
        </w:rPr>
      </w:pPr>
      <w:r>
        <w:rPr>
          <w:rFonts w:hint="eastAsia"/>
          <w:sz w:val="24"/>
          <w:szCs w:val="24"/>
        </w:rPr>
        <w:t>（四）中标（成交）后，不按照</w:t>
      </w:r>
      <w:r>
        <w:rPr>
          <w:rFonts w:hint="eastAsia"/>
          <w:sz w:val="24"/>
          <w:szCs w:val="24"/>
          <w:lang w:eastAsia="zh-CN"/>
        </w:rPr>
        <w:t>询价公告</w:t>
      </w:r>
      <w:r>
        <w:rPr>
          <w:rFonts w:hint="eastAsia"/>
          <w:sz w:val="24"/>
          <w:szCs w:val="24"/>
        </w:rPr>
        <w:t>（采购文件）和中标（成交）供应商的投标文件（响应文件）签订合同，或者要求与采购人另行签订背离合同实质性内容协议的；</w:t>
      </w:r>
    </w:p>
    <w:p w14:paraId="4A016AA6">
      <w:pPr>
        <w:pStyle w:val="25"/>
        <w:spacing w:line="420" w:lineRule="exact"/>
        <w:ind w:firstLine="480" w:firstLineChars="200"/>
        <w:rPr>
          <w:sz w:val="24"/>
          <w:szCs w:val="24"/>
        </w:rPr>
      </w:pPr>
      <w:r>
        <w:rPr>
          <w:rFonts w:hint="eastAsia"/>
          <w:sz w:val="24"/>
          <w:szCs w:val="24"/>
        </w:rPr>
        <w:t>（五）合同签订后，无正当理由拒不履行或者拖延履行采购合同义务的，给采购方工作造成影响，情节严重的；</w:t>
      </w:r>
    </w:p>
    <w:p w14:paraId="24BB2AD4">
      <w:pPr>
        <w:pStyle w:val="25"/>
        <w:spacing w:line="420" w:lineRule="exact"/>
        <w:ind w:firstLine="480" w:firstLineChars="200"/>
        <w:rPr>
          <w:sz w:val="24"/>
          <w:szCs w:val="24"/>
        </w:rPr>
      </w:pPr>
      <w:r>
        <w:rPr>
          <w:rFonts w:hint="eastAsia"/>
          <w:sz w:val="24"/>
          <w:szCs w:val="24"/>
        </w:rPr>
        <w:t>（六）将中标（成交）项目转让（转包）给他人，或者违反</w:t>
      </w:r>
      <w:r>
        <w:rPr>
          <w:rFonts w:hint="eastAsia"/>
          <w:sz w:val="24"/>
          <w:szCs w:val="24"/>
          <w:lang w:eastAsia="zh-CN"/>
        </w:rPr>
        <w:t>询价公告</w:t>
      </w:r>
      <w:r>
        <w:rPr>
          <w:rFonts w:hint="eastAsia"/>
          <w:sz w:val="24"/>
          <w:szCs w:val="24"/>
        </w:rPr>
        <w:t>（采购文件）规定，擅自将中标（成交）项目分包给他人的；</w:t>
      </w:r>
    </w:p>
    <w:p w14:paraId="78FC9215">
      <w:pPr>
        <w:pStyle w:val="25"/>
        <w:spacing w:line="420" w:lineRule="exact"/>
        <w:ind w:firstLine="480" w:firstLineChars="200"/>
        <w:rPr>
          <w:sz w:val="24"/>
          <w:szCs w:val="24"/>
        </w:rPr>
      </w:pPr>
      <w:r>
        <w:rPr>
          <w:rFonts w:hint="eastAsia"/>
          <w:sz w:val="24"/>
          <w:szCs w:val="24"/>
        </w:rPr>
        <w:t>（七）擅自变更、中止或终止采购合同，给采购方造成重大经济损失或严重影响生产、建设工期的；</w:t>
      </w:r>
    </w:p>
    <w:p w14:paraId="68B8D214">
      <w:pPr>
        <w:pStyle w:val="25"/>
        <w:spacing w:line="420" w:lineRule="exact"/>
        <w:ind w:firstLine="480" w:firstLineChars="200"/>
        <w:rPr>
          <w:sz w:val="24"/>
          <w:szCs w:val="24"/>
        </w:rPr>
      </w:pPr>
      <w:r>
        <w:rPr>
          <w:rFonts w:hint="eastAsia"/>
          <w:sz w:val="24"/>
          <w:szCs w:val="24"/>
        </w:rPr>
        <w:t>（八）未按合同规定履行合同义务，造成严重的质量问题或给采购方造成严重经济损失、安全事故以及不良社会影响的；</w:t>
      </w:r>
    </w:p>
    <w:p w14:paraId="5872CDD8">
      <w:pPr>
        <w:pStyle w:val="25"/>
        <w:spacing w:line="420" w:lineRule="exact"/>
        <w:ind w:firstLine="480" w:firstLineChars="200"/>
        <w:rPr>
          <w:sz w:val="24"/>
          <w:szCs w:val="24"/>
        </w:rPr>
      </w:pPr>
      <w:r>
        <w:rPr>
          <w:rFonts w:hint="eastAsia"/>
          <w:sz w:val="24"/>
          <w:szCs w:val="24"/>
        </w:rPr>
        <w:t>（九）提供虚假材料、虚构事实进行恶意诽谤、诬告、陷害等行为的；</w:t>
      </w:r>
    </w:p>
    <w:p w14:paraId="1879A358">
      <w:pPr>
        <w:pStyle w:val="25"/>
        <w:spacing w:line="420" w:lineRule="exact"/>
        <w:ind w:firstLine="480" w:firstLineChars="200"/>
        <w:rPr>
          <w:sz w:val="24"/>
          <w:szCs w:val="24"/>
        </w:rPr>
      </w:pPr>
      <w:r>
        <w:rPr>
          <w:rFonts w:hint="eastAsia"/>
          <w:sz w:val="24"/>
          <w:szCs w:val="24"/>
        </w:rPr>
        <w:t>（十）存在其他严重不良行为的。</w:t>
      </w:r>
    </w:p>
    <w:p w14:paraId="468B72EC">
      <w:pPr>
        <w:pStyle w:val="25"/>
        <w:spacing w:line="420" w:lineRule="exact"/>
        <w:ind w:firstLine="480" w:firstLineChars="200"/>
        <w:rPr>
          <w:sz w:val="24"/>
          <w:szCs w:val="24"/>
        </w:rPr>
      </w:pPr>
    </w:p>
    <w:p w14:paraId="58E99FEE">
      <w:pPr>
        <w:pStyle w:val="25"/>
        <w:spacing w:line="420" w:lineRule="exact"/>
        <w:ind w:firstLine="480" w:firstLineChars="200"/>
        <w:rPr>
          <w:sz w:val="24"/>
          <w:szCs w:val="24"/>
        </w:rPr>
      </w:pPr>
      <w:r>
        <w:rPr>
          <w:rFonts w:hint="eastAsia"/>
          <w:sz w:val="24"/>
          <w:szCs w:val="24"/>
        </w:rPr>
        <w:t>第三章 不良行为认定</w:t>
      </w:r>
    </w:p>
    <w:p w14:paraId="60FA8DAB">
      <w:pPr>
        <w:pStyle w:val="25"/>
        <w:spacing w:line="420" w:lineRule="exact"/>
        <w:ind w:firstLine="480" w:firstLineChars="200"/>
        <w:rPr>
          <w:sz w:val="24"/>
          <w:szCs w:val="24"/>
        </w:rPr>
      </w:pPr>
    </w:p>
    <w:p w14:paraId="1FCA7AAF">
      <w:pPr>
        <w:pStyle w:val="25"/>
        <w:spacing w:line="420" w:lineRule="exact"/>
        <w:ind w:firstLine="480" w:firstLineChars="200"/>
        <w:rPr>
          <w:sz w:val="24"/>
          <w:szCs w:val="24"/>
        </w:rPr>
      </w:pPr>
      <w:r>
        <w:rPr>
          <w:rFonts w:hint="eastAsia"/>
          <w:sz w:val="24"/>
          <w:szCs w:val="24"/>
        </w:rPr>
        <w:t>第六条 供应商列入“不良行为”的主要依据：</w:t>
      </w:r>
    </w:p>
    <w:p w14:paraId="19CEE5B1">
      <w:pPr>
        <w:pStyle w:val="25"/>
        <w:spacing w:line="420" w:lineRule="exact"/>
        <w:ind w:firstLine="480" w:firstLineChars="200"/>
        <w:rPr>
          <w:sz w:val="24"/>
          <w:szCs w:val="24"/>
        </w:rPr>
      </w:pPr>
      <w:r>
        <w:rPr>
          <w:rFonts w:hint="eastAsia"/>
          <w:sz w:val="24"/>
          <w:szCs w:val="24"/>
        </w:rPr>
        <w:t>（一）政府行政主管部门书面认定文件、司法机关的相关生效判决、裁定、决定等；</w:t>
      </w:r>
    </w:p>
    <w:p w14:paraId="553873EC">
      <w:pPr>
        <w:pStyle w:val="25"/>
        <w:spacing w:line="420" w:lineRule="exact"/>
        <w:ind w:firstLine="480" w:firstLineChars="200"/>
        <w:rPr>
          <w:sz w:val="24"/>
          <w:szCs w:val="24"/>
        </w:rPr>
      </w:pPr>
      <w:r>
        <w:rPr>
          <w:rFonts w:hint="eastAsia"/>
          <w:sz w:val="24"/>
          <w:szCs w:val="24"/>
        </w:rPr>
        <w:t>（二）纪检、监察、审计等部门的调查结果；</w:t>
      </w:r>
    </w:p>
    <w:p w14:paraId="4E07DD6C">
      <w:pPr>
        <w:pStyle w:val="25"/>
        <w:spacing w:line="420" w:lineRule="exact"/>
        <w:ind w:firstLine="480" w:firstLineChars="200"/>
        <w:rPr>
          <w:sz w:val="24"/>
          <w:szCs w:val="24"/>
        </w:rPr>
      </w:pPr>
      <w:r>
        <w:rPr>
          <w:rFonts w:hint="eastAsia"/>
          <w:sz w:val="24"/>
          <w:szCs w:val="24"/>
        </w:rPr>
        <w:t>（三）项目管理部门、使用单位对供应商合同履约情况的评估或调查；</w:t>
      </w:r>
    </w:p>
    <w:p w14:paraId="7D648619">
      <w:pPr>
        <w:pStyle w:val="25"/>
        <w:spacing w:line="420" w:lineRule="exact"/>
        <w:ind w:firstLine="480" w:firstLineChars="200"/>
        <w:rPr>
          <w:sz w:val="24"/>
          <w:szCs w:val="24"/>
        </w:rPr>
      </w:pPr>
    </w:p>
    <w:p w14:paraId="2A23B0D2">
      <w:pPr>
        <w:pStyle w:val="25"/>
        <w:spacing w:line="420" w:lineRule="exact"/>
        <w:ind w:firstLine="480" w:firstLineChars="200"/>
        <w:rPr>
          <w:sz w:val="24"/>
          <w:szCs w:val="24"/>
        </w:rPr>
      </w:pPr>
      <w:r>
        <w:rPr>
          <w:rFonts w:hint="eastAsia"/>
          <w:sz w:val="24"/>
          <w:szCs w:val="24"/>
        </w:rPr>
        <w:t>第四章 不良行为的处罚</w:t>
      </w:r>
    </w:p>
    <w:p w14:paraId="09803282">
      <w:pPr>
        <w:pStyle w:val="25"/>
        <w:spacing w:line="420" w:lineRule="exact"/>
        <w:ind w:firstLine="480" w:firstLineChars="200"/>
        <w:rPr>
          <w:sz w:val="24"/>
          <w:szCs w:val="24"/>
        </w:rPr>
      </w:pPr>
    </w:p>
    <w:p w14:paraId="16103AA7">
      <w:pPr>
        <w:pStyle w:val="25"/>
        <w:spacing w:line="420" w:lineRule="exact"/>
        <w:ind w:firstLine="480" w:firstLineChars="200"/>
        <w:rPr>
          <w:sz w:val="24"/>
          <w:szCs w:val="24"/>
        </w:rPr>
      </w:pPr>
      <w:r>
        <w:rPr>
          <w:rFonts w:hint="eastAsia"/>
          <w:sz w:val="24"/>
          <w:szCs w:val="24"/>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70F0551F">
      <w:pPr>
        <w:pStyle w:val="25"/>
        <w:spacing w:line="420" w:lineRule="exact"/>
        <w:ind w:firstLine="480" w:firstLineChars="200"/>
        <w:rPr>
          <w:sz w:val="24"/>
          <w:szCs w:val="24"/>
        </w:rPr>
      </w:pPr>
      <w:r>
        <w:rPr>
          <w:rFonts w:hint="eastAsia"/>
          <w:sz w:val="24"/>
          <w:szCs w:val="24"/>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1704096C">
      <w:pPr>
        <w:pStyle w:val="25"/>
        <w:spacing w:line="420" w:lineRule="exact"/>
        <w:ind w:firstLine="480" w:firstLineChars="200"/>
        <w:rPr>
          <w:sz w:val="24"/>
          <w:szCs w:val="24"/>
        </w:rPr>
      </w:pPr>
      <w:r>
        <w:rPr>
          <w:rFonts w:hint="eastAsia"/>
          <w:sz w:val="24"/>
          <w:szCs w:val="24"/>
        </w:rPr>
        <w:t>第十五条 供应商对处理决定有异议的，可向集团招标采购部提出申诉。申诉期间，不停止对供应商“不良行为”的处理，但原处理决定被依法停止执行的除外。</w:t>
      </w:r>
    </w:p>
    <w:p w14:paraId="5856CFF4">
      <w:pPr>
        <w:pStyle w:val="25"/>
        <w:spacing w:line="420" w:lineRule="exact"/>
        <w:ind w:firstLine="480" w:firstLineChars="200"/>
        <w:rPr>
          <w:sz w:val="24"/>
          <w:szCs w:val="24"/>
        </w:rPr>
      </w:pPr>
    </w:p>
    <w:p w14:paraId="7FA78D17">
      <w:pPr>
        <w:pStyle w:val="25"/>
        <w:spacing w:line="420" w:lineRule="exact"/>
        <w:ind w:firstLine="480" w:firstLineChars="200"/>
        <w:rPr>
          <w:sz w:val="24"/>
          <w:szCs w:val="24"/>
        </w:rPr>
      </w:pPr>
      <w:r>
        <w:rPr>
          <w:rFonts w:hint="eastAsia"/>
          <w:sz w:val="24"/>
          <w:szCs w:val="24"/>
        </w:rPr>
        <w:t>第五章 信用修复</w:t>
      </w:r>
    </w:p>
    <w:p w14:paraId="3D9A79CA">
      <w:pPr>
        <w:pStyle w:val="25"/>
        <w:spacing w:line="420" w:lineRule="exact"/>
        <w:ind w:firstLine="480" w:firstLineChars="200"/>
        <w:rPr>
          <w:sz w:val="24"/>
          <w:szCs w:val="24"/>
        </w:rPr>
      </w:pPr>
    </w:p>
    <w:p w14:paraId="79609E9E">
      <w:pPr>
        <w:pStyle w:val="25"/>
        <w:spacing w:line="420" w:lineRule="exact"/>
        <w:ind w:firstLine="480" w:firstLineChars="200"/>
        <w:rPr>
          <w:sz w:val="24"/>
          <w:szCs w:val="24"/>
        </w:rPr>
      </w:pPr>
      <w:r>
        <w:rPr>
          <w:rFonts w:hint="eastAsia"/>
          <w:sz w:val="24"/>
          <w:szCs w:val="24"/>
        </w:rPr>
        <w:t>第十八条 供应商有下列情形之一的，可进行信用修复：</w:t>
      </w:r>
    </w:p>
    <w:p w14:paraId="669858AC">
      <w:pPr>
        <w:pStyle w:val="25"/>
        <w:spacing w:line="420" w:lineRule="exact"/>
        <w:ind w:firstLine="480" w:firstLineChars="200"/>
        <w:rPr>
          <w:sz w:val="24"/>
          <w:szCs w:val="24"/>
        </w:rPr>
      </w:pPr>
      <w:r>
        <w:rPr>
          <w:rFonts w:hint="eastAsia"/>
          <w:sz w:val="24"/>
          <w:szCs w:val="24"/>
        </w:rPr>
        <w:t>（一）供应商已履行义务，赔偿损失并消除不良影响，可经原认定程序修复信用；</w:t>
      </w:r>
    </w:p>
    <w:p w14:paraId="0A6E1CDF">
      <w:pPr>
        <w:pStyle w:val="25"/>
        <w:spacing w:line="420" w:lineRule="exact"/>
        <w:ind w:firstLine="480" w:firstLineChars="200"/>
        <w:rPr>
          <w:sz w:val="24"/>
          <w:szCs w:val="24"/>
        </w:rPr>
      </w:pPr>
      <w:r>
        <w:rPr>
          <w:rFonts w:hint="eastAsia"/>
          <w:sz w:val="24"/>
          <w:szCs w:val="24"/>
        </w:rPr>
        <w:t>（二）“不良行为”的限制措施期满后信用自动修复。</w:t>
      </w:r>
    </w:p>
    <w:p w14:paraId="76621313">
      <w:pPr>
        <w:pStyle w:val="25"/>
        <w:spacing w:line="420" w:lineRule="exact"/>
        <w:ind w:firstLine="480" w:firstLineChars="200"/>
        <w:rPr>
          <w:sz w:val="24"/>
          <w:szCs w:val="24"/>
        </w:rPr>
      </w:pPr>
    </w:p>
    <w:p w14:paraId="5A828BD4">
      <w:pPr>
        <w:pStyle w:val="25"/>
        <w:spacing w:line="420" w:lineRule="exact"/>
        <w:ind w:firstLine="480" w:firstLineChars="200"/>
        <w:rPr>
          <w:sz w:val="24"/>
          <w:szCs w:val="24"/>
        </w:rPr>
      </w:pPr>
      <w:r>
        <w:rPr>
          <w:rFonts w:hint="eastAsia"/>
          <w:sz w:val="24"/>
          <w:szCs w:val="24"/>
        </w:rPr>
        <w:t>第六章 附则</w:t>
      </w:r>
    </w:p>
    <w:p w14:paraId="7A1F5091">
      <w:pPr>
        <w:pStyle w:val="25"/>
        <w:spacing w:line="420" w:lineRule="exact"/>
        <w:ind w:firstLine="480" w:firstLineChars="200"/>
        <w:rPr>
          <w:sz w:val="24"/>
          <w:szCs w:val="24"/>
        </w:rPr>
      </w:pPr>
    </w:p>
    <w:p w14:paraId="1F1C19A2">
      <w:pPr>
        <w:pStyle w:val="25"/>
        <w:spacing w:line="420" w:lineRule="exact"/>
        <w:ind w:firstLine="480" w:firstLineChars="200"/>
        <w:rPr>
          <w:rFonts w:ascii="仿宋_GB2312" w:eastAsia="仿宋_GB2312"/>
          <w:b/>
          <w:sz w:val="24"/>
          <w:szCs w:val="24"/>
        </w:rPr>
      </w:pPr>
      <w:r>
        <w:rPr>
          <w:rFonts w:hint="eastAsia"/>
          <w:sz w:val="24"/>
          <w:szCs w:val="24"/>
        </w:rPr>
        <w:t>第十九条 本办法由湖北机场集团招标采购部负责解释。</w:t>
      </w:r>
    </w:p>
    <w:p w14:paraId="29B79758">
      <w:pPr>
        <w:spacing w:line="500" w:lineRule="exact"/>
        <w:jc w:val="center"/>
        <w:outlineLvl w:val="0"/>
        <w:rPr>
          <w:rFonts w:ascii="宋体" w:hAnsi="宋体" w:cs="宋体"/>
        </w:rPr>
      </w:pPr>
      <w:r>
        <w:rPr>
          <w:rFonts w:hint="eastAsia" w:ascii="宋体" w:hAnsi="宋体" w:cs="宋体"/>
          <w:sz w:val="24"/>
          <w:szCs w:val="24"/>
        </w:rPr>
        <w:br w:type="page"/>
      </w:r>
      <w:bookmarkStart w:id="16" w:name="_Toc24041"/>
      <w:r>
        <w:rPr>
          <w:rFonts w:hint="eastAsia" w:ascii="宋体" w:hAnsi="宋体" w:cs="宋体"/>
          <w:b/>
          <w:bCs/>
          <w:sz w:val="28"/>
          <w:szCs w:val="16"/>
        </w:rPr>
        <w:t>第五章  询价响应文件格式</w:t>
      </w:r>
      <w:bookmarkEnd w:id="16"/>
    </w:p>
    <w:p w14:paraId="2E07C302">
      <w:pPr>
        <w:spacing w:line="500" w:lineRule="exact"/>
        <w:rPr>
          <w:rFonts w:ascii="宋体" w:hAnsi="宋体" w:cs="宋体"/>
          <w:spacing w:val="2"/>
          <w:sz w:val="28"/>
          <w:szCs w:val="28"/>
        </w:rPr>
      </w:pPr>
    </w:p>
    <w:p w14:paraId="524C2BCA">
      <w:pPr>
        <w:spacing w:line="500" w:lineRule="exact"/>
        <w:rPr>
          <w:rFonts w:ascii="宋体" w:hAnsi="宋体" w:cs="宋体"/>
          <w:spacing w:val="2"/>
          <w:sz w:val="28"/>
          <w:szCs w:val="28"/>
        </w:rPr>
      </w:pPr>
    </w:p>
    <w:p w14:paraId="05EBD0B1">
      <w:pPr>
        <w:spacing w:line="500" w:lineRule="exact"/>
        <w:rPr>
          <w:rFonts w:ascii="宋体" w:hAnsi="宋体" w:cs="宋体"/>
          <w:spacing w:val="2"/>
          <w:sz w:val="28"/>
          <w:szCs w:val="28"/>
        </w:rPr>
      </w:pPr>
      <w:r>
        <w:rPr>
          <w:rFonts w:hint="eastAsia" w:ascii="宋体" w:hAnsi="宋体" w:cs="宋体"/>
          <w:spacing w:val="2"/>
          <w:sz w:val="28"/>
          <w:szCs w:val="28"/>
        </w:rPr>
        <w:t>封面：</w:t>
      </w:r>
    </w:p>
    <w:p w14:paraId="36675B73">
      <w:pPr>
        <w:spacing w:line="500" w:lineRule="exact"/>
        <w:rPr>
          <w:rFonts w:ascii="宋体" w:hAnsi="宋体" w:cs="宋体"/>
          <w:sz w:val="28"/>
          <w:szCs w:val="28"/>
        </w:rPr>
      </w:pPr>
    </w:p>
    <w:p w14:paraId="67D38E63">
      <w:pPr>
        <w:spacing w:line="800" w:lineRule="exact"/>
        <w:jc w:val="center"/>
        <w:rPr>
          <w:rFonts w:ascii="宋体" w:hAnsi="宋体" w:cs="宋体"/>
          <w:b/>
          <w:bCs/>
          <w:sz w:val="36"/>
          <w:szCs w:val="36"/>
        </w:rPr>
      </w:pPr>
    </w:p>
    <w:p w14:paraId="4A4ED307">
      <w:pPr>
        <w:spacing w:line="800" w:lineRule="exact"/>
        <w:jc w:val="center"/>
        <w:rPr>
          <w:rFonts w:ascii="宋体" w:hAnsi="宋体" w:cs="宋体"/>
          <w:b/>
          <w:bCs/>
          <w:sz w:val="44"/>
          <w:szCs w:val="44"/>
        </w:rPr>
      </w:pPr>
      <w:r>
        <w:rPr>
          <w:rFonts w:hint="eastAsia" w:ascii="宋体" w:hAnsi="宋体" w:cs="宋体"/>
          <w:b/>
          <w:bCs/>
          <w:sz w:val="44"/>
          <w:szCs w:val="44"/>
        </w:rPr>
        <w:t>询 价 响 应 文 件</w:t>
      </w:r>
    </w:p>
    <w:p w14:paraId="034E5BE3">
      <w:pPr>
        <w:spacing w:line="500" w:lineRule="exact"/>
        <w:jc w:val="center"/>
        <w:rPr>
          <w:rFonts w:ascii="宋体" w:hAnsi="宋体" w:cs="宋体"/>
          <w:b/>
          <w:bCs/>
          <w:sz w:val="44"/>
          <w:szCs w:val="44"/>
        </w:rPr>
      </w:pPr>
      <w:r>
        <w:rPr>
          <w:rFonts w:hint="eastAsia" w:ascii="宋体" w:hAnsi="宋体" w:cs="宋体"/>
          <w:b/>
          <w:bCs/>
          <w:sz w:val="44"/>
          <w:szCs w:val="44"/>
        </w:rPr>
        <w:t>（正本/副本）</w:t>
      </w:r>
    </w:p>
    <w:p w14:paraId="6147A12A">
      <w:pPr>
        <w:spacing w:line="500" w:lineRule="exact"/>
        <w:jc w:val="center"/>
        <w:rPr>
          <w:rFonts w:ascii="宋体" w:hAnsi="宋体" w:cs="宋体"/>
          <w:sz w:val="28"/>
          <w:szCs w:val="28"/>
        </w:rPr>
      </w:pPr>
    </w:p>
    <w:p w14:paraId="5DFA07C5">
      <w:pPr>
        <w:spacing w:line="500" w:lineRule="exact"/>
        <w:jc w:val="center"/>
        <w:rPr>
          <w:rFonts w:ascii="宋体" w:hAnsi="宋体" w:cs="宋体"/>
          <w:sz w:val="28"/>
          <w:szCs w:val="28"/>
        </w:rPr>
      </w:pPr>
    </w:p>
    <w:p w14:paraId="3E5D4450">
      <w:pPr>
        <w:spacing w:line="500" w:lineRule="exact"/>
        <w:jc w:val="center"/>
        <w:rPr>
          <w:rFonts w:ascii="宋体" w:hAnsi="宋体" w:cs="宋体"/>
          <w:sz w:val="28"/>
          <w:szCs w:val="28"/>
        </w:rPr>
      </w:pPr>
    </w:p>
    <w:p w14:paraId="1191FE27">
      <w:pPr>
        <w:spacing w:line="500" w:lineRule="exact"/>
        <w:rPr>
          <w:rFonts w:ascii="宋体" w:hAnsi="宋体" w:cs="宋体"/>
          <w:b/>
          <w:bCs/>
          <w:sz w:val="28"/>
          <w:szCs w:val="28"/>
        </w:rPr>
      </w:pPr>
      <w:r>
        <w:rPr>
          <w:rFonts w:hint="eastAsia" w:ascii="宋体" w:hAnsi="宋体" w:cs="宋体"/>
          <w:b/>
          <w:bCs/>
          <w:sz w:val="28"/>
          <w:szCs w:val="28"/>
        </w:rPr>
        <w:t xml:space="preserve">                   项目名称：</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14:paraId="23A4ED5C">
      <w:pPr>
        <w:spacing w:line="500" w:lineRule="exact"/>
        <w:rPr>
          <w:rFonts w:ascii="宋体" w:hAnsi="宋体" w:cs="宋体"/>
          <w:b/>
          <w:bCs/>
          <w:sz w:val="28"/>
          <w:szCs w:val="28"/>
        </w:rPr>
      </w:pPr>
      <w:r>
        <w:rPr>
          <w:rFonts w:hint="eastAsia" w:ascii="宋体" w:hAnsi="宋体" w:cs="宋体"/>
          <w:b/>
          <w:bCs/>
          <w:sz w:val="28"/>
          <w:szCs w:val="28"/>
        </w:rPr>
        <w:t xml:space="preserve">                   项目编号：</w:t>
      </w:r>
      <w:r>
        <w:rPr>
          <w:rFonts w:hint="eastAsia" w:ascii="宋体" w:hAnsi="宋体" w:cs="宋体"/>
          <w:b/>
          <w:bCs/>
          <w:sz w:val="28"/>
          <w:szCs w:val="28"/>
          <w:u w:val="single"/>
        </w:rPr>
        <w:t xml:space="preserve">                   </w:t>
      </w:r>
    </w:p>
    <w:p w14:paraId="021B2125">
      <w:pPr>
        <w:tabs>
          <w:tab w:val="left" w:pos="2625"/>
        </w:tabs>
        <w:spacing w:line="500" w:lineRule="exact"/>
        <w:jc w:val="center"/>
        <w:rPr>
          <w:rFonts w:ascii="宋体" w:hAnsi="宋体" w:cs="宋体"/>
          <w:b/>
          <w:bCs/>
          <w:sz w:val="28"/>
          <w:szCs w:val="28"/>
        </w:rPr>
      </w:pPr>
    </w:p>
    <w:p w14:paraId="75CB3252">
      <w:pPr>
        <w:tabs>
          <w:tab w:val="left" w:pos="2625"/>
        </w:tabs>
        <w:spacing w:line="500" w:lineRule="exact"/>
        <w:jc w:val="center"/>
        <w:rPr>
          <w:rFonts w:ascii="宋体" w:hAnsi="宋体" w:cs="宋体"/>
          <w:sz w:val="28"/>
          <w:szCs w:val="28"/>
        </w:rPr>
      </w:pPr>
    </w:p>
    <w:p w14:paraId="1A75B7B5">
      <w:pPr>
        <w:tabs>
          <w:tab w:val="left" w:pos="2625"/>
        </w:tabs>
        <w:spacing w:line="500" w:lineRule="exact"/>
        <w:jc w:val="center"/>
        <w:rPr>
          <w:rFonts w:ascii="宋体" w:hAnsi="宋体" w:cs="宋体"/>
          <w:sz w:val="28"/>
          <w:szCs w:val="28"/>
        </w:rPr>
      </w:pPr>
    </w:p>
    <w:p w14:paraId="3587B946">
      <w:pPr>
        <w:tabs>
          <w:tab w:val="left" w:pos="2625"/>
        </w:tabs>
        <w:spacing w:line="500" w:lineRule="exact"/>
        <w:jc w:val="center"/>
        <w:rPr>
          <w:rFonts w:ascii="宋体" w:hAnsi="宋体" w:cs="宋体"/>
          <w:sz w:val="28"/>
          <w:szCs w:val="28"/>
        </w:rPr>
      </w:pPr>
    </w:p>
    <w:p w14:paraId="595F0234">
      <w:pPr>
        <w:tabs>
          <w:tab w:val="left" w:pos="2625"/>
        </w:tabs>
        <w:spacing w:line="500" w:lineRule="exact"/>
        <w:jc w:val="center"/>
        <w:rPr>
          <w:rFonts w:ascii="宋体" w:hAnsi="宋体" w:cs="宋体"/>
          <w:sz w:val="28"/>
          <w:szCs w:val="28"/>
        </w:rPr>
      </w:pPr>
    </w:p>
    <w:p w14:paraId="515785DF">
      <w:pPr>
        <w:tabs>
          <w:tab w:val="left" w:pos="2625"/>
        </w:tabs>
        <w:spacing w:line="500" w:lineRule="exact"/>
        <w:jc w:val="center"/>
        <w:rPr>
          <w:rFonts w:ascii="宋体" w:hAnsi="宋体" w:cs="宋体"/>
          <w:sz w:val="28"/>
          <w:szCs w:val="28"/>
        </w:rPr>
      </w:pPr>
    </w:p>
    <w:p w14:paraId="59263E6C">
      <w:pPr>
        <w:spacing w:line="500" w:lineRule="exact"/>
        <w:jc w:val="center"/>
        <w:rPr>
          <w:rFonts w:ascii="宋体" w:hAnsi="宋体" w:cs="宋体"/>
          <w:b/>
          <w:bCs/>
          <w:sz w:val="28"/>
          <w:szCs w:val="28"/>
          <w:u w:val="single"/>
        </w:rPr>
      </w:pPr>
      <w:r>
        <w:rPr>
          <w:rFonts w:hint="eastAsia" w:ascii="宋体" w:hAnsi="宋体" w:cs="宋体"/>
          <w:b/>
          <w:bCs/>
          <w:sz w:val="28"/>
          <w:szCs w:val="28"/>
          <w:u w:val="single"/>
        </w:rPr>
        <w:t>（供应商名称）（盖章）</w:t>
      </w:r>
    </w:p>
    <w:p w14:paraId="21BB787F">
      <w:pPr>
        <w:spacing w:line="500" w:lineRule="exact"/>
        <w:jc w:val="center"/>
        <w:rPr>
          <w:rFonts w:ascii="宋体" w:hAnsi="宋体" w:cs="宋体"/>
          <w:sz w:val="28"/>
          <w:szCs w:val="28"/>
          <w:u w:val="single"/>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73D086B4">
      <w:pPr>
        <w:spacing w:line="500" w:lineRule="exact"/>
        <w:jc w:val="center"/>
        <w:rPr>
          <w:rFonts w:ascii="宋体" w:hAnsi="宋体" w:cs="宋体"/>
          <w:b/>
          <w:sz w:val="28"/>
          <w:szCs w:val="28"/>
        </w:rPr>
      </w:pPr>
    </w:p>
    <w:p w14:paraId="0DDAF91C">
      <w:pPr>
        <w:rPr>
          <w:rStyle w:val="20"/>
          <w:rFonts w:ascii="宋体" w:hAnsi="宋体" w:cs="宋体"/>
        </w:rPr>
      </w:pPr>
      <w:r>
        <w:rPr>
          <w:rStyle w:val="20"/>
          <w:rFonts w:hint="eastAsia" w:ascii="宋体" w:hAnsi="宋体" w:cs="宋体"/>
        </w:rPr>
        <w:br w:type="page"/>
      </w:r>
      <w:r>
        <w:rPr>
          <w:rStyle w:val="20"/>
          <w:rFonts w:hint="eastAsia" w:ascii="宋体" w:hAnsi="宋体" w:cs="宋体"/>
        </w:rPr>
        <w:t xml:space="preserve">附件一：                 </w:t>
      </w:r>
    </w:p>
    <w:p w14:paraId="0806FA7F">
      <w:pPr>
        <w:spacing w:line="500" w:lineRule="exact"/>
        <w:jc w:val="center"/>
        <w:rPr>
          <w:rFonts w:ascii="宋体" w:hAnsi="宋体" w:cs="宋体"/>
          <w:b/>
          <w:bCs/>
          <w:sz w:val="24"/>
          <w:szCs w:val="24"/>
        </w:rPr>
      </w:pPr>
      <w:r>
        <w:rPr>
          <w:rFonts w:hint="eastAsia" w:ascii="宋体" w:hAnsi="宋体" w:cs="宋体"/>
          <w:b/>
          <w:bCs/>
          <w:sz w:val="24"/>
          <w:szCs w:val="24"/>
        </w:rPr>
        <w:t>询价响应书</w:t>
      </w:r>
    </w:p>
    <w:p w14:paraId="3E8CCD51">
      <w:pPr>
        <w:adjustRightInd w:val="0"/>
        <w:snapToGrid w:val="0"/>
        <w:spacing w:line="460" w:lineRule="exact"/>
        <w:rPr>
          <w:rFonts w:ascii="宋体" w:hAnsi="宋体" w:cs="宋体"/>
          <w:sz w:val="24"/>
          <w:szCs w:val="24"/>
        </w:rPr>
      </w:pPr>
      <w:r>
        <w:rPr>
          <w:rFonts w:hint="eastAsia" w:ascii="宋体" w:hAnsi="宋体" w:cs="宋体"/>
          <w:sz w:val="24"/>
          <w:szCs w:val="24"/>
          <w:u w:val="single"/>
        </w:rPr>
        <w:t>（湖北机场集团航空物流有限公司）</w:t>
      </w:r>
      <w:r>
        <w:rPr>
          <w:rFonts w:hint="eastAsia" w:ascii="宋体" w:hAnsi="宋体" w:cs="宋体"/>
          <w:sz w:val="24"/>
          <w:szCs w:val="24"/>
        </w:rPr>
        <w:t>：</w:t>
      </w:r>
    </w:p>
    <w:p w14:paraId="3116D8EA">
      <w:pPr>
        <w:autoSpaceDE w:val="0"/>
        <w:autoSpaceDN w:val="0"/>
        <w:adjustRightInd w:val="0"/>
        <w:spacing w:line="460" w:lineRule="exact"/>
        <w:ind w:right="26" w:firstLine="480" w:firstLineChars="200"/>
        <w:rPr>
          <w:rFonts w:ascii="宋体" w:hAnsi="宋体" w:cs="宋体"/>
          <w:kern w:val="0"/>
          <w:sz w:val="24"/>
          <w:szCs w:val="24"/>
        </w:rPr>
      </w:pPr>
      <w:r>
        <w:rPr>
          <w:rFonts w:hint="eastAsia" w:ascii="宋体" w:hAnsi="宋体" w:cs="宋体"/>
          <w:kern w:val="0"/>
          <w:sz w:val="24"/>
          <w:szCs w:val="24"/>
        </w:rPr>
        <w:t>依据贵方</w:t>
      </w:r>
      <w:r>
        <w:rPr>
          <w:rFonts w:hint="eastAsia" w:ascii="宋体" w:hAnsi="宋体" w:cs="宋体"/>
          <w:sz w:val="24"/>
          <w:szCs w:val="24"/>
          <w:u w:val="single"/>
        </w:rPr>
        <w:t xml:space="preserve"> (采购项目名称/项目编号) </w:t>
      </w:r>
      <w:r>
        <w:rPr>
          <w:rFonts w:hint="eastAsia" w:ascii="宋体" w:hAnsi="宋体" w:cs="宋体"/>
          <w:kern w:val="0"/>
          <w:sz w:val="24"/>
          <w:szCs w:val="24"/>
        </w:rPr>
        <w:t>项目询价通知书，我方代表</w:t>
      </w:r>
      <w:r>
        <w:rPr>
          <w:rFonts w:hint="eastAsia" w:ascii="宋体" w:hAnsi="宋体" w:cs="宋体"/>
          <w:sz w:val="24"/>
          <w:szCs w:val="24"/>
          <w:u w:val="single"/>
        </w:rPr>
        <w:t>（姓名、职务</w:t>
      </w:r>
      <w:r>
        <w:rPr>
          <w:rFonts w:hint="eastAsia" w:ascii="宋体" w:hAnsi="宋体" w:cs="宋体"/>
          <w:kern w:val="0"/>
          <w:sz w:val="24"/>
          <w:szCs w:val="24"/>
        </w:rPr>
        <w:t>）经正式授权并代表供应商</w:t>
      </w:r>
      <w:r>
        <w:rPr>
          <w:rFonts w:hint="eastAsia" w:ascii="宋体" w:hAnsi="宋体" w:cs="宋体"/>
          <w:sz w:val="24"/>
          <w:szCs w:val="24"/>
          <w:u w:val="single"/>
        </w:rPr>
        <w:t>（供应商名称、地址）</w:t>
      </w:r>
      <w:r>
        <w:rPr>
          <w:rFonts w:hint="eastAsia" w:ascii="宋体" w:hAnsi="宋体" w:cs="宋体"/>
          <w:kern w:val="0"/>
          <w:sz w:val="24"/>
          <w:szCs w:val="24"/>
        </w:rPr>
        <w:t>提交下述文件正本一份，副本</w:t>
      </w:r>
      <w:r>
        <w:rPr>
          <w:rFonts w:hint="eastAsia" w:ascii="宋体" w:hAnsi="宋体" w:cs="宋体"/>
          <w:kern w:val="0"/>
          <w:sz w:val="24"/>
          <w:szCs w:val="24"/>
          <w:u w:val="single"/>
        </w:rPr>
        <w:t xml:space="preserve">   </w:t>
      </w:r>
      <w:r>
        <w:rPr>
          <w:rFonts w:hint="eastAsia" w:ascii="宋体" w:hAnsi="宋体" w:cs="宋体"/>
          <w:kern w:val="0"/>
          <w:sz w:val="24"/>
          <w:szCs w:val="24"/>
        </w:rPr>
        <w:t>份。</w:t>
      </w:r>
    </w:p>
    <w:p w14:paraId="79F41B99">
      <w:pPr>
        <w:pStyle w:val="8"/>
        <w:numPr>
          <w:ilvl w:val="0"/>
          <w:numId w:val="8"/>
        </w:numPr>
        <w:adjustRightInd w:val="0"/>
        <w:snapToGrid w:val="0"/>
        <w:spacing w:line="500" w:lineRule="exact"/>
        <w:ind w:firstLine="600" w:firstLineChars="250"/>
        <w:rPr>
          <w:rFonts w:hAnsi="宋体" w:cs="宋体"/>
          <w:bCs/>
          <w:sz w:val="24"/>
          <w:szCs w:val="24"/>
        </w:rPr>
      </w:pPr>
      <w:r>
        <w:rPr>
          <w:rFonts w:hint="eastAsia" w:hAnsi="宋体" w:cs="宋体"/>
          <w:bCs/>
          <w:sz w:val="24"/>
          <w:szCs w:val="24"/>
        </w:rPr>
        <w:t>报价一览表；</w:t>
      </w:r>
    </w:p>
    <w:p w14:paraId="0925751C">
      <w:pPr>
        <w:pStyle w:val="8"/>
        <w:adjustRightInd w:val="0"/>
        <w:snapToGrid w:val="0"/>
        <w:spacing w:line="500" w:lineRule="exact"/>
        <w:ind w:firstLine="600" w:firstLineChars="250"/>
        <w:rPr>
          <w:rFonts w:hAnsi="宋体" w:cs="宋体"/>
          <w:bCs/>
          <w:sz w:val="24"/>
          <w:szCs w:val="24"/>
        </w:rPr>
      </w:pPr>
      <w:r>
        <w:rPr>
          <w:rFonts w:hint="eastAsia" w:hAnsi="宋体" w:cs="宋体"/>
          <w:bCs/>
          <w:sz w:val="24"/>
          <w:szCs w:val="24"/>
        </w:rPr>
        <w:t>2、法定代表人身份证明复印件和法定代表人授权委托书；</w:t>
      </w:r>
    </w:p>
    <w:p w14:paraId="06CFE22E">
      <w:pPr>
        <w:pStyle w:val="8"/>
        <w:adjustRightInd w:val="0"/>
        <w:snapToGrid w:val="0"/>
        <w:spacing w:line="500" w:lineRule="exact"/>
        <w:ind w:firstLine="600" w:firstLineChars="250"/>
        <w:rPr>
          <w:rFonts w:hAnsi="宋体" w:cs="宋体"/>
          <w:bCs/>
          <w:sz w:val="24"/>
          <w:szCs w:val="24"/>
        </w:rPr>
      </w:pPr>
      <w:r>
        <w:rPr>
          <w:rFonts w:hint="eastAsia" w:hAnsi="宋体" w:cs="宋体"/>
          <w:bCs/>
          <w:sz w:val="24"/>
          <w:szCs w:val="24"/>
        </w:rPr>
        <w:t>3、营业执照复印件；</w:t>
      </w:r>
    </w:p>
    <w:p w14:paraId="21AA0B5D">
      <w:pPr>
        <w:spacing w:line="500" w:lineRule="exact"/>
        <w:ind w:firstLine="600" w:firstLineChars="250"/>
        <w:rPr>
          <w:rFonts w:ascii="宋体" w:hAnsi="宋体" w:cs="宋体"/>
          <w:bCs/>
          <w:sz w:val="24"/>
          <w:szCs w:val="24"/>
        </w:rPr>
      </w:pPr>
      <w:r>
        <w:rPr>
          <w:rFonts w:hint="eastAsia" w:hAnsi="宋体" w:cs="宋体"/>
          <w:bCs/>
          <w:sz w:val="24"/>
          <w:szCs w:val="24"/>
        </w:rPr>
        <w:t>4、</w:t>
      </w:r>
      <w:r>
        <w:rPr>
          <w:rFonts w:hint="eastAsia" w:ascii="宋体" w:hAnsi="宋体" w:cs="宋体"/>
          <w:bCs/>
          <w:sz w:val="24"/>
          <w:szCs w:val="24"/>
        </w:rPr>
        <w:t>供应商基本情况；</w:t>
      </w:r>
    </w:p>
    <w:p w14:paraId="3143EB79">
      <w:pPr>
        <w:pStyle w:val="8"/>
        <w:adjustRightInd w:val="0"/>
        <w:snapToGrid w:val="0"/>
        <w:spacing w:line="500" w:lineRule="exact"/>
        <w:ind w:firstLine="600" w:firstLineChars="250"/>
        <w:rPr>
          <w:rFonts w:hAnsi="宋体" w:cs="宋体"/>
          <w:bCs/>
          <w:sz w:val="24"/>
          <w:szCs w:val="24"/>
        </w:rPr>
      </w:pPr>
      <w:r>
        <w:rPr>
          <w:rFonts w:hint="eastAsia" w:hAnsi="宋体" w:cs="宋体"/>
          <w:bCs/>
          <w:sz w:val="24"/>
          <w:szCs w:val="24"/>
        </w:rPr>
        <w:t>5、供应商认为需要提供的有关资料；</w:t>
      </w:r>
    </w:p>
    <w:p w14:paraId="20B6C4B5">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在此，我方宣布同意如下：</w:t>
      </w:r>
    </w:p>
    <w:p w14:paraId="361FD296">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1. 我方所附《报价一览表》中完全响应询价通知书中采购内容的,报价为</w:t>
      </w:r>
      <w:r>
        <w:rPr>
          <w:rFonts w:hint="eastAsia" w:ascii="宋体" w:hAnsi="宋体" w:cs="宋体"/>
          <w:sz w:val="24"/>
          <w:szCs w:val="24"/>
          <w:u w:val="single"/>
        </w:rPr>
        <w:t>（注明币种，并用文字和数字表示报价）</w:t>
      </w:r>
      <w:r>
        <w:rPr>
          <w:rFonts w:hint="eastAsia" w:ascii="宋体" w:hAnsi="宋体" w:cs="宋体"/>
          <w:kern w:val="0"/>
          <w:sz w:val="24"/>
          <w:szCs w:val="24"/>
        </w:rPr>
        <w:t>。</w:t>
      </w:r>
    </w:p>
    <w:p w14:paraId="22886F72">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2. 我方将按询价通知书的约定履行合同责任和义务。</w:t>
      </w:r>
    </w:p>
    <w:p w14:paraId="52F21446">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3. 我方已详细审查全部询价通知书，包括</w:t>
      </w:r>
      <w:r>
        <w:rPr>
          <w:rFonts w:hint="eastAsia" w:ascii="宋体" w:hAnsi="宋体" w:cs="宋体"/>
          <w:kern w:val="0"/>
          <w:sz w:val="24"/>
          <w:szCs w:val="24"/>
          <w:u w:val="single"/>
        </w:rPr>
        <w:t>（补充文件）</w:t>
      </w:r>
      <w:r>
        <w:rPr>
          <w:rFonts w:hint="eastAsia" w:ascii="宋体" w:hAnsi="宋体" w:cs="宋体"/>
          <w:kern w:val="0"/>
          <w:sz w:val="24"/>
          <w:szCs w:val="24"/>
        </w:rPr>
        <w:t>，对此无异议。</w:t>
      </w:r>
    </w:p>
    <w:p w14:paraId="34979661">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4. 本报价有效期（询价有效期）为自询价之日起共</w:t>
      </w:r>
      <w:r>
        <w:rPr>
          <w:rFonts w:hint="eastAsia" w:ascii="宋体" w:hAnsi="宋体" w:cs="宋体"/>
          <w:kern w:val="0"/>
          <w:sz w:val="24"/>
          <w:szCs w:val="24"/>
          <w:u w:val="single"/>
        </w:rPr>
        <w:t xml:space="preserve"> 5 </w:t>
      </w:r>
      <w:r>
        <w:rPr>
          <w:rFonts w:hint="eastAsia" w:ascii="宋体" w:hAnsi="宋体" w:cs="宋体"/>
          <w:kern w:val="0"/>
          <w:sz w:val="24"/>
          <w:szCs w:val="24"/>
        </w:rPr>
        <w:t>个日历日。</w:t>
      </w:r>
    </w:p>
    <w:p w14:paraId="77B1D6C3">
      <w:pPr>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5. 同意提供按照贵方可能要求的与其报价有关的一切数据或资料。</w:t>
      </w:r>
    </w:p>
    <w:p w14:paraId="3CF646C1">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 xml:space="preserve">6. 与本报价有关的一切正式往来信函请寄：          </w:t>
      </w:r>
    </w:p>
    <w:p w14:paraId="070C0F38">
      <w:pPr>
        <w:adjustRightInd w:val="0"/>
        <w:snapToGrid w:val="0"/>
        <w:spacing w:line="460" w:lineRule="exact"/>
        <w:rPr>
          <w:rFonts w:ascii="宋体" w:hAnsi="宋体" w:cs="宋体"/>
          <w:sz w:val="24"/>
          <w:szCs w:val="24"/>
        </w:rPr>
      </w:pPr>
    </w:p>
    <w:p w14:paraId="5D8E0A3F">
      <w:pPr>
        <w:adjustRightInd w:val="0"/>
        <w:snapToGrid w:val="0"/>
        <w:spacing w:line="460" w:lineRule="exact"/>
        <w:rPr>
          <w:rFonts w:ascii="宋体" w:hAnsi="宋体" w:cs="宋体"/>
          <w:sz w:val="24"/>
          <w:szCs w:val="24"/>
          <w:u w:val="single"/>
        </w:rPr>
      </w:pPr>
      <w:r>
        <w:rPr>
          <w:rFonts w:hint="eastAsia" w:ascii="宋体" w:hAnsi="宋体" w:cs="宋体"/>
          <w:sz w:val="24"/>
          <w:szCs w:val="24"/>
        </w:rPr>
        <w:t xml:space="preserve">供应商名称(盖章)： </w:t>
      </w:r>
      <w:r>
        <w:rPr>
          <w:rFonts w:hint="eastAsia" w:ascii="宋体" w:hAnsi="宋体" w:cs="宋体"/>
          <w:sz w:val="24"/>
          <w:szCs w:val="24"/>
          <w:u w:val="single"/>
        </w:rPr>
        <w:t xml:space="preserve">                </w:t>
      </w:r>
    </w:p>
    <w:p w14:paraId="68B9921D">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电子函件：</w:t>
      </w:r>
      <w:r>
        <w:rPr>
          <w:rFonts w:hint="eastAsia" w:ascii="宋体" w:hAnsi="宋体" w:cs="宋体"/>
          <w:kern w:val="0"/>
          <w:sz w:val="24"/>
          <w:szCs w:val="24"/>
          <w:u w:val="single"/>
        </w:rPr>
        <w:t xml:space="preserve">                        </w:t>
      </w:r>
    </w:p>
    <w:p w14:paraId="6603B59B">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6760AC61">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供应商（授权）代表签字：</w:t>
      </w:r>
      <w:r>
        <w:rPr>
          <w:rFonts w:hint="eastAsia" w:ascii="宋体" w:hAnsi="宋体" w:cs="宋体"/>
          <w:sz w:val="24"/>
          <w:szCs w:val="24"/>
          <w:u w:val="single"/>
        </w:rPr>
        <w:t xml:space="preserve">                 </w:t>
      </w:r>
    </w:p>
    <w:p w14:paraId="6CE2E481">
      <w:pPr>
        <w:adjustRightInd w:val="0"/>
        <w:snapToGrid w:val="0"/>
        <w:spacing w:line="460" w:lineRule="exact"/>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 xml:space="preserve">                                   </w:t>
      </w:r>
    </w:p>
    <w:p w14:paraId="594D71EE">
      <w:pPr>
        <w:adjustRightInd w:val="0"/>
        <w:snapToGrid w:val="0"/>
        <w:spacing w:line="460" w:lineRule="exac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 xml:space="preserve">                               </w:t>
      </w:r>
    </w:p>
    <w:p w14:paraId="78C4B95B">
      <w:pPr>
        <w:autoSpaceDE w:val="0"/>
        <w:autoSpaceDN w:val="0"/>
        <w:spacing w:line="460" w:lineRule="exact"/>
        <w:rPr>
          <w:rFonts w:ascii="宋体" w:hAnsi="宋体" w:cs="宋体"/>
          <w:b/>
          <w:sz w:val="28"/>
          <w:szCs w:val="28"/>
        </w:rPr>
      </w:pPr>
      <w:r>
        <w:rPr>
          <w:rFonts w:hint="eastAsia" w:ascii="宋体" w:hAnsi="宋体" w:cs="宋体"/>
          <w:sz w:val="24"/>
          <w:szCs w:val="24"/>
        </w:rPr>
        <w:t>帐号/行号：</w:t>
      </w:r>
      <w:r>
        <w:rPr>
          <w:rFonts w:hint="eastAsia" w:ascii="宋体" w:hAnsi="宋体" w:cs="宋体"/>
          <w:sz w:val="24"/>
          <w:szCs w:val="24"/>
          <w:u w:val="single"/>
        </w:rPr>
        <w:t xml:space="preserve">                         </w:t>
      </w:r>
    </w:p>
    <w:p w14:paraId="14D21454">
      <w:pPr>
        <w:spacing w:line="560" w:lineRule="exact"/>
        <w:rPr>
          <w:rStyle w:val="20"/>
          <w:rFonts w:ascii="宋体" w:hAnsi="宋体" w:cs="宋体"/>
          <w:szCs w:val="28"/>
        </w:rPr>
      </w:pPr>
    </w:p>
    <w:p w14:paraId="2CBE5343">
      <w:pPr>
        <w:spacing w:line="560" w:lineRule="exact"/>
        <w:rPr>
          <w:rStyle w:val="20"/>
          <w:rFonts w:ascii="宋体" w:hAnsi="宋体" w:cs="宋体"/>
          <w:szCs w:val="28"/>
        </w:rPr>
      </w:pPr>
    </w:p>
    <w:p w14:paraId="177DF19A">
      <w:pPr>
        <w:pStyle w:val="6"/>
      </w:pPr>
    </w:p>
    <w:p w14:paraId="47402986">
      <w:pPr>
        <w:spacing w:line="560" w:lineRule="exact"/>
        <w:rPr>
          <w:rStyle w:val="20"/>
          <w:rFonts w:ascii="宋体" w:hAnsi="宋体" w:cs="宋体"/>
          <w:szCs w:val="28"/>
        </w:rPr>
      </w:pPr>
      <w:r>
        <w:rPr>
          <w:rStyle w:val="20"/>
          <w:rFonts w:hint="eastAsia" w:ascii="宋体" w:hAnsi="宋体" w:cs="宋体"/>
          <w:szCs w:val="28"/>
        </w:rPr>
        <w:t>附件二：</w:t>
      </w:r>
    </w:p>
    <w:p w14:paraId="098395F1">
      <w:pPr>
        <w:spacing w:line="500" w:lineRule="exact"/>
        <w:jc w:val="center"/>
        <w:rPr>
          <w:rFonts w:ascii="宋体" w:hAnsi="宋体" w:cs="宋体"/>
          <w:b/>
          <w:sz w:val="24"/>
          <w:szCs w:val="24"/>
        </w:rPr>
      </w:pPr>
      <w:r>
        <w:rPr>
          <w:rFonts w:hint="eastAsia" w:ascii="宋体" w:hAnsi="宋体" w:cs="宋体"/>
          <w:b/>
          <w:sz w:val="24"/>
          <w:szCs w:val="24"/>
        </w:rPr>
        <w:t>报价一览表</w:t>
      </w:r>
    </w:p>
    <w:p w14:paraId="50741FB1">
      <w:pPr>
        <w:spacing w:line="500" w:lineRule="exact"/>
        <w:rPr>
          <w:rFonts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p>
    <w:p w14:paraId="459F07C0">
      <w:pPr>
        <w:spacing w:line="500" w:lineRule="exact"/>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17"/>
        <w:tblpPr w:leftFromText="180" w:rightFromText="180" w:vertAnchor="text" w:horzAnchor="page" w:tblpX="1155" w:tblpY="335"/>
        <w:tblOverlap w:val="never"/>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869"/>
        <w:gridCol w:w="2193"/>
        <w:gridCol w:w="2526"/>
        <w:gridCol w:w="1280"/>
      </w:tblGrid>
      <w:tr w14:paraId="7F1B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708" w:type="dxa"/>
            <w:vAlign w:val="center"/>
          </w:tcPr>
          <w:p w14:paraId="6F233BB7">
            <w:pPr>
              <w:spacing w:line="360" w:lineRule="auto"/>
              <w:jc w:val="center"/>
              <w:rPr>
                <w:rFonts w:ascii="宋体" w:hAnsi="宋体" w:cs="宋体"/>
                <w:szCs w:val="21"/>
              </w:rPr>
            </w:pPr>
            <w:r>
              <w:rPr>
                <w:rFonts w:hint="eastAsia" w:ascii="宋体" w:hAnsi="宋体" w:cs="宋体"/>
                <w:szCs w:val="21"/>
              </w:rPr>
              <w:t>供应商</w:t>
            </w:r>
            <w:r>
              <w:rPr>
                <w:rFonts w:ascii="宋体" w:hAnsi="宋体" w:cs="宋体"/>
                <w:szCs w:val="21"/>
              </w:rPr>
              <w:t>名称</w:t>
            </w:r>
          </w:p>
        </w:tc>
        <w:tc>
          <w:tcPr>
            <w:tcW w:w="1869" w:type="dxa"/>
            <w:vAlign w:val="center"/>
          </w:tcPr>
          <w:p w14:paraId="105BF871">
            <w:pPr>
              <w:spacing w:line="360" w:lineRule="auto"/>
              <w:jc w:val="center"/>
            </w:pPr>
            <w:r>
              <w:rPr>
                <w:rFonts w:hint="eastAsia" w:ascii="宋体" w:hAnsi="宋体" w:cs="宋体"/>
                <w:szCs w:val="21"/>
              </w:rPr>
              <w:t>总报价（元）</w:t>
            </w:r>
          </w:p>
        </w:tc>
        <w:tc>
          <w:tcPr>
            <w:tcW w:w="2193" w:type="dxa"/>
            <w:vAlign w:val="center"/>
          </w:tcPr>
          <w:p w14:paraId="5B472688">
            <w:pPr>
              <w:spacing w:line="360" w:lineRule="auto"/>
              <w:jc w:val="center"/>
            </w:pPr>
            <w:r>
              <w:rPr>
                <w:rFonts w:hint="eastAsia"/>
                <w:lang w:val="en-US" w:eastAsia="zh-CN"/>
              </w:rPr>
              <w:t>供货时间</w:t>
            </w:r>
          </w:p>
        </w:tc>
        <w:tc>
          <w:tcPr>
            <w:tcW w:w="2526" w:type="dxa"/>
            <w:vAlign w:val="center"/>
          </w:tcPr>
          <w:p w14:paraId="3B63AD4E">
            <w:pPr>
              <w:spacing w:line="360" w:lineRule="auto"/>
              <w:jc w:val="center"/>
              <w:rPr>
                <w:rFonts w:ascii="宋体" w:hAnsi="宋体" w:cs="宋体"/>
                <w:szCs w:val="21"/>
              </w:rPr>
            </w:pPr>
            <w:r>
              <w:rPr>
                <w:rFonts w:hint="eastAsia" w:ascii="宋体" w:hAnsi="宋体" w:cs="宋体"/>
                <w:szCs w:val="21"/>
              </w:rPr>
              <w:t xml:space="preserve"> </w:t>
            </w:r>
          </w:p>
          <w:p w14:paraId="702E7B10">
            <w:pPr>
              <w:spacing w:line="360" w:lineRule="auto"/>
              <w:jc w:val="center"/>
            </w:pPr>
            <w:r>
              <w:rPr>
                <w:rFonts w:hint="eastAsia" w:ascii="宋体" w:hAnsi="宋体" w:cs="宋体"/>
                <w:szCs w:val="21"/>
              </w:rPr>
              <w:t>质保期</w:t>
            </w:r>
          </w:p>
          <w:p w14:paraId="736DDB9C">
            <w:pPr>
              <w:spacing w:line="360" w:lineRule="auto"/>
              <w:jc w:val="center"/>
              <w:rPr>
                <w:rFonts w:ascii="宋体" w:hAnsi="宋体" w:cs="宋体"/>
                <w:szCs w:val="21"/>
              </w:rPr>
            </w:pPr>
            <w:r>
              <w:rPr>
                <w:rFonts w:hint="eastAsia" w:ascii="宋体" w:hAnsi="宋体" w:cs="宋体"/>
                <w:szCs w:val="21"/>
              </w:rPr>
              <w:t xml:space="preserve"> </w:t>
            </w:r>
          </w:p>
        </w:tc>
        <w:tc>
          <w:tcPr>
            <w:tcW w:w="1280" w:type="dxa"/>
            <w:vAlign w:val="center"/>
          </w:tcPr>
          <w:p w14:paraId="6ABA21AD">
            <w:pPr>
              <w:spacing w:line="360" w:lineRule="auto"/>
              <w:jc w:val="center"/>
              <w:rPr>
                <w:rFonts w:ascii="宋体" w:hAnsi="宋体" w:cs="宋体"/>
                <w:szCs w:val="21"/>
              </w:rPr>
            </w:pPr>
            <w:r>
              <w:rPr>
                <w:rFonts w:hint="eastAsia" w:ascii="宋体" w:hAnsi="宋体" w:cs="宋体"/>
                <w:szCs w:val="21"/>
              </w:rPr>
              <w:t>备注</w:t>
            </w:r>
          </w:p>
        </w:tc>
      </w:tr>
      <w:tr w14:paraId="60DB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708" w:type="dxa"/>
            <w:vAlign w:val="center"/>
          </w:tcPr>
          <w:p w14:paraId="0CDC62E8">
            <w:pPr>
              <w:spacing w:line="360" w:lineRule="auto"/>
              <w:jc w:val="center"/>
              <w:rPr>
                <w:rFonts w:ascii="宋体" w:hAnsi="宋体" w:cs="宋体"/>
                <w:szCs w:val="21"/>
              </w:rPr>
            </w:pPr>
          </w:p>
        </w:tc>
        <w:tc>
          <w:tcPr>
            <w:tcW w:w="1869" w:type="dxa"/>
            <w:vAlign w:val="center"/>
          </w:tcPr>
          <w:p w14:paraId="5D5EC5CE">
            <w:pPr>
              <w:spacing w:line="360" w:lineRule="auto"/>
              <w:jc w:val="left"/>
              <w:rPr>
                <w:rFonts w:ascii="宋体" w:hAnsi="宋体" w:cs="宋体"/>
                <w:szCs w:val="21"/>
              </w:rPr>
            </w:pPr>
            <w:r>
              <w:rPr>
                <w:rFonts w:hint="eastAsia" w:ascii="宋体" w:hAnsi="宋体" w:cs="宋体"/>
                <w:szCs w:val="21"/>
              </w:rPr>
              <w:t>大写：</w:t>
            </w:r>
          </w:p>
          <w:p w14:paraId="50358452">
            <w:pPr>
              <w:spacing w:line="360" w:lineRule="auto"/>
              <w:jc w:val="left"/>
            </w:pPr>
            <w:r>
              <w:rPr>
                <w:rFonts w:hint="eastAsia" w:ascii="宋体" w:hAnsi="宋体" w:cs="宋体"/>
                <w:szCs w:val="21"/>
              </w:rPr>
              <w:t>小写：</w:t>
            </w:r>
          </w:p>
        </w:tc>
        <w:tc>
          <w:tcPr>
            <w:tcW w:w="2193" w:type="dxa"/>
            <w:vAlign w:val="center"/>
          </w:tcPr>
          <w:p w14:paraId="775B7B0C">
            <w:pPr>
              <w:snapToGrid w:val="0"/>
              <w:spacing w:before="120" w:after="120"/>
              <w:jc w:val="center"/>
            </w:pPr>
          </w:p>
        </w:tc>
        <w:tc>
          <w:tcPr>
            <w:tcW w:w="2526" w:type="dxa"/>
            <w:vAlign w:val="center"/>
          </w:tcPr>
          <w:p w14:paraId="538B7514">
            <w:pPr>
              <w:spacing w:line="360" w:lineRule="auto"/>
              <w:jc w:val="center"/>
            </w:pPr>
          </w:p>
        </w:tc>
        <w:tc>
          <w:tcPr>
            <w:tcW w:w="1280" w:type="dxa"/>
            <w:vAlign w:val="center"/>
          </w:tcPr>
          <w:p w14:paraId="2660E755">
            <w:pPr>
              <w:spacing w:line="360" w:lineRule="auto"/>
              <w:jc w:val="center"/>
            </w:pPr>
          </w:p>
        </w:tc>
      </w:tr>
    </w:tbl>
    <w:p w14:paraId="765433A4">
      <w:pPr>
        <w:spacing w:line="360" w:lineRule="auto"/>
        <w:ind w:left="-2"/>
        <w:rPr>
          <w:rFonts w:ascii="宋体" w:hAnsi="宋体" w:cs="宋体"/>
          <w:szCs w:val="21"/>
        </w:rPr>
      </w:pPr>
    </w:p>
    <w:p w14:paraId="653BF1CA">
      <w:pPr>
        <w:rPr>
          <w:rFonts w:ascii="宋体" w:hAnsi="宋体" w:cs="宋体"/>
          <w:sz w:val="24"/>
          <w:szCs w:val="24"/>
        </w:rPr>
      </w:pPr>
      <w:r>
        <w:rPr>
          <w:rFonts w:hint="eastAsia" w:ascii="宋体" w:hAnsi="宋体" w:cs="宋体"/>
          <w:sz w:val="24"/>
          <w:szCs w:val="24"/>
        </w:rPr>
        <w:t>说明：所有价格均系用人民币表示，单位为元，精确到个数位。</w:t>
      </w:r>
    </w:p>
    <w:p w14:paraId="3649B43F">
      <w:pPr>
        <w:adjustRightInd w:val="0"/>
        <w:snapToGrid w:val="0"/>
        <w:spacing w:line="360" w:lineRule="auto"/>
        <w:rPr>
          <w:rFonts w:ascii="宋体" w:hAnsi="宋体" w:cs="宋体"/>
          <w:sz w:val="24"/>
          <w:szCs w:val="24"/>
        </w:rPr>
      </w:pPr>
    </w:p>
    <w:p w14:paraId="16D2C93A">
      <w:pPr>
        <w:adjustRightInd w:val="0"/>
        <w:snapToGrid w:val="0"/>
        <w:spacing w:line="360" w:lineRule="auto"/>
        <w:rPr>
          <w:rFonts w:ascii="宋体" w:hAnsi="宋体" w:cs="宋体"/>
          <w:sz w:val="24"/>
          <w:szCs w:val="24"/>
        </w:rPr>
      </w:pPr>
    </w:p>
    <w:p w14:paraId="13AAB41B">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2C414A40">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65E54DBB">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3796600">
      <w:pPr>
        <w:adjustRightInd w:val="0"/>
        <w:snapToGrid w:val="0"/>
        <w:spacing w:line="360" w:lineRule="auto"/>
        <w:rPr>
          <w:rFonts w:ascii="宋体" w:hAnsi="宋体" w:cs="宋体"/>
          <w:sz w:val="24"/>
          <w:szCs w:val="24"/>
        </w:rPr>
      </w:pPr>
    </w:p>
    <w:p w14:paraId="121C9657">
      <w:pPr>
        <w:spacing w:line="500" w:lineRule="exact"/>
        <w:jc w:val="center"/>
        <w:rPr>
          <w:rFonts w:ascii="宋体" w:hAnsi="宋体" w:cs="宋体"/>
          <w:b/>
          <w:sz w:val="24"/>
          <w:szCs w:val="24"/>
        </w:rPr>
      </w:pPr>
      <w:r>
        <w:rPr>
          <w:rFonts w:hint="eastAsia" w:ascii="宋体" w:hAnsi="宋体" w:cs="宋体"/>
          <w:b/>
          <w:sz w:val="28"/>
          <w:szCs w:val="28"/>
        </w:rPr>
        <w:br w:type="page"/>
      </w:r>
      <w:r>
        <w:rPr>
          <w:rFonts w:hint="eastAsia" w:ascii="宋体" w:hAnsi="宋体" w:cs="宋体"/>
          <w:b/>
          <w:sz w:val="24"/>
          <w:szCs w:val="24"/>
        </w:rPr>
        <w:t>分项报价表</w:t>
      </w:r>
    </w:p>
    <w:p w14:paraId="5D02D9CC">
      <w:pPr>
        <w:spacing w:line="500" w:lineRule="exact"/>
        <w:rPr>
          <w:rFonts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p>
    <w:p w14:paraId="12430E73">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17"/>
        <w:tblW w:w="9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68"/>
        <w:gridCol w:w="1395"/>
        <w:gridCol w:w="1125"/>
        <w:gridCol w:w="2595"/>
        <w:gridCol w:w="1065"/>
        <w:gridCol w:w="1088"/>
      </w:tblGrid>
      <w:tr w14:paraId="7C75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11" w:type="dxa"/>
            <w:tcBorders>
              <w:top w:val="single" w:color="auto" w:sz="4" w:space="0"/>
              <w:left w:val="single" w:color="auto" w:sz="4" w:space="0"/>
              <w:bottom w:val="single" w:color="auto" w:sz="4" w:space="0"/>
              <w:right w:val="single" w:color="auto" w:sz="4" w:space="0"/>
            </w:tcBorders>
            <w:vAlign w:val="center"/>
          </w:tcPr>
          <w:p w14:paraId="1B719BD3">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条</w:t>
            </w:r>
            <w:r>
              <w:rPr>
                <w:rFonts w:hint="eastAsia" w:asciiTheme="minorEastAsia" w:hAnsiTheme="minorEastAsia" w:eastAsiaTheme="minorEastAsia" w:cstheme="minorEastAsia"/>
                <w:sz w:val="24"/>
                <w:highlight w:val="none"/>
              </w:rPr>
              <w:t>目</w:t>
            </w:r>
          </w:p>
        </w:tc>
        <w:tc>
          <w:tcPr>
            <w:tcW w:w="1568" w:type="dxa"/>
            <w:tcBorders>
              <w:top w:val="single" w:color="auto" w:sz="4" w:space="0"/>
              <w:left w:val="single" w:color="auto" w:sz="4" w:space="0"/>
              <w:bottom w:val="single" w:color="auto" w:sz="4" w:space="0"/>
              <w:right w:val="single" w:color="auto" w:sz="4" w:space="0"/>
            </w:tcBorders>
            <w:vAlign w:val="center"/>
          </w:tcPr>
          <w:p w14:paraId="40231460">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名称</w:t>
            </w:r>
          </w:p>
        </w:tc>
        <w:tc>
          <w:tcPr>
            <w:tcW w:w="1395" w:type="dxa"/>
            <w:tcBorders>
              <w:top w:val="single" w:color="auto" w:sz="4" w:space="0"/>
              <w:left w:val="single" w:color="auto" w:sz="4" w:space="0"/>
              <w:bottom w:val="single" w:color="auto" w:sz="4" w:space="0"/>
              <w:right w:val="single" w:color="auto" w:sz="4" w:space="0"/>
            </w:tcBorders>
          </w:tcPr>
          <w:p w14:paraId="2410F0A5">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型号</w:t>
            </w:r>
          </w:p>
        </w:tc>
        <w:tc>
          <w:tcPr>
            <w:tcW w:w="1125" w:type="dxa"/>
            <w:tcBorders>
              <w:top w:val="single" w:color="auto" w:sz="4" w:space="0"/>
              <w:left w:val="single" w:color="auto" w:sz="4" w:space="0"/>
              <w:bottom w:val="single" w:color="auto" w:sz="4" w:space="0"/>
              <w:right w:val="single" w:color="auto" w:sz="4" w:space="0"/>
            </w:tcBorders>
            <w:vAlign w:val="center"/>
          </w:tcPr>
          <w:p w14:paraId="4A947707">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数量</w:t>
            </w:r>
          </w:p>
        </w:tc>
        <w:tc>
          <w:tcPr>
            <w:tcW w:w="2595" w:type="dxa"/>
            <w:tcBorders>
              <w:top w:val="single" w:color="auto" w:sz="4" w:space="0"/>
              <w:left w:val="single" w:color="auto" w:sz="4" w:space="0"/>
              <w:bottom w:val="single" w:color="auto" w:sz="4" w:space="0"/>
              <w:right w:val="single" w:color="auto" w:sz="4" w:space="0"/>
            </w:tcBorders>
            <w:vAlign w:val="center"/>
          </w:tcPr>
          <w:p w14:paraId="29938229">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交货期</w:t>
            </w:r>
          </w:p>
        </w:tc>
        <w:tc>
          <w:tcPr>
            <w:tcW w:w="1065" w:type="dxa"/>
            <w:tcBorders>
              <w:top w:val="single" w:color="auto" w:sz="4" w:space="0"/>
              <w:left w:val="single" w:color="auto" w:sz="4" w:space="0"/>
              <w:bottom w:val="single" w:color="auto" w:sz="4" w:space="0"/>
              <w:right w:val="single" w:color="auto" w:sz="4" w:space="0"/>
            </w:tcBorders>
            <w:vAlign w:val="center"/>
          </w:tcPr>
          <w:p w14:paraId="2681F48D">
            <w:pPr>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交货</w:t>
            </w:r>
            <w:r>
              <w:rPr>
                <w:rFonts w:hint="eastAsia" w:asciiTheme="minorEastAsia" w:hAnsiTheme="minorEastAsia" w:eastAsiaTheme="minorEastAsia" w:cstheme="minorEastAsia"/>
                <w:sz w:val="24"/>
                <w:highlight w:val="none"/>
                <w:lang w:eastAsia="zh-CN"/>
              </w:rPr>
              <w:t>期限</w:t>
            </w:r>
          </w:p>
        </w:tc>
        <w:tc>
          <w:tcPr>
            <w:tcW w:w="1088" w:type="dxa"/>
            <w:tcBorders>
              <w:top w:val="single" w:color="auto" w:sz="4" w:space="0"/>
              <w:left w:val="single" w:color="auto" w:sz="4" w:space="0"/>
              <w:bottom w:val="single" w:color="auto" w:sz="4" w:space="0"/>
              <w:right w:val="single" w:color="auto" w:sz="4" w:space="0"/>
            </w:tcBorders>
            <w:vAlign w:val="center"/>
          </w:tcPr>
          <w:p w14:paraId="5A4D4D2A">
            <w:pPr>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总价</w:t>
            </w:r>
          </w:p>
        </w:tc>
      </w:tr>
      <w:tr w14:paraId="2C35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11" w:type="dxa"/>
            <w:tcBorders>
              <w:top w:val="single" w:color="auto" w:sz="4" w:space="0"/>
              <w:left w:val="single" w:color="auto" w:sz="4" w:space="0"/>
              <w:bottom w:val="single" w:color="auto" w:sz="4" w:space="0"/>
              <w:right w:val="single" w:color="auto" w:sz="4" w:space="0"/>
            </w:tcBorders>
            <w:vAlign w:val="center"/>
          </w:tcPr>
          <w:p w14:paraId="3A7E227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568" w:type="dxa"/>
            <w:tcBorders>
              <w:top w:val="single" w:color="auto" w:sz="4" w:space="0"/>
              <w:left w:val="single" w:color="auto" w:sz="4" w:space="0"/>
              <w:bottom w:val="single" w:color="auto" w:sz="4" w:space="0"/>
              <w:right w:val="single" w:color="auto" w:sz="4" w:space="0"/>
            </w:tcBorders>
            <w:vAlign w:val="center"/>
          </w:tcPr>
          <w:p w14:paraId="6A756B9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UPS工频主机</w:t>
            </w:r>
          </w:p>
        </w:tc>
        <w:tc>
          <w:tcPr>
            <w:tcW w:w="1395" w:type="dxa"/>
            <w:tcBorders>
              <w:top w:val="single" w:color="auto" w:sz="4" w:space="0"/>
              <w:left w:val="single" w:color="auto" w:sz="4" w:space="0"/>
              <w:bottom w:val="single" w:color="auto" w:sz="4" w:space="0"/>
              <w:right w:val="single" w:color="auto" w:sz="4" w:space="0"/>
            </w:tcBorders>
          </w:tcPr>
          <w:p w14:paraId="169D6106">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10KVA</w:t>
            </w:r>
          </w:p>
        </w:tc>
        <w:tc>
          <w:tcPr>
            <w:tcW w:w="1125" w:type="dxa"/>
            <w:tcBorders>
              <w:top w:val="single" w:color="auto" w:sz="4" w:space="0"/>
              <w:left w:val="single" w:color="auto" w:sz="4" w:space="0"/>
              <w:bottom w:val="single" w:color="auto" w:sz="4" w:space="0"/>
              <w:right w:val="single" w:color="auto" w:sz="4" w:space="0"/>
            </w:tcBorders>
            <w:vAlign w:val="center"/>
          </w:tcPr>
          <w:p w14:paraId="2256384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2台</w:t>
            </w:r>
          </w:p>
        </w:tc>
        <w:tc>
          <w:tcPr>
            <w:tcW w:w="2595" w:type="dxa"/>
            <w:tcBorders>
              <w:top w:val="single" w:color="auto" w:sz="4" w:space="0"/>
              <w:left w:val="single" w:color="auto" w:sz="4" w:space="0"/>
              <w:bottom w:val="single" w:color="auto" w:sz="4" w:space="0"/>
              <w:right w:val="single" w:color="auto" w:sz="4" w:space="0"/>
            </w:tcBorders>
            <w:vAlign w:val="center"/>
          </w:tcPr>
          <w:p w14:paraId="2539AC29">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自签订合同之日起</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个自然日内供货</w:t>
            </w:r>
          </w:p>
        </w:tc>
        <w:tc>
          <w:tcPr>
            <w:tcW w:w="1065" w:type="dxa"/>
            <w:tcBorders>
              <w:top w:val="single" w:color="auto" w:sz="4" w:space="0"/>
              <w:left w:val="single" w:color="auto" w:sz="4" w:space="0"/>
              <w:bottom w:val="single" w:color="auto" w:sz="4" w:space="0"/>
              <w:right w:val="single" w:color="auto" w:sz="4" w:space="0"/>
            </w:tcBorders>
            <w:vAlign w:val="center"/>
          </w:tcPr>
          <w:p w14:paraId="07FAD005">
            <w:pPr>
              <w:jc w:val="center"/>
              <w:rPr>
                <w:rFonts w:hint="eastAsia" w:asciiTheme="minorEastAsia" w:hAnsiTheme="minorEastAsia" w:eastAsiaTheme="minorEastAsia" w:cstheme="minorEastAsia"/>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14:paraId="50E63B00">
            <w:pPr>
              <w:jc w:val="center"/>
              <w:rPr>
                <w:rFonts w:hint="eastAsia" w:asciiTheme="minorEastAsia" w:hAnsiTheme="minorEastAsia" w:eastAsiaTheme="minorEastAsia" w:cstheme="minorEastAsia"/>
                <w:sz w:val="24"/>
                <w:highlight w:val="none"/>
              </w:rPr>
            </w:pPr>
          </w:p>
        </w:tc>
      </w:tr>
      <w:tr w14:paraId="6847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11" w:type="dxa"/>
            <w:tcBorders>
              <w:top w:val="single" w:color="auto" w:sz="4" w:space="0"/>
              <w:left w:val="single" w:color="auto" w:sz="4" w:space="0"/>
              <w:bottom w:val="single" w:color="auto" w:sz="4" w:space="0"/>
              <w:right w:val="single" w:color="auto" w:sz="4" w:space="0"/>
            </w:tcBorders>
            <w:vAlign w:val="center"/>
          </w:tcPr>
          <w:p w14:paraId="167DF83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568" w:type="dxa"/>
            <w:tcBorders>
              <w:top w:val="single" w:color="auto" w:sz="4" w:space="0"/>
              <w:left w:val="single" w:color="auto" w:sz="4" w:space="0"/>
              <w:bottom w:val="single" w:color="auto" w:sz="4" w:space="0"/>
              <w:right w:val="single" w:color="auto" w:sz="4" w:space="0"/>
            </w:tcBorders>
            <w:vAlign w:val="center"/>
          </w:tcPr>
          <w:p w14:paraId="3557E14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UPS工频主机</w:t>
            </w:r>
          </w:p>
        </w:tc>
        <w:tc>
          <w:tcPr>
            <w:tcW w:w="1395" w:type="dxa"/>
            <w:tcBorders>
              <w:top w:val="single" w:color="auto" w:sz="4" w:space="0"/>
              <w:left w:val="single" w:color="auto" w:sz="4" w:space="0"/>
              <w:bottom w:val="single" w:color="auto" w:sz="4" w:space="0"/>
              <w:right w:val="single" w:color="auto" w:sz="4" w:space="0"/>
            </w:tcBorders>
          </w:tcPr>
          <w:p w14:paraId="2061F40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40KVA</w:t>
            </w:r>
          </w:p>
        </w:tc>
        <w:tc>
          <w:tcPr>
            <w:tcW w:w="1125" w:type="dxa"/>
            <w:tcBorders>
              <w:top w:val="single" w:color="auto" w:sz="4" w:space="0"/>
              <w:left w:val="single" w:color="auto" w:sz="4" w:space="0"/>
              <w:bottom w:val="single" w:color="auto" w:sz="4" w:space="0"/>
              <w:right w:val="single" w:color="auto" w:sz="4" w:space="0"/>
            </w:tcBorders>
            <w:vAlign w:val="center"/>
          </w:tcPr>
          <w:p w14:paraId="0816A06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1台</w:t>
            </w:r>
          </w:p>
        </w:tc>
        <w:tc>
          <w:tcPr>
            <w:tcW w:w="2595" w:type="dxa"/>
            <w:tcBorders>
              <w:top w:val="single" w:color="auto" w:sz="4" w:space="0"/>
              <w:left w:val="single" w:color="auto" w:sz="4" w:space="0"/>
              <w:bottom w:val="single" w:color="auto" w:sz="4" w:space="0"/>
              <w:right w:val="single" w:color="auto" w:sz="4" w:space="0"/>
            </w:tcBorders>
            <w:vAlign w:val="center"/>
          </w:tcPr>
          <w:p w14:paraId="18B1200E">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自签订合同之日起</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个自然日内供货</w:t>
            </w:r>
          </w:p>
        </w:tc>
        <w:tc>
          <w:tcPr>
            <w:tcW w:w="1065" w:type="dxa"/>
            <w:tcBorders>
              <w:top w:val="single" w:color="auto" w:sz="4" w:space="0"/>
              <w:left w:val="single" w:color="auto" w:sz="4" w:space="0"/>
              <w:bottom w:val="single" w:color="auto" w:sz="4" w:space="0"/>
              <w:right w:val="single" w:color="auto" w:sz="4" w:space="0"/>
            </w:tcBorders>
            <w:vAlign w:val="center"/>
          </w:tcPr>
          <w:p w14:paraId="25854176">
            <w:pPr>
              <w:jc w:val="center"/>
              <w:rPr>
                <w:rFonts w:hint="eastAsia" w:asciiTheme="minorEastAsia" w:hAnsiTheme="minorEastAsia" w:eastAsiaTheme="minorEastAsia" w:cstheme="minorEastAsia"/>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14:paraId="0A3514CE">
            <w:pPr>
              <w:jc w:val="center"/>
              <w:rPr>
                <w:rFonts w:hint="eastAsia" w:asciiTheme="minorEastAsia" w:hAnsiTheme="minorEastAsia" w:eastAsiaTheme="minorEastAsia" w:cstheme="minorEastAsia"/>
                <w:sz w:val="24"/>
                <w:highlight w:val="none"/>
              </w:rPr>
            </w:pPr>
          </w:p>
        </w:tc>
      </w:tr>
      <w:tr w14:paraId="1A3E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11" w:type="dxa"/>
            <w:tcBorders>
              <w:top w:val="single" w:color="auto" w:sz="4" w:space="0"/>
              <w:left w:val="single" w:color="auto" w:sz="4" w:space="0"/>
              <w:bottom w:val="single" w:color="auto" w:sz="4" w:space="0"/>
              <w:right w:val="single" w:color="auto" w:sz="4" w:space="0"/>
            </w:tcBorders>
            <w:vAlign w:val="center"/>
          </w:tcPr>
          <w:p w14:paraId="432379F6">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568" w:type="dxa"/>
            <w:tcBorders>
              <w:top w:val="single" w:color="auto" w:sz="4" w:space="0"/>
              <w:left w:val="single" w:color="auto" w:sz="4" w:space="0"/>
              <w:bottom w:val="single" w:color="auto" w:sz="4" w:space="0"/>
              <w:right w:val="single" w:color="auto" w:sz="4" w:space="0"/>
            </w:tcBorders>
            <w:vAlign w:val="center"/>
          </w:tcPr>
          <w:p w14:paraId="109E8BEB">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蓄电池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含连接线</w:t>
            </w:r>
            <w:r>
              <w:rPr>
                <w:rFonts w:hint="eastAsia" w:asciiTheme="minorEastAsia" w:hAnsiTheme="minorEastAsia" w:eastAsiaTheme="minorEastAsia" w:cstheme="minorEastAsia"/>
                <w:sz w:val="24"/>
                <w:szCs w:val="24"/>
                <w:highlight w:val="none"/>
                <w:lang w:eastAsia="zh-CN"/>
              </w:rPr>
              <w:t>）</w:t>
            </w:r>
          </w:p>
        </w:tc>
        <w:tc>
          <w:tcPr>
            <w:tcW w:w="1395" w:type="dxa"/>
            <w:tcBorders>
              <w:top w:val="single" w:color="auto" w:sz="4" w:space="0"/>
              <w:left w:val="single" w:color="auto" w:sz="4" w:space="0"/>
              <w:bottom w:val="single" w:color="auto" w:sz="4" w:space="0"/>
              <w:right w:val="single" w:color="auto" w:sz="4" w:space="0"/>
            </w:tcBorders>
          </w:tcPr>
          <w:p w14:paraId="4E35963F">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12V100AH</w:t>
            </w:r>
          </w:p>
        </w:tc>
        <w:tc>
          <w:tcPr>
            <w:tcW w:w="1125" w:type="dxa"/>
            <w:tcBorders>
              <w:top w:val="single" w:color="auto" w:sz="4" w:space="0"/>
              <w:left w:val="single" w:color="auto" w:sz="4" w:space="0"/>
              <w:bottom w:val="single" w:color="auto" w:sz="4" w:space="0"/>
              <w:right w:val="single" w:color="auto" w:sz="4" w:space="0"/>
            </w:tcBorders>
            <w:vAlign w:val="center"/>
          </w:tcPr>
          <w:p w14:paraId="2B8081E2">
            <w:pPr>
              <w:spacing w:line="360" w:lineRule="auto"/>
              <w:jc w:val="center"/>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32个</w:t>
            </w:r>
          </w:p>
        </w:tc>
        <w:tc>
          <w:tcPr>
            <w:tcW w:w="2595" w:type="dxa"/>
            <w:tcBorders>
              <w:top w:val="single" w:color="auto" w:sz="4" w:space="0"/>
              <w:left w:val="single" w:color="auto" w:sz="4" w:space="0"/>
              <w:bottom w:val="single" w:color="auto" w:sz="4" w:space="0"/>
              <w:right w:val="single" w:color="auto" w:sz="4" w:space="0"/>
            </w:tcBorders>
            <w:vAlign w:val="center"/>
          </w:tcPr>
          <w:p w14:paraId="548373F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自签订合同之日起</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个自然日内供货</w:t>
            </w:r>
          </w:p>
        </w:tc>
        <w:tc>
          <w:tcPr>
            <w:tcW w:w="1065" w:type="dxa"/>
            <w:tcBorders>
              <w:top w:val="single" w:color="auto" w:sz="4" w:space="0"/>
              <w:left w:val="single" w:color="auto" w:sz="4" w:space="0"/>
              <w:bottom w:val="single" w:color="auto" w:sz="4" w:space="0"/>
              <w:right w:val="single" w:color="auto" w:sz="4" w:space="0"/>
            </w:tcBorders>
            <w:vAlign w:val="center"/>
          </w:tcPr>
          <w:p w14:paraId="27854503">
            <w:pPr>
              <w:jc w:val="center"/>
              <w:rPr>
                <w:rFonts w:hint="eastAsia" w:asciiTheme="minorEastAsia" w:hAnsiTheme="minorEastAsia" w:eastAsiaTheme="minorEastAsia" w:cstheme="minorEastAsia"/>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14:paraId="7B4C15C5">
            <w:pPr>
              <w:jc w:val="center"/>
              <w:rPr>
                <w:rFonts w:hint="eastAsia" w:asciiTheme="minorEastAsia" w:hAnsiTheme="minorEastAsia" w:eastAsiaTheme="minorEastAsia" w:cstheme="minorEastAsia"/>
                <w:sz w:val="24"/>
                <w:highlight w:val="none"/>
              </w:rPr>
            </w:pPr>
          </w:p>
        </w:tc>
      </w:tr>
    </w:tbl>
    <w:p w14:paraId="32C05BD4">
      <w:pPr>
        <w:spacing w:line="500" w:lineRule="exact"/>
        <w:rPr>
          <w:rFonts w:ascii="宋体" w:hAnsi="宋体" w:cs="宋体"/>
          <w:sz w:val="24"/>
          <w:szCs w:val="24"/>
        </w:rPr>
      </w:pPr>
      <w:r>
        <w:rPr>
          <w:rFonts w:hint="eastAsia" w:ascii="宋体" w:hAnsi="宋体" w:cs="宋体"/>
          <w:sz w:val="24"/>
          <w:szCs w:val="24"/>
        </w:rPr>
        <w:t xml:space="preserve">    </w:t>
      </w:r>
    </w:p>
    <w:p w14:paraId="36CBCDB3">
      <w:pPr>
        <w:pStyle w:val="6"/>
        <w:rPr>
          <w:rFonts w:ascii="宋体" w:hAnsi="宋体" w:cs="宋体"/>
          <w:b/>
          <w:bCs/>
          <w:sz w:val="28"/>
          <w:szCs w:val="28"/>
        </w:rPr>
      </w:pPr>
      <w:r>
        <w:rPr>
          <w:rFonts w:hint="eastAsia" w:ascii="宋体" w:hAnsi="宋体" w:cs="宋体"/>
          <w:sz w:val="24"/>
          <w:szCs w:val="24"/>
        </w:rPr>
        <w:t xml:space="preserve"> </w:t>
      </w:r>
      <w:r>
        <w:rPr>
          <w:rFonts w:hint="eastAsia"/>
          <w:b/>
        </w:rPr>
        <w:t>以上数量为参考，具体费用以实际发生数量据实结算。</w:t>
      </w:r>
      <w:r>
        <w:rPr>
          <w:b/>
        </w:rPr>
        <w:br w:type="page"/>
      </w:r>
      <w:r>
        <w:rPr>
          <w:rFonts w:hint="eastAsia" w:ascii="宋体" w:hAnsi="宋体" w:cs="宋体"/>
          <w:b/>
          <w:bCs/>
          <w:sz w:val="28"/>
          <w:szCs w:val="28"/>
        </w:rPr>
        <w:t>附件四：</w:t>
      </w:r>
    </w:p>
    <w:p w14:paraId="1C1291D9">
      <w:pPr>
        <w:adjustRightInd w:val="0"/>
        <w:snapToGrid w:val="0"/>
        <w:spacing w:line="500" w:lineRule="exact"/>
        <w:jc w:val="center"/>
        <w:rPr>
          <w:rFonts w:ascii="宋体" w:hAnsi="宋体" w:cs="宋体"/>
          <w:b/>
          <w:sz w:val="24"/>
          <w:szCs w:val="24"/>
        </w:rPr>
      </w:pPr>
      <w:r>
        <w:rPr>
          <w:rFonts w:hint="eastAsia" w:ascii="宋体" w:hAnsi="宋体" w:cs="宋体"/>
          <w:b/>
          <w:sz w:val="24"/>
          <w:szCs w:val="24"/>
        </w:rPr>
        <w:t>法定代表人授权书</w:t>
      </w:r>
    </w:p>
    <w:p w14:paraId="6B4227ED">
      <w:pPr>
        <w:adjustRightInd w:val="0"/>
        <w:snapToGrid w:val="0"/>
        <w:spacing w:line="500" w:lineRule="exact"/>
        <w:rPr>
          <w:rFonts w:ascii="宋体" w:hAnsi="宋体" w:cs="宋体"/>
          <w:sz w:val="24"/>
          <w:szCs w:val="24"/>
        </w:rPr>
      </w:pPr>
    </w:p>
    <w:p w14:paraId="7C21535C">
      <w:pPr>
        <w:spacing w:line="500" w:lineRule="exact"/>
        <w:rPr>
          <w:rFonts w:ascii="宋体" w:hAnsi="宋体" w:cs="宋体"/>
          <w:sz w:val="24"/>
          <w:szCs w:val="24"/>
        </w:rPr>
      </w:pPr>
      <w:r>
        <w:rPr>
          <w:rFonts w:hint="eastAsia" w:ascii="宋体" w:hAnsi="宋体" w:cs="宋体"/>
          <w:sz w:val="24"/>
          <w:szCs w:val="24"/>
          <w:u w:val="single"/>
        </w:rPr>
        <w:t>（湖北机场集团航空物流有限公司）</w:t>
      </w:r>
      <w:r>
        <w:rPr>
          <w:rFonts w:hint="eastAsia" w:ascii="宋体" w:hAnsi="宋体" w:cs="宋体"/>
          <w:sz w:val="24"/>
          <w:szCs w:val="24"/>
        </w:rPr>
        <w:t>：</w:t>
      </w:r>
    </w:p>
    <w:p w14:paraId="40C2ACC8">
      <w:pPr>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w:t>
      </w:r>
      <w:r>
        <w:rPr>
          <w:rFonts w:hint="eastAsia" w:ascii="宋体" w:hAnsi="宋体" w:cs="宋体"/>
          <w:sz w:val="24"/>
          <w:szCs w:val="24"/>
          <w:u w:val="single"/>
        </w:rPr>
        <w:t>（项目名称）</w:t>
      </w:r>
      <w:r>
        <w:rPr>
          <w:rFonts w:hint="eastAsia" w:ascii="宋体" w:hAnsi="宋体" w:cs="宋体"/>
          <w:sz w:val="24"/>
          <w:szCs w:val="24"/>
        </w:rPr>
        <w:t>询价活动的代表人，全权代表我公司处理在该项目活动中的一切事宜。代理期限从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14:paraId="311B21FB">
      <w:pPr>
        <w:spacing w:line="500" w:lineRule="exact"/>
        <w:rPr>
          <w:rFonts w:ascii="宋体" w:hAnsi="宋体" w:cs="宋体"/>
          <w:sz w:val="24"/>
          <w:szCs w:val="24"/>
        </w:rPr>
      </w:pPr>
    </w:p>
    <w:p w14:paraId="78082A36">
      <w:pPr>
        <w:spacing w:line="500" w:lineRule="exact"/>
        <w:rPr>
          <w:rFonts w:ascii="宋体" w:hAnsi="宋体" w:cs="宋体"/>
          <w:sz w:val="24"/>
          <w:szCs w:val="24"/>
        </w:rPr>
      </w:pPr>
      <w:r>
        <w:rPr>
          <w:rFonts w:hint="eastAsia" w:ascii="宋体" w:hAnsi="宋体" w:cs="宋体"/>
          <w:sz w:val="24"/>
          <w:szCs w:val="24"/>
        </w:rPr>
        <w:t>授权单位（盖章）：</w:t>
      </w:r>
      <w:r>
        <w:rPr>
          <w:rFonts w:hint="eastAsia" w:ascii="宋体" w:hAnsi="宋体" w:cs="宋体"/>
          <w:sz w:val="24"/>
          <w:szCs w:val="24"/>
          <w:u w:val="single"/>
        </w:rPr>
        <w:t xml:space="preserve">               </w:t>
      </w:r>
    </w:p>
    <w:p w14:paraId="208B6C60">
      <w:pPr>
        <w:spacing w:line="500" w:lineRule="exact"/>
        <w:rPr>
          <w:rFonts w:ascii="宋体" w:hAns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14:paraId="6674B6FB">
      <w:pPr>
        <w:pStyle w:val="6"/>
      </w:pPr>
      <w:r>
        <w:rPr>
          <w:rFonts w:hint="eastAsia" w:ascii="宋体" w:hAnsi="宋体" w:cs="宋体"/>
          <w:szCs w:val="24"/>
        </w:rPr>
        <w:t>被授权人（签字）：</w:t>
      </w:r>
      <w:r>
        <w:rPr>
          <w:rFonts w:hint="eastAsia" w:ascii="宋体" w:hAnsi="宋体" w:cs="宋体"/>
          <w:szCs w:val="24"/>
          <w:u w:val="single"/>
        </w:rPr>
        <w:t xml:space="preserve">        </w:t>
      </w:r>
    </w:p>
    <w:p w14:paraId="463FF509">
      <w:pPr>
        <w:spacing w:line="50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A2D7584">
      <w:pPr>
        <w:spacing w:line="500" w:lineRule="exact"/>
        <w:rPr>
          <w:rFonts w:ascii="宋体" w:hAnsi="宋体" w:cs="宋体"/>
          <w:sz w:val="24"/>
          <w:szCs w:val="24"/>
        </w:rPr>
      </w:pPr>
    </w:p>
    <w:p w14:paraId="1621BDBA">
      <w:pPr>
        <w:spacing w:line="500" w:lineRule="exact"/>
        <w:ind w:firstLine="480" w:firstLineChars="200"/>
        <w:rPr>
          <w:rFonts w:ascii="宋体" w:hAnsi="宋体" w:cs="宋体"/>
          <w:sz w:val="24"/>
          <w:szCs w:val="24"/>
        </w:rPr>
      </w:pPr>
      <w:r>
        <w:rPr>
          <w:rFonts w:hint="eastAsia" w:ascii="宋体" w:hAnsi="宋体" w:cs="宋体"/>
          <w:sz w:val="24"/>
          <w:szCs w:val="24"/>
        </w:rPr>
        <w:t>附：代理人工作单位：</w:t>
      </w:r>
      <w:r>
        <w:rPr>
          <w:rFonts w:hint="eastAsia" w:ascii="宋体" w:hAnsi="宋体" w:cs="宋体"/>
          <w:sz w:val="24"/>
          <w:szCs w:val="24"/>
          <w:u w:val="single"/>
        </w:rPr>
        <w:t xml:space="preserve">                     </w:t>
      </w:r>
    </w:p>
    <w:p w14:paraId="285CCFD5">
      <w:pPr>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14:paraId="54EEF00A">
      <w:pPr>
        <w:adjustRightInd w:val="0"/>
        <w:snapToGrid w:val="0"/>
        <w:spacing w:line="500" w:lineRule="exact"/>
        <w:ind w:left="-88" w:leftChars="-42" w:firstLine="600" w:firstLineChars="25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37ECF057">
      <w:pPr>
        <w:adjustRightInd w:val="0"/>
        <w:snapToGrid w:val="0"/>
        <w:spacing w:line="500" w:lineRule="exact"/>
        <w:ind w:left="-88" w:leftChars="-42" w:firstLine="600" w:firstLineChars="250"/>
        <w:rPr>
          <w:rFonts w:ascii="宋体" w:hAnsi="宋体" w:cs="宋体"/>
          <w:sz w:val="24"/>
          <w:szCs w:val="24"/>
          <w:u w:val="single"/>
        </w:rPr>
      </w:pPr>
    </w:p>
    <w:tbl>
      <w:tblPr>
        <w:tblStyle w:val="17"/>
        <w:tblW w:w="927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20E0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75E870E7">
            <w:pPr>
              <w:spacing w:line="500" w:lineRule="exact"/>
              <w:rPr>
                <w:rFonts w:ascii="宋体" w:hAnsi="宋体" w:cs="宋体"/>
                <w:bCs/>
                <w:sz w:val="24"/>
                <w:szCs w:val="24"/>
              </w:rPr>
            </w:pPr>
            <w:r>
              <w:rPr>
                <w:rFonts w:hint="eastAsia" w:ascii="宋体" w:hAnsi="宋体" w:cs="宋体"/>
                <w:bCs/>
                <w:sz w:val="24"/>
                <w:szCs w:val="24"/>
              </w:rPr>
              <w:t>粘贴被法定代表人身份证（复印件）</w:t>
            </w:r>
          </w:p>
        </w:tc>
        <w:tc>
          <w:tcPr>
            <w:tcW w:w="4557" w:type="dxa"/>
          </w:tcPr>
          <w:p w14:paraId="64938147">
            <w:pPr>
              <w:spacing w:line="500" w:lineRule="exact"/>
              <w:rPr>
                <w:rFonts w:ascii="宋体" w:hAnsi="宋体" w:cs="宋体"/>
                <w:bCs/>
                <w:sz w:val="24"/>
                <w:szCs w:val="24"/>
              </w:rPr>
            </w:pPr>
            <w:r>
              <w:rPr>
                <w:rFonts w:hint="eastAsia" w:ascii="宋体" w:hAnsi="宋体" w:cs="宋体"/>
                <w:bCs/>
                <w:sz w:val="24"/>
                <w:szCs w:val="24"/>
              </w:rPr>
              <w:t>粘贴被授权人身份证（复印件）</w:t>
            </w:r>
          </w:p>
        </w:tc>
      </w:tr>
    </w:tbl>
    <w:p w14:paraId="5EB2AAFE">
      <w:pPr>
        <w:spacing w:line="500" w:lineRule="exact"/>
        <w:rPr>
          <w:rFonts w:ascii="宋体" w:hAnsi="宋体" w:cs="宋体"/>
          <w:b/>
          <w:sz w:val="24"/>
          <w:szCs w:val="24"/>
        </w:rPr>
      </w:pPr>
    </w:p>
    <w:p w14:paraId="679B9437">
      <w:pPr>
        <w:spacing w:line="500" w:lineRule="exact"/>
        <w:rPr>
          <w:rFonts w:ascii="宋体" w:hAnsi="宋体" w:cs="宋体"/>
          <w:b/>
          <w:sz w:val="24"/>
          <w:szCs w:val="24"/>
        </w:rPr>
      </w:pPr>
    </w:p>
    <w:p w14:paraId="465A9071">
      <w:pPr>
        <w:spacing w:line="500" w:lineRule="exact"/>
        <w:rPr>
          <w:rFonts w:ascii="宋体" w:hAnsi="宋体" w:cs="宋体"/>
          <w:b/>
          <w:sz w:val="28"/>
          <w:szCs w:val="28"/>
        </w:rPr>
      </w:pPr>
      <w:r>
        <w:rPr>
          <w:rFonts w:hint="eastAsia" w:ascii="宋体" w:hAnsi="宋体" w:cs="宋体"/>
          <w:b/>
          <w:sz w:val="28"/>
          <w:szCs w:val="28"/>
        </w:rPr>
        <w:t xml:space="preserve">附件四：                 </w:t>
      </w:r>
    </w:p>
    <w:p w14:paraId="0B2971EB">
      <w:pPr>
        <w:spacing w:line="500" w:lineRule="exact"/>
        <w:jc w:val="center"/>
        <w:rPr>
          <w:rFonts w:ascii="宋体" w:hAnsi="宋体" w:cs="宋体"/>
          <w:b/>
          <w:sz w:val="24"/>
          <w:szCs w:val="24"/>
        </w:rPr>
      </w:pPr>
      <w:r>
        <w:rPr>
          <w:rFonts w:hint="eastAsia" w:ascii="宋体" w:hAnsi="宋体" w:cs="宋体"/>
          <w:b/>
          <w:sz w:val="24"/>
          <w:szCs w:val="24"/>
        </w:rPr>
        <w:t>供应商基本情况</w:t>
      </w:r>
    </w:p>
    <w:p w14:paraId="477ECE9C">
      <w:pPr>
        <w:spacing w:line="440" w:lineRule="exact"/>
        <w:rPr>
          <w:rFonts w:ascii="宋体" w:hAnsi="宋体" w:cs="宋体"/>
          <w:sz w:val="24"/>
          <w:szCs w:val="24"/>
        </w:rPr>
      </w:pPr>
      <w:r>
        <w:rPr>
          <w:rFonts w:hint="eastAsia" w:ascii="宋体" w:hAnsi="宋体" w:cs="宋体"/>
          <w:sz w:val="24"/>
          <w:szCs w:val="24"/>
        </w:rPr>
        <w:t>1、供应商名称及基本情况：</w:t>
      </w:r>
    </w:p>
    <w:p w14:paraId="7354F2D8">
      <w:pPr>
        <w:spacing w:line="440" w:lineRule="exact"/>
        <w:ind w:firstLine="240" w:firstLineChars="100"/>
        <w:rPr>
          <w:rFonts w:ascii="宋体" w:hAnsi="宋体" w:cs="宋体"/>
          <w:sz w:val="24"/>
          <w:szCs w:val="24"/>
        </w:rPr>
      </w:pPr>
      <w:r>
        <w:rPr>
          <w:rFonts w:hint="eastAsia" w:ascii="宋体" w:hAnsi="宋体" w:cs="宋体"/>
          <w:sz w:val="24"/>
          <w:szCs w:val="24"/>
        </w:rPr>
        <w:t>（1）名称：</w:t>
      </w:r>
      <w:r>
        <w:rPr>
          <w:rFonts w:hint="eastAsia" w:ascii="宋体" w:hAnsi="宋体" w:cs="宋体"/>
          <w:sz w:val="24"/>
          <w:szCs w:val="24"/>
          <w:u w:val="single"/>
        </w:rPr>
        <w:t xml:space="preserve">                  </w:t>
      </w:r>
    </w:p>
    <w:p w14:paraId="6046515D">
      <w:pPr>
        <w:spacing w:line="440" w:lineRule="exact"/>
        <w:ind w:firstLine="240" w:firstLineChars="100"/>
        <w:rPr>
          <w:rFonts w:ascii="宋体" w:hAnsi="宋体" w:cs="宋体"/>
          <w:sz w:val="24"/>
          <w:szCs w:val="24"/>
        </w:rPr>
      </w:pPr>
      <w:r>
        <w:rPr>
          <w:rFonts w:hint="eastAsia" w:ascii="宋体" w:hAnsi="宋体" w:cs="宋体"/>
          <w:sz w:val="24"/>
          <w:szCs w:val="24"/>
        </w:rPr>
        <w:t>（2）地址：</w:t>
      </w:r>
      <w:r>
        <w:rPr>
          <w:rFonts w:hint="eastAsia" w:ascii="宋体" w:hAnsi="宋体" w:cs="宋体"/>
          <w:sz w:val="24"/>
          <w:szCs w:val="24"/>
          <w:u w:val="single"/>
        </w:rPr>
        <w:t xml:space="preserve">                        </w:t>
      </w:r>
      <w:r>
        <w:rPr>
          <w:rFonts w:hint="eastAsia" w:ascii="宋体" w:hAnsi="宋体" w:cs="宋体"/>
          <w:sz w:val="24"/>
          <w:szCs w:val="24"/>
        </w:rPr>
        <w:t xml:space="preserve">     邮编：</w:t>
      </w:r>
      <w:r>
        <w:rPr>
          <w:rFonts w:hint="eastAsia" w:ascii="宋体" w:hAnsi="宋体" w:cs="宋体"/>
          <w:sz w:val="24"/>
          <w:szCs w:val="24"/>
          <w:u w:val="single"/>
        </w:rPr>
        <w:t xml:space="preserve">                   </w:t>
      </w:r>
    </w:p>
    <w:p w14:paraId="18137AF4">
      <w:pPr>
        <w:spacing w:line="440" w:lineRule="exact"/>
        <w:ind w:firstLine="840" w:firstLineChars="350"/>
        <w:rPr>
          <w:rFonts w:ascii="宋体" w:hAnsi="宋体" w:cs="宋体"/>
          <w:sz w:val="24"/>
          <w:szCs w:val="24"/>
          <w:u w:val="single"/>
        </w:rPr>
      </w:pPr>
      <w:r>
        <w:rPr>
          <w:rFonts w:hint="eastAsia" w:ascii="宋体" w:hAnsi="宋体" w:cs="宋体"/>
          <w:sz w:val="24"/>
          <w:szCs w:val="24"/>
        </w:rPr>
        <w:t>电话：</w:t>
      </w:r>
      <w:r>
        <w:rPr>
          <w:rFonts w:hint="eastAsia" w:ascii="宋体" w:hAnsi="宋体" w:cs="宋体"/>
          <w:sz w:val="24"/>
          <w:szCs w:val="24"/>
          <w:u w:val="single"/>
        </w:rPr>
        <w:t xml:space="preserve">                        </w:t>
      </w:r>
      <w:r>
        <w:rPr>
          <w:rFonts w:hint="eastAsia" w:ascii="宋体" w:hAnsi="宋体" w:cs="宋体"/>
          <w:sz w:val="24"/>
          <w:szCs w:val="24"/>
        </w:rPr>
        <w:t xml:space="preserve">     传真：</w:t>
      </w:r>
      <w:r>
        <w:rPr>
          <w:rFonts w:hint="eastAsia" w:ascii="宋体" w:hAnsi="宋体" w:cs="宋体"/>
          <w:sz w:val="24"/>
          <w:szCs w:val="24"/>
          <w:u w:val="single"/>
        </w:rPr>
        <w:t xml:space="preserve">                  </w:t>
      </w:r>
    </w:p>
    <w:p w14:paraId="53539CBF">
      <w:pPr>
        <w:spacing w:line="440" w:lineRule="exact"/>
        <w:ind w:firstLine="240" w:firstLineChars="100"/>
        <w:rPr>
          <w:rFonts w:ascii="宋体" w:hAnsi="宋体" w:cs="宋体"/>
          <w:sz w:val="24"/>
          <w:szCs w:val="24"/>
        </w:rPr>
      </w:pPr>
      <w:r>
        <w:rPr>
          <w:rFonts w:hint="eastAsia" w:ascii="宋体" w:hAnsi="宋体" w:cs="宋体"/>
          <w:sz w:val="24"/>
          <w:szCs w:val="24"/>
        </w:rPr>
        <w:t>（3）成立或注册日期：</w:t>
      </w:r>
      <w:r>
        <w:rPr>
          <w:rFonts w:hint="eastAsia" w:ascii="宋体" w:hAnsi="宋体" w:cs="宋体"/>
          <w:sz w:val="24"/>
          <w:szCs w:val="24"/>
          <w:u w:val="single"/>
        </w:rPr>
        <w:t xml:space="preserve">                         </w:t>
      </w:r>
    </w:p>
    <w:p w14:paraId="19AA0AC3">
      <w:pPr>
        <w:spacing w:line="440" w:lineRule="exact"/>
        <w:ind w:firstLine="240" w:firstLineChars="100"/>
        <w:rPr>
          <w:rFonts w:ascii="宋体" w:hAnsi="宋体" w:cs="宋体"/>
          <w:sz w:val="24"/>
          <w:szCs w:val="24"/>
        </w:rPr>
      </w:pPr>
      <w:r>
        <w:rPr>
          <w:rFonts w:hint="eastAsia" w:ascii="宋体" w:hAnsi="宋体" w:cs="宋体"/>
          <w:sz w:val="24"/>
          <w:szCs w:val="24"/>
        </w:rPr>
        <w:t>（4）公司性质：</w:t>
      </w:r>
      <w:r>
        <w:rPr>
          <w:rFonts w:hint="eastAsia" w:ascii="宋体" w:hAnsi="宋体" w:cs="宋体"/>
          <w:sz w:val="24"/>
          <w:szCs w:val="24"/>
          <w:u w:val="single"/>
        </w:rPr>
        <w:t xml:space="preserve">                               </w:t>
      </w:r>
      <w:r>
        <w:rPr>
          <w:rFonts w:hint="eastAsia" w:ascii="宋体" w:hAnsi="宋体" w:cs="宋体"/>
          <w:sz w:val="24"/>
          <w:szCs w:val="24"/>
        </w:rPr>
        <w:t xml:space="preserve">  </w:t>
      </w:r>
    </w:p>
    <w:p w14:paraId="28908F28">
      <w:pPr>
        <w:spacing w:line="440" w:lineRule="exact"/>
        <w:ind w:firstLine="240" w:firstLineChars="100"/>
        <w:rPr>
          <w:rFonts w:ascii="宋体" w:hAnsi="宋体" w:cs="宋体"/>
          <w:sz w:val="24"/>
          <w:szCs w:val="24"/>
        </w:rPr>
      </w:pPr>
      <w:r>
        <w:rPr>
          <w:rFonts w:hint="eastAsia" w:ascii="宋体" w:hAnsi="宋体" w:cs="宋体"/>
          <w:sz w:val="24"/>
          <w:szCs w:val="24"/>
        </w:rPr>
        <w:t>（5）法定代表人或主要负责人：</w:t>
      </w:r>
      <w:r>
        <w:rPr>
          <w:rFonts w:hint="eastAsia" w:ascii="宋体" w:hAnsi="宋体" w:cs="宋体"/>
          <w:sz w:val="24"/>
          <w:szCs w:val="24"/>
          <w:u w:val="single"/>
        </w:rPr>
        <w:t xml:space="preserve">                 </w:t>
      </w:r>
      <w:r>
        <w:rPr>
          <w:rFonts w:hint="eastAsia" w:ascii="宋体" w:hAnsi="宋体" w:cs="宋体"/>
          <w:sz w:val="24"/>
          <w:szCs w:val="24"/>
        </w:rPr>
        <w:t xml:space="preserve">   </w:t>
      </w:r>
    </w:p>
    <w:p w14:paraId="10F30239">
      <w:pPr>
        <w:spacing w:line="440" w:lineRule="exact"/>
        <w:ind w:firstLine="240" w:firstLineChars="100"/>
        <w:rPr>
          <w:rFonts w:ascii="宋体" w:hAnsi="宋体" w:cs="宋体"/>
          <w:sz w:val="24"/>
          <w:szCs w:val="24"/>
        </w:rPr>
      </w:pPr>
      <w:r>
        <w:rPr>
          <w:rFonts w:hint="eastAsia" w:ascii="宋体" w:hAnsi="宋体" w:cs="宋体"/>
          <w:sz w:val="24"/>
          <w:szCs w:val="24"/>
        </w:rPr>
        <w:t>（6）职员人数：</w:t>
      </w:r>
      <w:r>
        <w:rPr>
          <w:rFonts w:hint="eastAsia" w:ascii="宋体" w:hAnsi="宋体" w:cs="宋体"/>
          <w:sz w:val="24"/>
          <w:szCs w:val="24"/>
          <w:u w:val="single"/>
        </w:rPr>
        <w:t xml:space="preserve">                               </w:t>
      </w:r>
      <w:r>
        <w:rPr>
          <w:rFonts w:hint="eastAsia" w:ascii="宋体" w:hAnsi="宋体" w:cs="宋体"/>
          <w:sz w:val="24"/>
          <w:szCs w:val="24"/>
        </w:rPr>
        <w:t xml:space="preserve">   </w:t>
      </w:r>
    </w:p>
    <w:p w14:paraId="769CC820">
      <w:pPr>
        <w:spacing w:line="440" w:lineRule="exact"/>
        <w:ind w:firstLine="240" w:firstLineChars="100"/>
        <w:rPr>
          <w:rFonts w:ascii="宋体" w:hAnsi="宋体" w:cs="宋体"/>
          <w:sz w:val="24"/>
          <w:szCs w:val="24"/>
        </w:rPr>
      </w:pPr>
      <w:r>
        <w:rPr>
          <w:rFonts w:hint="eastAsia" w:ascii="宋体" w:hAnsi="宋体" w:cs="宋体"/>
          <w:sz w:val="24"/>
          <w:szCs w:val="24"/>
        </w:rPr>
        <w:t>（7）注册资本：</w:t>
      </w:r>
      <w:r>
        <w:rPr>
          <w:rFonts w:hint="eastAsia" w:ascii="宋体" w:hAnsi="宋体" w:cs="宋体"/>
          <w:sz w:val="24"/>
          <w:szCs w:val="24"/>
          <w:u w:val="single"/>
        </w:rPr>
        <w:t xml:space="preserve">                               </w:t>
      </w:r>
      <w:r>
        <w:rPr>
          <w:rFonts w:hint="eastAsia" w:ascii="宋体" w:hAnsi="宋体" w:cs="宋体"/>
          <w:sz w:val="24"/>
          <w:szCs w:val="24"/>
        </w:rPr>
        <w:t xml:space="preserve">  </w:t>
      </w:r>
    </w:p>
    <w:p w14:paraId="358B7F45">
      <w:pPr>
        <w:spacing w:line="440" w:lineRule="exact"/>
        <w:ind w:firstLine="240" w:firstLineChars="100"/>
        <w:rPr>
          <w:rFonts w:ascii="宋体" w:hAnsi="宋体" w:cs="宋体"/>
          <w:sz w:val="24"/>
          <w:szCs w:val="24"/>
        </w:rPr>
      </w:pPr>
      <w:r>
        <w:rPr>
          <w:rFonts w:hint="eastAsia" w:ascii="宋体" w:hAnsi="宋体" w:cs="宋体"/>
          <w:sz w:val="24"/>
          <w:szCs w:val="24"/>
        </w:rPr>
        <w:t>（8）实收资本：</w:t>
      </w:r>
      <w:r>
        <w:rPr>
          <w:rFonts w:hint="eastAsia" w:ascii="宋体" w:hAnsi="宋体" w:cs="宋体"/>
          <w:sz w:val="24"/>
          <w:szCs w:val="24"/>
          <w:u w:val="single"/>
        </w:rPr>
        <w:t xml:space="preserve">                               </w:t>
      </w:r>
      <w:r>
        <w:rPr>
          <w:rFonts w:hint="eastAsia" w:ascii="宋体" w:hAnsi="宋体" w:cs="宋体"/>
          <w:sz w:val="24"/>
          <w:szCs w:val="24"/>
        </w:rPr>
        <w:t xml:space="preserve">  </w:t>
      </w:r>
    </w:p>
    <w:p w14:paraId="3308D655">
      <w:pPr>
        <w:spacing w:line="440" w:lineRule="exact"/>
        <w:ind w:firstLine="240" w:firstLineChars="100"/>
        <w:rPr>
          <w:rFonts w:ascii="宋体" w:hAnsi="宋体" w:cs="宋体"/>
          <w:sz w:val="24"/>
          <w:szCs w:val="24"/>
        </w:rPr>
      </w:pPr>
      <w:r>
        <w:rPr>
          <w:rFonts w:hint="eastAsia" w:ascii="宋体" w:hAnsi="宋体" w:cs="宋体"/>
          <w:sz w:val="24"/>
          <w:szCs w:val="24"/>
        </w:rPr>
        <w:t>（9）近一年资产负债表：</w:t>
      </w:r>
      <w:r>
        <w:rPr>
          <w:rFonts w:hint="eastAsia" w:ascii="宋体" w:hAnsi="宋体" w:cs="宋体"/>
          <w:sz w:val="24"/>
          <w:szCs w:val="24"/>
          <w:u w:val="single"/>
        </w:rPr>
        <w:t xml:space="preserve">                       </w:t>
      </w:r>
      <w:r>
        <w:rPr>
          <w:rFonts w:hint="eastAsia" w:ascii="宋体" w:hAnsi="宋体" w:cs="宋体"/>
          <w:sz w:val="24"/>
          <w:szCs w:val="24"/>
        </w:rPr>
        <w:t xml:space="preserve">   </w:t>
      </w:r>
    </w:p>
    <w:p w14:paraId="7DDA3581">
      <w:pPr>
        <w:spacing w:line="440" w:lineRule="exact"/>
        <w:ind w:firstLine="840" w:firstLineChars="350"/>
        <w:rPr>
          <w:rFonts w:ascii="宋体" w:hAnsi="宋体" w:cs="宋体"/>
          <w:sz w:val="24"/>
          <w:szCs w:val="24"/>
        </w:rPr>
      </w:pPr>
      <w:r>
        <w:rPr>
          <w:rFonts w:hint="eastAsia" w:ascii="宋体" w:hAnsi="宋体" w:cs="宋体"/>
          <w:sz w:val="24"/>
          <w:szCs w:val="24"/>
        </w:rPr>
        <w:t>1）固定资产：</w:t>
      </w:r>
    </w:p>
    <w:p w14:paraId="7C14AFBC">
      <w:pPr>
        <w:spacing w:line="440" w:lineRule="exact"/>
        <w:ind w:firstLine="1200" w:firstLineChars="500"/>
        <w:rPr>
          <w:rFonts w:ascii="宋体" w:hAnsi="宋体" w:cs="宋体"/>
          <w:sz w:val="24"/>
          <w:szCs w:val="24"/>
        </w:rPr>
      </w:pPr>
      <w:r>
        <w:rPr>
          <w:rFonts w:hint="eastAsia" w:ascii="宋体" w:hAnsi="宋体" w:cs="宋体"/>
          <w:sz w:val="24"/>
          <w:szCs w:val="24"/>
        </w:rPr>
        <w:t>原   值：</w:t>
      </w:r>
      <w:r>
        <w:rPr>
          <w:rFonts w:hint="eastAsia" w:ascii="宋体" w:hAnsi="宋体" w:cs="宋体"/>
          <w:sz w:val="24"/>
          <w:szCs w:val="24"/>
          <w:u w:val="single"/>
        </w:rPr>
        <w:t xml:space="preserve">           </w:t>
      </w:r>
      <w:r>
        <w:rPr>
          <w:rFonts w:hint="eastAsia" w:ascii="宋体" w:hAnsi="宋体" w:cs="宋体"/>
          <w:sz w:val="24"/>
          <w:szCs w:val="24"/>
        </w:rPr>
        <w:t xml:space="preserve">    净   值： </w:t>
      </w:r>
      <w:r>
        <w:rPr>
          <w:rFonts w:hint="eastAsia" w:ascii="宋体" w:hAnsi="宋体" w:cs="宋体"/>
          <w:sz w:val="24"/>
          <w:szCs w:val="24"/>
          <w:u w:val="single"/>
        </w:rPr>
        <w:t xml:space="preserve">              </w:t>
      </w:r>
    </w:p>
    <w:p w14:paraId="07D6FCC6">
      <w:pPr>
        <w:spacing w:line="440" w:lineRule="exact"/>
        <w:ind w:firstLine="840" w:firstLineChars="350"/>
        <w:rPr>
          <w:rFonts w:ascii="宋体" w:hAnsi="宋体" w:cs="宋体"/>
          <w:sz w:val="24"/>
          <w:szCs w:val="24"/>
        </w:rPr>
      </w:pPr>
      <w:r>
        <w:rPr>
          <w:rFonts w:hint="eastAsia" w:ascii="宋体" w:hAnsi="宋体" w:cs="宋体"/>
          <w:sz w:val="24"/>
          <w:szCs w:val="24"/>
        </w:rPr>
        <w:t>2）流动资金：</w:t>
      </w:r>
      <w:r>
        <w:rPr>
          <w:rFonts w:hint="eastAsia" w:ascii="宋体" w:hAnsi="宋体" w:cs="宋体"/>
          <w:sz w:val="24"/>
          <w:szCs w:val="24"/>
          <w:u w:val="single"/>
        </w:rPr>
        <w:t xml:space="preserve">                      </w:t>
      </w:r>
      <w:r>
        <w:rPr>
          <w:rFonts w:hint="eastAsia" w:ascii="宋体" w:hAnsi="宋体" w:cs="宋体"/>
          <w:sz w:val="24"/>
          <w:szCs w:val="24"/>
        </w:rPr>
        <w:t xml:space="preserve">    </w:t>
      </w:r>
    </w:p>
    <w:p w14:paraId="794A5CBB">
      <w:pPr>
        <w:spacing w:line="440" w:lineRule="exact"/>
        <w:ind w:firstLine="840" w:firstLineChars="350"/>
        <w:rPr>
          <w:rFonts w:ascii="宋体" w:hAnsi="宋体" w:cs="宋体"/>
          <w:sz w:val="24"/>
          <w:szCs w:val="24"/>
        </w:rPr>
      </w:pPr>
      <w:r>
        <w:rPr>
          <w:rFonts w:hint="eastAsia" w:ascii="宋体" w:hAnsi="宋体" w:cs="宋体"/>
          <w:sz w:val="24"/>
          <w:szCs w:val="24"/>
        </w:rPr>
        <w:t>3）长期负债：</w:t>
      </w:r>
      <w:r>
        <w:rPr>
          <w:rFonts w:hint="eastAsia" w:ascii="宋体" w:hAnsi="宋体" w:cs="宋体"/>
          <w:sz w:val="24"/>
          <w:szCs w:val="24"/>
          <w:u w:val="single"/>
        </w:rPr>
        <w:t xml:space="preserve">                      </w:t>
      </w:r>
      <w:r>
        <w:rPr>
          <w:rFonts w:hint="eastAsia" w:ascii="宋体" w:hAnsi="宋体" w:cs="宋体"/>
          <w:sz w:val="24"/>
          <w:szCs w:val="24"/>
        </w:rPr>
        <w:t xml:space="preserve">    </w:t>
      </w:r>
    </w:p>
    <w:p w14:paraId="40ABDEAC">
      <w:pPr>
        <w:spacing w:line="440" w:lineRule="exact"/>
        <w:ind w:firstLine="840" w:firstLineChars="350"/>
        <w:rPr>
          <w:rFonts w:ascii="宋体" w:hAnsi="宋体" w:cs="宋体"/>
          <w:sz w:val="24"/>
          <w:szCs w:val="24"/>
        </w:rPr>
      </w:pPr>
      <w:r>
        <w:rPr>
          <w:rFonts w:hint="eastAsia" w:ascii="宋体" w:hAnsi="宋体" w:cs="宋体"/>
          <w:sz w:val="24"/>
          <w:szCs w:val="24"/>
        </w:rPr>
        <w:t>4）短期负债：</w:t>
      </w:r>
      <w:r>
        <w:rPr>
          <w:rFonts w:hint="eastAsia" w:ascii="宋体" w:hAnsi="宋体" w:cs="宋体"/>
          <w:sz w:val="24"/>
          <w:szCs w:val="24"/>
          <w:u w:val="single"/>
        </w:rPr>
        <w:t xml:space="preserve">                      </w:t>
      </w:r>
      <w:r>
        <w:rPr>
          <w:rFonts w:hint="eastAsia" w:ascii="宋体" w:hAnsi="宋体" w:cs="宋体"/>
          <w:sz w:val="24"/>
          <w:szCs w:val="24"/>
        </w:rPr>
        <w:t xml:space="preserve">    </w:t>
      </w:r>
    </w:p>
    <w:p w14:paraId="32C4C3C7">
      <w:pPr>
        <w:spacing w:line="440" w:lineRule="exact"/>
        <w:rPr>
          <w:rFonts w:ascii="宋体" w:hAnsi="宋体" w:cs="宋体"/>
          <w:sz w:val="24"/>
          <w:szCs w:val="24"/>
        </w:rPr>
      </w:pPr>
      <w:r>
        <w:rPr>
          <w:rFonts w:hint="eastAsia" w:ascii="宋体" w:hAnsi="宋体" w:cs="宋体"/>
          <w:sz w:val="24"/>
          <w:szCs w:val="24"/>
        </w:rPr>
        <w:t xml:space="preserve">2、供应商认为需要声明的其他情况：                         </w:t>
      </w:r>
    </w:p>
    <w:p w14:paraId="43097DCC">
      <w:pPr>
        <w:spacing w:line="440" w:lineRule="exact"/>
        <w:ind w:firstLine="480" w:firstLineChars="200"/>
        <w:rPr>
          <w:rFonts w:ascii="宋体" w:hAnsi="宋体" w:cs="宋体"/>
          <w:sz w:val="24"/>
          <w:szCs w:val="24"/>
        </w:rPr>
      </w:pPr>
      <w:r>
        <w:rPr>
          <w:rFonts w:hint="eastAsia" w:ascii="宋体" w:hAnsi="宋体" w:cs="宋体"/>
          <w:sz w:val="24"/>
          <w:szCs w:val="24"/>
        </w:rPr>
        <w:t xml:space="preserve">兹证明上述声明是真实的、正确的，并提供了全部能提供的资料和数据，我们同意遵照贵方要求出示有关证明文件。 </w:t>
      </w:r>
    </w:p>
    <w:p w14:paraId="6053A7DF">
      <w:pPr>
        <w:spacing w:line="440" w:lineRule="exact"/>
        <w:ind w:firstLine="480" w:firstLineChars="200"/>
        <w:rPr>
          <w:rFonts w:ascii="宋体" w:hAnsi="宋体" w:cs="宋体"/>
          <w:sz w:val="24"/>
          <w:szCs w:val="24"/>
        </w:rPr>
      </w:pPr>
      <w:r>
        <w:rPr>
          <w:rFonts w:hint="eastAsia" w:ascii="宋体" w:hAnsi="宋体" w:cs="宋体"/>
          <w:sz w:val="24"/>
          <w:szCs w:val="24"/>
        </w:rPr>
        <w:t xml:space="preserve">              </w:t>
      </w:r>
    </w:p>
    <w:p w14:paraId="11F4AF6C">
      <w:pPr>
        <w:spacing w:line="440" w:lineRule="exact"/>
        <w:ind w:firstLine="3120" w:firstLineChars="1300"/>
        <w:rPr>
          <w:rFonts w:ascii="宋体" w:hAnsi="宋体" w:cs="宋体"/>
          <w:sz w:val="24"/>
          <w:szCs w:val="24"/>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41EC6D63">
      <w:pPr>
        <w:spacing w:line="440" w:lineRule="exact"/>
        <w:rPr>
          <w:rFonts w:ascii="宋体" w:hAnsi="宋体" w:cs="宋体"/>
          <w:sz w:val="24"/>
          <w:szCs w:val="24"/>
        </w:rPr>
      </w:pPr>
      <w:r>
        <w:rPr>
          <w:rFonts w:hint="eastAsia" w:ascii="宋体" w:hAnsi="宋体" w:cs="宋体"/>
          <w:sz w:val="24"/>
          <w:szCs w:val="24"/>
        </w:rPr>
        <w:t xml:space="preserve">                          授权人签字：</w:t>
      </w:r>
      <w:r>
        <w:rPr>
          <w:rFonts w:hint="eastAsia" w:ascii="宋体" w:hAnsi="宋体" w:cs="宋体"/>
          <w:sz w:val="24"/>
          <w:szCs w:val="24"/>
          <w:u w:val="single"/>
        </w:rPr>
        <w:t xml:space="preserve">                    </w:t>
      </w:r>
    </w:p>
    <w:p w14:paraId="03C420E5">
      <w:pPr>
        <w:spacing w:line="440" w:lineRule="exact"/>
        <w:rPr>
          <w:rFonts w:ascii="宋体" w:hAnsi="宋体" w:cs="宋体"/>
          <w:sz w:val="24"/>
          <w:szCs w:val="24"/>
        </w:rPr>
      </w:pPr>
      <w:r>
        <w:rPr>
          <w:rFonts w:hint="eastAsia" w:ascii="宋体" w:hAnsi="宋体" w:cs="宋体"/>
          <w:sz w:val="24"/>
          <w:szCs w:val="24"/>
        </w:rPr>
        <w:t xml:space="preserve">                          电      话：</w:t>
      </w:r>
      <w:r>
        <w:rPr>
          <w:rFonts w:hint="eastAsia" w:ascii="宋体" w:hAnsi="宋体" w:cs="宋体"/>
          <w:sz w:val="24"/>
          <w:szCs w:val="24"/>
          <w:u w:val="single"/>
        </w:rPr>
        <w:t xml:space="preserve">                    </w:t>
      </w:r>
    </w:p>
    <w:p w14:paraId="274C90DF">
      <w:pPr>
        <w:spacing w:line="440" w:lineRule="exact"/>
        <w:rPr>
          <w:rFonts w:ascii="宋体" w:hAnsi="宋体" w:cs="宋体"/>
          <w:sz w:val="24"/>
          <w:szCs w:val="24"/>
        </w:rPr>
      </w:pPr>
      <w:r>
        <w:rPr>
          <w:rFonts w:hint="eastAsia" w:ascii="宋体" w:hAnsi="宋体" w:cs="宋体"/>
          <w:sz w:val="24"/>
          <w:szCs w:val="24"/>
        </w:rPr>
        <w:t xml:space="preserve">                          传      真：</w:t>
      </w:r>
      <w:r>
        <w:rPr>
          <w:rFonts w:hint="eastAsia" w:ascii="宋体" w:hAnsi="宋体" w:cs="宋体"/>
          <w:sz w:val="24"/>
          <w:szCs w:val="24"/>
          <w:u w:val="single"/>
        </w:rPr>
        <w:t xml:space="preserve">                    </w:t>
      </w:r>
    </w:p>
    <w:p w14:paraId="35FD506C">
      <w:pPr>
        <w:spacing w:line="440" w:lineRule="exact"/>
        <w:rPr>
          <w:rFonts w:ascii="宋体" w:hAnsi="宋体" w:cs="宋体"/>
          <w:sz w:val="24"/>
          <w:szCs w:val="24"/>
        </w:rPr>
      </w:pPr>
      <w:r>
        <w:rPr>
          <w:rFonts w:hint="eastAsia" w:ascii="宋体" w:hAnsi="宋体" w:cs="宋体"/>
          <w:sz w:val="24"/>
          <w:szCs w:val="24"/>
        </w:rPr>
        <w:t xml:space="preserve">                          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F68EEEE">
      <w:pPr>
        <w:pStyle w:val="8"/>
        <w:spacing w:line="440" w:lineRule="exact"/>
        <w:jc w:val="center"/>
        <w:rPr>
          <w:rFonts w:ascii="宋体" w:hAnsi="宋体" w:cs="宋体"/>
          <w:b/>
          <w:sz w:val="24"/>
          <w:szCs w:val="24"/>
        </w:rPr>
      </w:pPr>
      <w:r>
        <w:rPr>
          <w:rFonts w:hint="eastAsia" w:hAnsi="宋体" w:cs="宋体"/>
          <w:b/>
          <w:sz w:val="24"/>
          <w:szCs w:val="24"/>
        </w:rPr>
        <w:br w:type="page"/>
      </w:r>
      <w:bookmarkStart w:id="17" w:name="_bookmark39"/>
      <w:bookmarkEnd w:id="17"/>
    </w:p>
    <w:p w14:paraId="69C2BF7B">
      <w:pPr>
        <w:rPr>
          <w:rFonts w:ascii="宋体" w:hAnsi="宋体" w:cs="宋体"/>
          <w:b/>
          <w:sz w:val="24"/>
          <w:szCs w:val="24"/>
        </w:rPr>
      </w:pPr>
    </w:p>
    <w:p w14:paraId="7EAFF34C">
      <w:pPr>
        <w:jc w:val="center"/>
        <w:rPr>
          <w:rFonts w:ascii="宋体" w:hAnsi="宋体" w:cs="宋体"/>
          <w:b/>
          <w:sz w:val="24"/>
          <w:szCs w:val="24"/>
        </w:rPr>
      </w:pPr>
    </w:p>
    <w:p w14:paraId="6FC59E0D">
      <w:pPr>
        <w:jc w:val="lef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五</w:t>
      </w:r>
    </w:p>
    <w:p w14:paraId="1AD73E1D">
      <w:pPr>
        <w:jc w:val="center"/>
        <w:rPr>
          <w:rFonts w:ascii="宋体" w:hAnsi="宋体" w:cs="宋体"/>
          <w:b/>
          <w:sz w:val="24"/>
          <w:szCs w:val="24"/>
        </w:rPr>
      </w:pPr>
      <w:r>
        <w:rPr>
          <w:rFonts w:hint="eastAsia" w:ascii="宋体" w:hAnsi="宋体" w:cs="宋体"/>
          <w:b/>
          <w:sz w:val="24"/>
          <w:szCs w:val="24"/>
        </w:rPr>
        <w:t>其他证明文件、资料等</w:t>
      </w:r>
    </w:p>
    <w:p w14:paraId="1A19A7A9">
      <w:pPr>
        <w:adjustRightInd w:val="0"/>
        <w:snapToGrid w:val="0"/>
        <w:ind w:left="-88" w:leftChars="-42"/>
        <w:jc w:val="center"/>
        <w:outlineLvl w:val="0"/>
        <w:rPr>
          <w:rFonts w:ascii="宋体" w:hAnsi="宋体" w:cs="宋体"/>
          <w:sz w:val="28"/>
          <w:szCs w:val="28"/>
        </w:rPr>
      </w:pPr>
    </w:p>
    <w:p w14:paraId="47479AEE">
      <w:pPr>
        <w:adjustRightInd w:val="0"/>
        <w:snapToGrid w:val="0"/>
        <w:jc w:val="left"/>
        <w:outlineLvl w:val="0"/>
        <w:rPr>
          <w:rFonts w:ascii="宋体" w:hAnsi="宋体" w:cs="宋体"/>
          <w:sz w:val="28"/>
          <w:szCs w:val="28"/>
        </w:rPr>
      </w:pPr>
    </w:p>
    <w:p w14:paraId="348B5440">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1、供应商资格证明文件，包含但不限于以下内容；</w:t>
      </w:r>
    </w:p>
    <w:p w14:paraId="38DB443A">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1) 营业执照复印件；</w:t>
      </w:r>
    </w:p>
    <w:p w14:paraId="413E569B">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2) 信用中国网站查询截图；</w:t>
      </w:r>
    </w:p>
    <w:p w14:paraId="780A14E2">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3) 其他资格证明材料；</w:t>
      </w:r>
    </w:p>
    <w:p w14:paraId="4020F7DB">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2、文件中要求的其他材料</w:t>
      </w:r>
    </w:p>
    <w:p w14:paraId="0CD97DC2">
      <w:pPr>
        <w:autoSpaceDE w:val="0"/>
        <w:autoSpaceDN w:val="0"/>
        <w:adjustRightInd w:val="0"/>
        <w:snapToGrid w:val="0"/>
        <w:spacing w:line="440" w:lineRule="exact"/>
        <w:ind w:firstLine="600" w:firstLineChars="250"/>
        <w:jc w:val="left"/>
        <w:rPr>
          <w:rFonts w:ascii="宋体" w:hAnsi="宋体" w:cs="宋体"/>
          <w:kern w:val="0"/>
          <w:sz w:val="24"/>
          <w:szCs w:val="24"/>
        </w:rPr>
      </w:pPr>
      <w:r>
        <w:rPr>
          <w:rFonts w:hint="eastAsia" w:ascii="宋体" w:hAnsi="宋体" w:cs="宋体"/>
          <w:kern w:val="0"/>
          <w:sz w:val="24"/>
          <w:szCs w:val="24"/>
        </w:rPr>
        <w:t>1）供应货物的详细技术参数及图样；</w:t>
      </w:r>
    </w:p>
    <w:p w14:paraId="151B7E55">
      <w:pPr>
        <w:autoSpaceDE w:val="0"/>
        <w:autoSpaceDN w:val="0"/>
        <w:adjustRightInd w:val="0"/>
        <w:snapToGrid w:val="0"/>
        <w:spacing w:line="440" w:lineRule="exact"/>
        <w:ind w:firstLine="600" w:firstLineChars="250"/>
        <w:jc w:val="left"/>
        <w:rPr>
          <w:rFonts w:hint="eastAsia" w:ascii="宋体" w:hAnsi="宋体" w:cs="宋体"/>
          <w:kern w:val="0"/>
          <w:sz w:val="24"/>
          <w:szCs w:val="24"/>
        </w:rPr>
      </w:pPr>
      <w:r>
        <w:rPr>
          <w:rFonts w:hint="eastAsia" w:ascii="宋体" w:hAnsi="宋体" w:cs="宋体"/>
          <w:kern w:val="0"/>
          <w:sz w:val="24"/>
          <w:szCs w:val="24"/>
        </w:rPr>
        <w:t>2）供应商认为需要提供的其他文件和资料。</w:t>
      </w:r>
    </w:p>
    <w:p w14:paraId="6DEB6EB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right="0"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bCs/>
          <w:kern w:val="0"/>
          <w:sz w:val="24"/>
          <w:szCs w:val="24"/>
          <w:lang w:val="en-US" w:eastAsia="zh-CN"/>
        </w:rPr>
        <w:t>3</w:t>
      </w:r>
      <w:r>
        <w:rPr>
          <w:rFonts w:hint="eastAsia" w:ascii="宋体" w:hAnsi="宋体" w:cs="宋体"/>
          <w:bCs/>
          <w:kern w:val="0"/>
          <w:sz w:val="24"/>
          <w:szCs w:val="24"/>
        </w:rPr>
        <w:t>、</w:t>
      </w:r>
      <w:r>
        <w:rPr>
          <w:rFonts w:hint="eastAsia" w:ascii="宋体" w:hAnsi="宋体" w:cs="宋体" w:eastAsiaTheme="minorEastAsia"/>
          <w:kern w:val="2"/>
          <w:sz w:val="24"/>
          <w:szCs w:val="24"/>
          <w:lang w:val="en-US" w:eastAsia="zh-CN" w:bidi="ar-SA"/>
        </w:rPr>
        <w:t>报价文件的封面均须加盖法人公章并加盖骑缝法人公章。</w:t>
      </w:r>
    </w:p>
    <w:p w14:paraId="7E2F3188">
      <w:pPr>
        <w:autoSpaceDE w:val="0"/>
        <w:autoSpaceDN w:val="0"/>
        <w:adjustRightInd w:val="0"/>
        <w:snapToGrid w:val="0"/>
        <w:spacing w:line="440" w:lineRule="exact"/>
        <w:ind w:firstLine="600" w:firstLineChars="250"/>
        <w:jc w:val="left"/>
        <w:rPr>
          <w:rFonts w:hint="eastAsia" w:ascii="宋体" w:hAnsi="宋体" w:cs="宋体"/>
          <w:kern w:val="0"/>
          <w:sz w:val="24"/>
          <w:szCs w:val="24"/>
        </w:rPr>
      </w:pPr>
    </w:p>
    <w:p w14:paraId="6356C1A9">
      <w:pPr>
        <w:spacing w:line="440" w:lineRule="exact"/>
        <w:ind w:left="480"/>
        <w:rPr>
          <w:rFonts w:ascii="宋体" w:hAnsi="宋体" w:cs="宋体"/>
          <w:sz w:val="24"/>
          <w:szCs w:val="24"/>
        </w:rPr>
      </w:pPr>
    </w:p>
    <w:p w14:paraId="640C456C">
      <w:pPr>
        <w:rPr>
          <w:rFonts w:ascii="宋体" w:hAnsi="宋体" w:cs="宋体"/>
          <w:sz w:val="24"/>
          <w:szCs w:val="24"/>
        </w:rPr>
      </w:pPr>
    </w:p>
    <w:p w14:paraId="55CE6BFB">
      <w:pPr>
        <w:spacing w:line="500" w:lineRule="exact"/>
        <w:rPr>
          <w:rFonts w:ascii="宋体" w:hAnsi="宋体" w:cs="宋体"/>
          <w:sz w:val="24"/>
          <w:szCs w:val="24"/>
        </w:rPr>
      </w:pPr>
    </w:p>
    <w:p w14:paraId="13955F64">
      <w:pPr>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格式自拟。</w:t>
      </w:r>
    </w:p>
    <w:p w14:paraId="1B8A6D2F">
      <w:pPr>
        <w:autoSpaceDE w:val="0"/>
        <w:autoSpaceDN w:val="0"/>
        <w:adjustRightInd w:val="0"/>
        <w:spacing w:line="360" w:lineRule="auto"/>
        <w:rPr>
          <w:rFonts w:hAnsi="宋体"/>
          <w:sz w:val="24"/>
          <w:szCs w:val="24"/>
        </w:rPr>
      </w:pPr>
    </w:p>
    <w:p w14:paraId="14457E77">
      <w:pPr>
        <w:pStyle w:val="6"/>
        <w:rPr>
          <w:rFonts w:hAnsi="宋体"/>
          <w:szCs w:val="24"/>
        </w:rPr>
      </w:pPr>
    </w:p>
    <w:p w14:paraId="2A5FDE91">
      <w:pPr>
        <w:pStyle w:val="6"/>
        <w:rPr>
          <w:rFonts w:hAnsi="宋体"/>
          <w:szCs w:val="24"/>
        </w:rPr>
      </w:pPr>
    </w:p>
    <w:p w14:paraId="1E03517B">
      <w:pPr>
        <w:pStyle w:val="6"/>
        <w:rPr>
          <w:rFonts w:hAnsi="宋体"/>
          <w:szCs w:val="24"/>
        </w:rPr>
      </w:pPr>
    </w:p>
    <w:p w14:paraId="69689016">
      <w:pPr>
        <w:pStyle w:val="6"/>
        <w:rPr>
          <w:rFonts w:hAnsi="宋体"/>
          <w:szCs w:val="24"/>
        </w:rPr>
      </w:pPr>
    </w:p>
    <w:p w14:paraId="010EE2F5">
      <w:pPr>
        <w:pStyle w:val="6"/>
        <w:rPr>
          <w:rFonts w:hAnsi="宋体"/>
          <w:szCs w:val="24"/>
        </w:rPr>
      </w:pPr>
    </w:p>
    <w:p w14:paraId="6810356E">
      <w:pPr>
        <w:pStyle w:val="6"/>
        <w:rPr>
          <w:rFonts w:hAnsi="宋体"/>
          <w:szCs w:val="24"/>
        </w:rPr>
      </w:pPr>
    </w:p>
    <w:p w14:paraId="20424181">
      <w:pPr>
        <w:pStyle w:val="6"/>
        <w:rPr>
          <w:rFonts w:hAnsi="宋体"/>
          <w:szCs w:val="24"/>
        </w:rPr>
      </w:pPr>
    </w:p>
    <w:p w14:paraId="3DB990C1">
      <w:pPr>
        <w:pStyle w:val="6"/>
        <w:rPr>
          <w:rFonts w:hAnsi="宋体"/>
          <w:szCs w:val="24"/>
        </w:rPr>
      </w:pPr>
    </w:p>
    <w:p w14:paraId="524E62E1">
      <w:pPr>
        <w:pStyle w:val="6"/>
        <w:rPr>
          <w:rFonts w:hAnsi="宋体"/>
          <w:szCs w:val="24"/>
        </w:rPr>
      </w:pPr>
    </w:p>
    <w:p w14:paraId="761B9876">
      <w:pPr>
        <w:autoSpaceDE w:val="0"/>
        <w:autoSpaceDN w:val="0"/>
        <w:adjustRightInd w:val="0"/>
        <w:spacing w:line="360" w:lineRule="auto"/>
        <w:jc w:val="left"/>
        <w:rPr>
          <w:sz w:val="24"/>
          <w:szCs w:val="24"/>
        </w:rPr>
      </w:pPr>
      <w:r>
        <w:rPr>
          <w:rFonts w:hint="eastAsia"/>
          <w:sz w:val="24"/>
          <w:szCs w:val="24"/>
        </w:rPr>
        <w:t>附《湖北机场集团“供应商不良行为”管理暂行办法（试行）》承诺书格式：</w:t>
      </w:r>
    </w:p>
    <w:p w14:paraId="2F682592">
      <w:pPr>
        <w:pStyle w:val="27"/>
        <w:spacing w:line="360" w:lineRule="auto"/>
        <w:jc w:val="center"/>
        <w:rPr>
          <w:b/>
          <w:bCs/>
          <w:sz w:val="24"/>
          <w:szCs w:val="24"/>
        </w:rPr>
      </w:pPr>
      <w:r>
        <w:rPr>
          <w:rFonts w:hint="eastAsia"/>
          <w:b/>
          <w:bCs/>
          <w:sz w:val="24"/>
          <w:szCs w:val="24"/>
        </w:rPr>
        <w:t>承诺书</w:t>
      </w:r>
    </w:p>
    <w:p w14:paraId="6D1DC9AC">
      <w:pPr>
        <w:pStyle w:val="27"/>
        <w:spacing w:line="360" w:lineRule="auto"/>
        <w:rPr>
          <w:sz w:val="24"/>
          <w:szCs w:val="24"/>
        </w:rPr>
      </w:pPr>
      <w:r>
        <w:rPr>
          <w:rFonts w:hint="eastAsia"/>
          <w:sz w:val="24"/>
          <w:szCs w:val="24"/>
        </w:rPr>
        <w:t>采购人：湖北机场集团航空物流有限公司</w:t>
      </w:r>
    </w:p>
    <w:p w14:paraId="37601EED">
      <w:pPr>
        <w:pStyle w:val="27"/>
        <w:spacing w:line="360" w:lineRule="auto"/>
        <w:rPr>
          <w:sz w:val="24"/>
          <w:szCs w:val="24"/>
        </w:rPr>
      </w:pPr>
    </w:p>
    <w:p w14:paraId="137898E4">
      <w:pPr>
        <w:pStyle w:val="27"/>
        <w:spacing w:line="360" w:lineRule="auto"/>
        <w:ind w:firstLine="480" w:firstLineChars="200"/>
        <w:rPr>
          <w:sz w:val="24"/>
          <w:szCs w:val="24"/>
        </w:rPr>
      </w:pPr>
      <w:r>
        <w:rPr>
          <w:rFonts w:hint="eastAsia"/>
          <w:sz w:val="24"/>
          <w:szCs w:val="24"/>
        </w:rPr>
        <w:t>我单位自愿参与本项目的采购活动，在与湖北机场集团招标采购（含招商）、签约和履约过程中，不存在违法违规且不存在其他不良行为，未给机场集团、社会和公众造成损失或不良影响，并完全遵守《湖北机场集团“供应商不良行为”管理暂行办法（试行）》的规定，现针对《湖北机场集团“供应商不良行为”管理暂行办法（试行）》作如下承诺：</w:t>
      </w:r>
    </w:p>
    <w:p w14:paraId="364FD738">
      <w:pPr>
        <w:pStyle w:val="27"/>
        <w:numPr>
          <w:ilvl w:val="0"/>
          <w:numId w:val="9"/>
        </w:numPr>
        <w:spacing w:line="360" w:lineRule="auto"/>
        <w:ind w:firstLine="480" w:firstLineChars="200"/>
        <w:rPr>
          <w:sz w:val="24"/>
          <w:szCs w:val="24"/>
        </w:rPr>
      </w:pPr>
      <w:r>
        <w:rPr>
          <w:rFonts w:hint="eastAsia"/>
          <w:sz w:val="24"/>
          <w:szCs w:val="24"/>
        </w:rPr>
        <w:t>我单位不得采取不正当手段诋毁、排挤其他供应商或故意以虚构事实等方式进行投诉。</w:t>
      </w:r>
    </w:p>
    <w:p w14:paraId="3EC9ED07">
      <w:pPr>
        <w:pStyle w:val="27"/>
        <w:numPr>
          <w:ilvl w:val="0"/>
          <w:numId w:val="9"/>
        </w:numPr>
        <w:spacing w:line="360" w:lineRule="auto"/>
        <w:ind w:firstLine="480" w:firstLineChars="200"/>
        <w:rPr>
          <w:sz w:val="24"/>
          <w:szCs w:val="24"/>
        </w:rPr>
      </w:pPr>
      <w:r>
        <w:rPr>
          <w:rFonts w:hint="eastAsia"/>
          <w:sz w:val="24"/>
          <w:szCs w:val="24"/>
        </w:rPr>
        <w:t>不得向集团从事招标采购工作的各类相关工作人员、集团委托的招标代理机构等行贿或者提供其他不正当利益。</w:t>
      </w:r>
    </w:p>
    <w:p w14:paraId="69DFFD03">
      <w:pPr>
        <w:pStyle w:val="27"/>
        <w:numPr>
          <w:ilvl w:val="0"/>
          <w:numId w:val="9"/>
        </w:numPr>
        <w:spacing w:line="360" w:lineRule="auto"/>
        <w:ind w:firstLine="480" w:firstLineChars="200"/>
        <w:rPr>
          <w:sz w:val="24"/>
          <w:szCs w:val="24"/>
        </w:rPr>
      </w:pPr>
      <w:r>
        <w:rPr>
          <w:rFonts w:hint="eastAsia"/>
          <w:sz w:val="24"/>
          <w:szCs w:val="24"/>
        </w:rPr>
        <w:t>不得串通采购人、其他供应商或集团委托的招标代理机构进行投标、围标和竞价，干扰正常招标采购秩序的。</w:t>
      </w:r>
    </w:p>
    <w:p w14:paraId="7E7AC97A">
      <w:pPr>
        <w:pStyle w:val="27"/>
        <w:numPr>
          <w:ilvl w:val="0"/>
          <w:numId w:val="9"/>
        </w:numPr>
        <w:spacing w:line="360" w:lineRule="auto"/>
        <w:ind w:firstLine="480" w:firstLineChars="200"/>
        <w:rPr>
          <w:sz w:val="24"/>
          <w:szCs w:val="24"/>
        </w:rPr>
      </w:pPr>
      <w:r>
        <w:rPr>
          <w:rFonts w:hint="eastAsia"/>
          <w:sz w:val="24"/>
          <w:szCs w:val="24"/>
        </w:rPr>
        <w:t>不得非法以他人名义进行投标、竞价或者以其他方式弄虚作假骗取中标（成交）。</w:t>
      </w:r>
    </w:p>
    <w:p w14:paraId="7EED5155">
      <w:pPr>
        <w:pStyle w:val="27"/>
        <w:numPr>
          <w:ilvl w:val="0"/>
          <w:numId w:val="9"/>
        </w:numPr>
        <w:spacing w:line="360" w:lineRule="auto"/>
        <w:ind w:firstLine="480" w:firstLineChars="200"/>
        <w:rPr>
          <w:sz w:val="24"/>
          <w:szCs w:val="24"/>
        </w:rPr>
      </w:pPr>
      <w:r>
        <w:rPr>
          <w:rFonts w:hint="eastAsia"/>
          <w:sz w:val="24"/>
          <w:szCs w:val="24"/>
        </w:rPr>
        <w:t>中标（成交）后按文件规定要求提交履约保证金。</w:t>
      </w:r>
    </w:p>
    <w:p w14:paraId="617C5027">
      <w:pPr>
        <w:pStyle w:val="27"/>
        <w:numPr>
          <w:ilvl w:val="0"/>
          <w:numId w:val="9"/>
        </w:numPr>
        <w:spacing w:line="360" w:lineRule="auto"/>
        <w:ind w:firstLine="480" w:firstLineChars="200"/>
        <w:rPr>
          <w:sz w:val="24"/>
          <w:szCs w:val="24"/>
        </w:rPr>
      </w:pPr>
      <w:r>
        <w:rPr>
          <w:rFonts w:hint="eastAsia"/>
          <w:sz w:val="24"/>
          <w:szCs w:val="24"/>
        </w:rPr>
        <w:t>中标（成交）后完全按照</w:t>
      </w:r>
      <w:r>
        <w:rPr>
          <w:rFonts w:hint="eastAsia"/>
          <w:sz w:val="24"/>
          <w:szCs w:val="24"/>
          <w:lang w:eastAsia="zh-CN"/>
        </w:rPr>
        <w:t>询价公告</w:t>
      </w:r>
      <w:r>
        <w:rPr>
          <w:rFonts w:hint="eastAsia"/>
          <w:sz w:val="24"/>
          <w:szCs w:val="24"/>
        </w:rPr>
        <w:t>（采购文件）和投标文件（响应文件）签订合同，不得要求与采购人另行签订背离合同实质性内容协议。</w:t>
      </w:r>
    </w:p>
    <w:p w14:paraId="759770D8">
      <w:pPr>
        <w:pStyle w:val="27"/>
        <w:numPr>
          <w:ilvl w:val="0"/>
          <w:numId w:val="9"/>
        </w:numPr>
        <w:spacing w:line="360" w:lineRule="auto"/>
        <w:ind w:firstLine="480" w:firstLineChars="200"/>
        <w:rPr>
          <w:sz w:val="24"/>
          <w:szCs w:val="24"/>
        </w:rPr>
      </w:pPr>
      <w:r>
        <w:rPr>
          <w:rFonts w:hint="eastAsia"/>
          <w:sz w:val="24"/>
          <w:szCs w:val="24"/>
        </w:rPr>
        <w:t>合同签订后，无正当理由不得拒不履行或者拖延履行采购合同义务。</w:t>
      </w:r>
    </w:p>
    <w:p w14:paraId="1A145200">
      <w:pPr>
        <w:pStyle w:val="27"/>
        <w:numPr>
          <w:ilvl w:val="0"/>
          <w:numId w:val="9"/>
        </w:numPr>
        <w:spacing w:line="360" w:lineRule="auto"/>
        <w:ind w:firstLine="480" w:firstLineChars="200"/>
        <w:rPr>
          <w:sz w:val="24"/>
          <w:szCs w:val="24"/>
        </w:rPr>
      </w:pPr>
      <w:r>
        <w:rPr>
          <w:rFonts w:hint="eastAsia"/>
          <w:sz w:val="24"/>
          <w:szCs w:val="24"/>
        </w:rPr>
        <w:t>不得将中标（成交）项目转让（转包）给他人，或者违反</w:t>
      </w:r>
      <w:r>
        <w:rPr>
          <w:rFonts w:hint="eastAsia"/>
          <w:sz w:val="24"/>
          <w:szCs w:val="24"/>
          <w:lang w:eastAsia="zh-CN"/>
        </w:rPr>
        <w:t>询价公告</w:t>
      </w:r>
      <w:r>
        <w:rPr>
          <w:rFonts w:hint="eastAsia"/>
          <w:sz w:val="24"/>
          <w:szCs w:val="24"/>
        </w:rPr>
        <w:t>（采购文件）规定，擅自将中标（成交）项目分包给他人。</w:t>
      </w:r>
    </w:p>
    <w:p w14:paraId="057016C1">
      <w:pPr>
        <w:pStyle w:val="27"/>
        <w:numPr>
          <w:ilvl w:val="0"/>
          <w:numId w:val="9"/>
        </w:numPr>
        <w:spacing w:line="360" w:lineRule="auto"/>
        <w:ind w:firstLine="480" w:firstLineChars="200"/>
        <w:rPr>
          <w:sz w:val="24"/>
          <w:szCs w:val="24"/>
        </w:rPr>
      </w:pPr>
      <w:r>
        <w:rPr>
          <w:rFonts w:hint="eastAsia"/>
          <w:sz w:val="24"/>
          <w:szCs w:val="24"/>
        </w:rPr>
        <w:t>不得擅自变更、中止或终止采购合同。</w:t>
      </w:r>
    </w:p>
    <w:p w14:paraId="3AED515E">
      <w:pPr>
        <w:pStyle w:val="27"/>
        <w:numPr>
          <w:ilvl w:val="0"/>
          <w:numId w:val="9"/>
        </w:numPr>
        <w:spacing w:line="360" w:lineRule="auto"/>
        <w:ind w:firstLine="480" w:firstLineChars="200"/>
        <w:rPr>
          <w:sz w:val="24"/>
          <w:szCs w:val="24"/>
        </w:rPr>
      </w:pPr>
      <w:r>
        <w:rPr>
          <w:rFonts w:hint="eastAsia"/>
          <w:sz w:val="24"/>
          <w:szCs w:val="24"/>
        </w:rPr>
        <w:t>不得提供虚假材料、虚构事实进行恶意诽谤、诬告、陷害等行为。</w:t>
      </w:r>
    </w:p>
    <w:p w14:paraId="58E9B636">
      <w:pPr>
        <w:pStyle w:val="27"/>
        <w:spacing w:line="360" w:lineRule="auto"/>
        <w:rPr>
          <w:sz w:val="24"/>
          <w:szCs w:val="24"/>
        </w:rPr>
      </w:pPr>
    </w:p>
    <w:p w14:paraId="40864122">
      <w:pPr>
        <w:pStyle w:val="27"/>
        <w:spacing w:line="360" w:lineRule="auto"/>
        <w:rPr>
          <w:sz w:val="24"/>
          <w:szCs w:val="24"/>
        </w:rPr>
      </w:pPr>
    </w:p>
    <w:p w14:paraId="00F3F407">
      <w:pPr>
        <w:pStyle w:val="27"/>
        <w:spacing w:line="360" w:lineRule="auto"/>
        <w:jc w:val="center"/>
        <w:rPr>
          <w:sz w:val="24"/>
          <w:szCs w:val="24"/>
        </w:rPr>
      </w:pPr>
      <w:r>
        <w:rPr>
          <w:rFonts w:hint="eastAsia"/>
          <w:sz w:val="24"/>
          <w:szCs w:val="24"/>
          <w:lang w:val="en-US" w:eastAsia="zh-CN"/>
        </w:rPr>
        <w:t xml:space="preserve">              </w:t>
      </w:r>
      <w:r>
        <w:rPr>
          <w:rFonts w:hint="eastAsia"/>
          <w:sz w:val="24"/>
          <w:szCs w:val="24"/>
        </w:rPr>
        <w:t xml:space="preserve">供应商（签字或签章）：     </w:t>
      </w:r>
    </w:p>
    <w:p w14:paraId="3E9A0342">
      <w:pPr>
        <w:pStyle w:val="27"/>
        <w:spacing w:line="360" w:lineRule="auto"/>
        <w:jc w:val="center"/>
        <w:rPr>
          <w:sz w:val="24"/>
          <w:szCs w:val="24"/>
        </w:rPr>
      </w:pPr>
      <w:r>
        <w:rPr>
          <w:rFonts w:hint="eastAsia"/>
          <w:sz w:val="24"/>
          <w:szCs w:val="24"/>
        </w:rPr>
        <w:t>法定代表人或授权代表（签字或签章）：</w:t>
      </w:r>
    </w:p>
    <w:p w14:paraId="11A9FE37">
      <w:pPr>
        <w:spacing w:line="500" w:lineRule="exact"/>
        <w:jc w:val="right"/>
        <w:rPr>
          <w:rFonts w:hint="eastAsia" w:ascii="Calibri" w:hAnsi="Calibri"/>
          <w:sz w:val="24"/>
          <w:szCs w:val="24"/>
        </w:rPr>
      </w:pPr>
      <w:r>
        <w:rPr>
          <w:rFonts w:hint="eastAsia" w:ascii="Calibri" w:hAnsi="Calibri"/>
          <w:sz w:val="24"/>
          <w:szCs w:val="24"/>
        </w:rPr>
        <w:t xml:space="preserve">  年  月   日</w:t>
      </w:r>
    </w:p>
    <w:p w14:paraId="7499B08B">
      <w:pPr>
        <w:spacing w:line="500" w:lineRule="exact"/>
        <w:jc w:val="right"/>
        <w:rPr>
          <w:rFonts w:hint="eastAsia" w:ascii="Calibri" w:hAnsi="Calibri"/>
          <w:sz w:val="24"/>
          <w:szCs w:val="24"/>
        </w:rPr>
      </w:pPr>
    </w:p>
    <w:p w14:paraId="140A5B29">
      <w:pPr>
        <w:pStyle w:val="2"/>
        <w:rPr>
          <w:rFonts w:hint="eastAsia" w:ascii="Calibri" w:hAnsi="Calibri"/>
          <w:sz w:val="24"/>
          <w:szCs w:val="24"/>
        </w:rPr>
      </w:pPr>
    </w:p>
    <w:p w14:paraId="6F37E264">
      <w:pPr>
        <w:adjustRightInd w:val="0"/>
        <w:snapToGrid w:val="0"/>
        <w:spacing w:line="360" w:lineRule="auto"/>
        <w:jc w:val="center"/>
        <w:outlineLvl w:val="0"/>
        <w:rPr>
          <w:rFonts w:ascii="宋体" w:hAnsi="宋体" w:cs="宋体"/>
          <w:b/>
          <w:bCs/>
          <w:sz w:val="28"/>
          <w:szCs w:val="28"/>
        </w:rPr>
      </w:pPr>
      <w:bookmarkStart w:id="18" w:name="_Toc1227"/>
      <w:bookmarkStart w:id="19" w:name="_Toc15899"/>
      <w:r>
        <w:rPr>
          <w:rFonts w:hint="eastAsia" w:ascii="宋体" w:hAnsi="宋体" w:cs="宋体"/>
          <w:b/>
          <w:bCs/>
          <w:sz w:val="28"/>
          <w:szCs w:val="28"/>
        </w:rPr>
        <w:t xml:space="preserve">第六章 </w:t>
      </w:r>
      <w:r>
        <w:rPr>
          <w:rFonts w:hint="eastAsia" w:ascii="宋体" w:hAnsi="宋体" w:cs="宋体"/>
          <w:b/>
          <w:bCs/>
          <w:sz w:val="28"/>
          <w:szCs w:val="28"/>
          <w:lang w:val="en-US" w:eastAsia="zh-CN"/>
        </w:rPr>
        <w:t>采购</w:t>
      </w:r>
      <w:r>
        <w:rPr>
          <w:rFonts w:hint="eastAsia" w:ascii="宋体" w:hAnsi="宋体" w:cs="宋体"/>
          <w:b/>
          <w:bCs/>
          <w:sz w:val="28"/>
          <w:szCs w:val="28"/>
        </w:rPr>
        <w:t>合同</w:t>
      </w:r>
      <w:bookmarkEnd w:id="18"/>
    </w:p>
    <w:p w14:paraId="1B04A317">
      <w:pPr>
        <w:pStyle w:val="33"/>
        <w:keepNext w:val="0"/>
        <w:keepLines w:val="0"/>
        <w:pageBreakBefore w:val="0"/>
        <w:widowControl w:val="0"/>
        <w:kinsoku/>
        <w:wordWrap/>
        <w:overflowPunct/>
        <w:topLinePunct w:val="0"/>
        <w:autoSpaceDE w:val="0"/>
        <w:autoSpaceDN w:val="0"/>
        <w:bidi w:val="0"/>
        <w:outlineLvl w:val="9"/>
        <w:rPr>
          <w:rFonts w:hint="eastAsia" w:ascii="宋体" w:hAnsi="宋体" w:eastAsia="宋体" w:cs="宋体"/>
          <w:spacing w:val="0"/>
          <w:sz w:val="36"/>
          <w:szCs w:val="36"/>
        </w:rPr>
      </w:pPr>
      <w:bookmarkStart w:id="20" w:name="_Toc2102532153"/>
      <w:bookmarkStart w:id="21" w:name="_Toc1791392522"/>
      <w:r>
        <w:rPr>
          <w:rFonts w:hint="eastAsia" w:ascii="宋体" w:hAnsi="宋体" w:eastAsia="宋体" w:cs="宋体"/>
          <w:spacing w:val="0"/>
          <w:sz w:val="36"/>
          <w:szCs w:val="36"/>
          <w:lang w:val="en-US" w:eastAsia="zh-CN"/>
        </w:rPr>
        <w:t>湖北机场集团航空物流有限公司2025年货站UPS采购项目</w:t>
      </w:r>
      <w:r>
        <w:rPr>
          <w:rFonts w:hint="eastAsia" w:ascii="宋体" w:hAnsi="宋体" w:eastAsia="宋体" w:cs="宋体"/>
          <w:spacing w:val="0"/>
          <w:sz w:val="36"/>
          <w:szCs w:val="36"/>
        </w:rPr>
        <w:t>合同</w:t>
      </w:r>
      <w:bookmarkEnd w:id="20"/>
      <w:bookmarkEnd w:id="21"/>
    </w:p>
    <w:p w14:paraId="7F1AE078">
      <w:pPr>
        <w:pStyle w:val="34"/>
        <w:bidi w:val="0"/>
        <w:outlineLvl w:val="9"/>
        <w:rPr>
          <w:rFonts w:hint="eastAsia"/>
          <w:lang w:eastAsia="zh-TW"/>
        </w:rPr>
      </w:pPr>
      <w:r>
        <w:rPr>
          <w:rFonts w:hint="eastAsia"/>
          <w:lang w:eastAsia="zh-TW"/>
        </w:rPr>
        <w:t>甲方</w:t>
      </w:r>
      <w:r>
        <w:rPr>
          <w:rFonts w:hint="eastAsia"/>
          <w:lang w:eastAsia="zh-CN"/>
        </w:rPr>
        <w:t>（</w:t>
      </w:r>
      <w:r>
        <w:rPr>
          <w:rFonts w:hint="eastAsia"/>
          <w:lang w:val="en-US" w:eastAsia="zh-CN"/>
        </w:rPr>
        <w:t>买方</w:t>
      </w:r>
      <w:r>
        <w:rPr>
          <w:rFonts w:hint="eastAsia"/>
          <w:lang w:eastAsia="zh-CN"/>
        </w:rPr>
        <w:t>）：</w:t>
      </w:r>
    </w:p>
    <w:p w14:paraId="622EC57D">
      <w:pPr>
        <w:pStyle w:val="34"/>
        <w:bidi w:val="0"/>
        <w:outlineLvl w:val="9"/>
        <w:rPr>
          <w:rFonts w:hint="eastAsia"/>
          <w:lang w:val="en-US" w:eastAsia="zh-CN"/>
        </w:rPr>
      </w:pPr>
      <w:r>
        <w:rPr>
          <w:rFonts w:hint="eastAsia"/>
          <w:lang w:val="en-US" w:eastAsia="zh-CN"/>
        </w:rPr>
        <w:t>法定代表人：</w:t>
      </w:r>
    </w:p>
    <w:p w14:paraId="42CADF54">
      <w:pPr>
        <w:pStyle w:val="34"/>
        <w:bidi w:val="0"/>
        <w:outlineLvl w:val="9"/>
        <w:rPr>
          <w:rFonts w:hint="eastAsia"/>
          <w:lang w:val="en-US" w:eastAsia="zh-CN"/>
        </w:rPr>
      </w:pPr>
      <w:r>
        <w:rPr>
          <w:rFonts w:hint="eastAsia"/>
          <w:lang w:val="en-US" w:eastAsia="zh-CN"/>
        </w:rPr>
        <w:t>地址：</w:t>
      </w:r>
    </w:p>
    <w:p w14:paraId="1E24FA4F">
      <w:pPr>
        <w:pStyle w:val="34"/>
        <w:bidi w:val="0"/>
        <w:outlineLvl w:val="9"/>
        <w:rPr>
          <w:rFonts w:hint="eastAsia"/>
          <w:lang w:val="en-US" w:eastAsia="zh-CN"/>
        </w:rPr>
      </w:pPr>
    </w:p>
    <w:p w14:paraId="1061ED44">
      <w:pPr>
        <w:pStyle w:val="34"/>
        <w:bidi w:val="0"/>
        <w:outlineLvl w:val="9"/>
        <w:rPr>
          <w:rFonts w:hint="eastAsia"/>
          <w:lang w:val="en-US" w:eastAsia="zh-CN"/>
        </w:rPr>
      </w:pPr>
      <w:r>
        <w:rPr>
          <w:rFonts w:hint="eastAsia"/>
          <w:lang w:eastAsia="zh-TW"/>
        </w:rPr>
        <w:t>乙方</w:t>
      </w:r>
      <w:r>
        <w:rPr>
          <w:rFonts w:hint="eastAsia"/>
          <w:lang w:eastAsia="zh-CN"/>
        </w:rPr>
        <w:t>（</w:t>
      </w:r>
      <w:r>
        <w:rPr>
          <w:rFonts w:hint="eastAsia"/>
          <w:lang w:val="en-US" w:eastAsia="zh-CN"/>
        </w:rPr>
        <w:t>卖方</w:t>
      </w:r>
      <w:r>
        <w:rPr>
          <w:rFonts w:hint="eastAsia"/>
          <w:lang w:eastAsia="zh-CN"/>
        </w:rPr>
        <w:t>）</w:t>
      </w:r>
      <w:r>
        <w:rPr>
          <w:rFonts w:hint="eastAsia"/>
          <w:lang w:eastAsia="zh-TW"/>
        </w:rPr>
        <w:t>:</w:t>
      </w:r>
    </w:p>
    <w:p w14:paraId="6905487A">
      <w:pPr>
        <w:pStyle w:val="34"/>
        <w:bidi w:val="0"/>
        <w:outlineLvl w:val="9"/>
        <w:rPr>
          <w:rFonts w:hint="eastAsia"/>
          <w:lang w:val="en-US" w:eastAsia="zh-CN"/>
        </w:rPr>
      </w:pPr>
      <w:r>
        <w:rPr>
          <w:rFonts w:hint="eastAsia"/>
          <w:lang w:val="en-US" w:eastAsia="zh-CN"/>
        </w:rPr>
        <w:t>法定代表人：</w:t>
      </w:r>
    </w:p>
    <w:p w14:paraId="5FF87AC7">
      <w:pPr>
        <w:pStyle w:val="34"/>
        <w:bidi w:val="0"/>
        <w:outlineLvl w:val="9"/>
        <w:rPr>
          <w:rFonts w:hint="eastAsia" w:ascii="宋体" w:hAnsi="宋体" w:eastAsia="宋体" w:cs="宋体"/>
          <w:spacing w:val="0"/>
          <w:kern w:val="0"/>
          <w:szCs w:val="24"/>
          <w:lang w:val="en-US" w:eastAsia="zh-CN"/>
        </w:rPr>
      </w:pPr>
      <w:r>
        <w:rPr>
          <w:rFonts w:hint="eastAsia"/>
          <w:lang w:val="en-US" w:eastAsia="zh-CN"/>
        </w:rPr>
        <w:t>地址：</w:t>
      </w:r>
    </w:p>
    <w:p w14:paraId="38073DF5">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color w:val="auto"/>
          <w:spacing w:val="0"/>
          <w:kern w:val="0"/>
          <w:sz w:val="24"/>
          <w:szCs w:val="24"/>
        </w:rPr>
      </w:pPr>
    </w:p>
    <w:p w14:paraId="7E980CCD">
      <w:pPr>
        <w:pStyle w:val="35"/>
        <w:keepNext w:val="0"/>
        <w:keepLines w:val="0"/>
        <w:pageBreakBefore w:val="0"/>
        <w:widowControl w:val="0"/>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根据《中华人民共和国民法典》</w:t>
      </w:r>
      <w:r>
        <w:rPr>
          <w:rFonts w:hint="eastAsia" w:asciiTheme="minorEastAsia" w:hAnsiTheme="minorEastAsia" w:eastAsiaTheme="minorEastAsia" w:cstheme="minorEastAsia"/>
          <w:spacing w:val="0"/>
          <w:kern w:val="0"/>
          <w:sz w:val="24"/>
          <w:szCs w:val="24"/>
          <w:lang w:val="en-US" w:eastAsia="zh-CN"/>
        </w:rPr>
        <w:t>及相关</w:t>
      </w:r>
      <w:r>
        <w:rPr>
          <w:rFonts w:hint="eastAsia" w:asciiTheme="minorEastAsia" w:hAnsiTheme="minorEastAsia" w:eastAsiaTheme="minorEastAsia" w:cstheme="minorEastAsia"/>
          <w:spacing w:val="0"/>
          <w:kern w:val="0"/>
          <w:sz w:val="24"/>
          <w:szCs w:val="24"/>
        </w:rPr>
        <w:t>规定，本合同</w:t>
      </w:r>
      <w:r>
        <w:rPr>
          <w:rFonts w:hint="eastAsia" w:asciiTheme="minorEastAsia" w:hAnsiTheme="minorEastAsia" w:eastAsiaTheme="minorEastAsia" w:cstheme="minorEastAsia"/>
          <w:spacing w:val="0"/>
          <w:kern w:val="0"/>
          <w:sz w:val="24"/>
          <w:szCs w:val="24"/>
          <w:lang w:val="en-US" w:eastAsia="zh-CN"/>
        </w:rPr>
        <w:t>就甲方向乙方采购【</w:t>
      </w:r>
      <w:r>
        <w:rPr>
          <w:rFonts w:hint="eastAsia" w:asciiTheme="minorEastAsia" w:hAnsiTheme="minorEastAsia" w:eastAsiaTheme="minorEastAsia" w:cstheme="minorEastAsia"/>
          <w:color w:val="0000FF"/>
          <w:spacing w:val="0"/>
          <w:kern w:val="0"/>
          <w:sz w:val="24"/>
          <w:szCs w:val="24"/>
          <w:lang w:val="en-US" w:eastAsia="zh-CN"/>
        </w:rPr>
        <w:t>UPS</w:t>
      </w:r>
      <w:r>
        <w:rPr>
          <w:rFonts w:hint="eastAsia" w:asciiTheme="minorEastAsia" w:hAnsiTheme="minorEastAsia" w:eastAsiaTheme="minorEastAsia" w:cstheme="minorEastAsia"/>
          <w:spacing w:val="0"/>
          <w:kern w:val="0"/>
          <w:sz w:val="24"/>
          <w:szCs w:val="24"/>
          <w:lang w:val="en-US" w:eastAsia="zh-CN"/>
        </w:rPr>
        <w:t>】</w:t>
      </w:r>
      <w:r>
        <w:rPr>
          <w:rFonts w:hint="eastAsia" w:asciiTheme="minorEastAsia" w:hAnsiTheme="minorEastAsia" w:eastAsiaTheme="minorEastAsia" w:cstheme="minorEastAsia"/>
          <w:spacing w:val="0"/>
          <w:kern w:val="0"/>
          <w:sz w:val="24"/>
          <w:szCs w:val="24"/>
        </w:rPr>
        <w:t>事项，经过平等协商，在真实、充分地表达各自意愿的基础上，达成如下</w:t>
      </w:r>
      <w:r>
        <w:rPr>
          <w:rFonts w:hint="eastAsia" w:asciiTheme="minorEastAsia" w:hAnsiTheme="minorEastAsia" w:eastAsiaTheme="minorEastAsia" w:cstheme="minorEastAsia"/>
          <w:spacing w:val="0"/>
          <w:kern w:val="0"/>
          <w:sz w:val="24"/>
          <w:szCs w:val="24"/>
          <w:lang w:val="en-US" w:eastAsia="zh-CN"/>
        </w:rPr>
        <w:t>合同内容</w:t>
      </w:r>
      <w:r>
        <w:rPr>
          <w:rFonts w:hint="eastAsia" w:asciiTheme="minorEastAsia" w:hAnsiTheme="minorEastAsia" w:eastAsiaTheme="minorEastAsia" w:cstheme="minorEastAsia"/>
          <w:spacing w:val="0"/>
          <w:kern w:val="0"/>
          <w:sz w:val="24"/>
          <w:szCs w:val="24"/>
        </w:rPr>
        <w:t>，</w:t>
      </w:r>
      <w:r>
        <w:rPr>
          <w:rFonts w:hint="eastAsia" w:asciiTheme="minorEastAsia" w:hAnsiTheme="minorEastAsia" w:eastAsiaTheme="minorEastAsia" w:cstheme="minorEastAsia"/>
          <w:spacing w:val="0"/>
          <w:kern w:val="0"/>
          <w:sz w:val="24"/>
          <w:szCs w:val="24"/>
          <w:lang w:val="en-US" w:eastAsia="zh-CN"/>
        </w:rPr>
        <w:t>以资共同遵守。</w:t>
      </w:r>
    </w:p>
    <w:p w14:paraId="222771B4">
      <w:pPr>
        <w:pStyle w:val="36"/>
        <w:keepNext w:val="0"/>
        <w:keepLines w:val="0"/>
        <w:pageBreakBefore w:val="0"/>
        <w:widowControl w:val="0"/>
        <w:numPr>
          <w:ilvl w:val="0"/>
          <w:numId w:val="10"/>
        </w:numPr>
        <w:kinsoku/>
        <w:wordWrap/>
        <w:overflowPunct/>
        <w:topLinePunct w:val="0"/>
        <w:autoSpaceDE w:val="0"/>
        <w:autoSpaceDN w:val="0"/>
        <w:bidi w:val="0"/>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合同标的</w:t>
      </w:r>
    </w:p>
    <w:p w14:paraId="305BAEB6">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甲方向乙方购买</w:t>
      </w:r>
      <w:r>
        <w:rPr>
          <w:rFonts w:hint="eastAsia" w:asciiTheme="minorEastAsia" w:hAnsiTheme="minorEastAsia" w:eastAsiaTheme="minorEastAsia" w:cstheme="minorEastAsia"/>
          <w:spacing w:val="0"/>
          <w:sz w:val="24"/>
          <w:szCs w:val="24"/>
          <w:lang w:val="en-US" w:eastAsia="zh-CN"/>
        </w:rPr>
        <w:t>【</w:t>
      </w:r>
      <w:r>
        <w:rPr>
          <w:rFonts w:hint="eastAsia" w:asciiTheme="minorEastAsia" w:hAnsiTheme="minorEastAsia" w:eastAsiaTheme="minorEastAsia" w:cstheme="minorEastAsia"/>
          <w:color w:val="0000FF"/>
          <w:spacing w:val="0"/>
          <w:kern w:val="0"/>
          <w:sz w:val="24"/>
          <w:szCs w:val="24"/>
          <w:lang w:val="en-US" w:eastAsia="zh-CN"/>
        </w:rPr>
        <w:t>UPS</w:t>
      </w:r>
      <w:r>
        <w:rPr>
          <w:rFonts w:hint="eastAsia" w:asciiTheme="minorEastAsia" w:hAnsiTheme="minorEastAsia" w:eastAsiaTheme="minorEastAsia" w:cstheme="minorEastAsia"/>
          <w:spacing w:val="0"/>
          <w:sz w:val="24"/>
          <w:szCs w:val="24"/>
          <w:lang w:val="en-US" w:eastAsia="zh-CN"/>
        </w:rPr>
        <w:t>】</w:t>
      </w:r>
      <w:r>
        <w:rPr>
          <w:rFonts w:hint="eastAsia" w:asciiTheme="minorEastAsia" w:hAnsiTheme="minorEastAsia" w:eastAsiaTheme="minorEastAsia" w:cstheme="minorEastAsia"/>
          <w:spacing w:val="0"/>
          <w:kern w:val="0"/>
          <w:sz w:val="24"/>
          <w:szCs w:val="24"/>
        </w:rPr>
        <w:t>。</w:t>
      </w:r>
    </w:p>
    <w:p w14:paraId="309EA454">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描述（产地、型号、规格</w:t>
      </w:r>
      <w:r>
        <w:rPr>
          <w:rFonts w:hint="eastAsia" w:asciiTheme="minorEastAsia" w:hAnsiTheme="minorEastAsia" w:eastAsiaTheme="minorEastAsia" w:cstheme="minorEastAsia"/>
          <w:spacing w:val="0"/>
          <w:kern w:val="0"/>
          <w:sz w:val="24"/>
          <w:szCs w:val="24"/>
          <w:lang w:val="en-US" w:eastAsia="zh-CN"/>
        </w:rPr>
        <w:t>等），若有招投标文件，以标准有利于甲方为准。</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2376"/>
        <w:gridCol w:w="1473"/>
        <w:gridCol w:w="1216"/>
        <w:gridCol w:w="752"/>
        <w:gridCol w:w="698"/>
        <w:gridCol w:w="1421"/>
        <w:gridCol w:w="1017"/>
      </w:tblGrid>
      <w:tr w14:paraId="0574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5B2E107F">
            <w:pPr>
              <w:keepNext w:val="0"/>
              <w:keepLines w:val="0"/>
              <w:widowControl/>
              <w:suppressLineNumbers w:val="0"/>
              <w:jc w:val="center"/>
              <w:textAlignment w:val="bottom"/>
              <w:outlineLvl w:val="9"/>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931" w:type="pct"/>
            <w:tcBorders>
              <w:top w:val="single" w:color="000000" w:sz="4" w:space="0"/>
              <w:left w:val="single" w:color="000000" w:sz="4" w:space="0"/>
              <w:bottom w:val="single" w:color="000000" w:sz="4" w:space="0"/>
              <w:right w:val="single" w:color="000000" w:sz="4" w:space="0"/>
            </w:tcBorders>
            <w:noWrap/>
            <w:vAlign w:val="center"/>
          </w:tcPr>
          <w:p w14:paraId="1CB1CF09">
            <w:pPr>
              <w:keepNext w:val="0"/>
              <w:keepLines w:val="0"/>
              <w:widowControl/>
              <w:suppressLineNumbers w:val="0"/>
              <w:jc w:val="center"/>
              <w:textAlignment w:val="bottom"/>
              <w:outlineLvl w:val="9"/>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采购内容</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58C53B7D">
            <w:pPr>
              <w:keepNext w:val="0"/>
              <w:keepLines w:val="0"/>
              <w:widowControl/>
              <w:suppressLineNumbers w:val="0"/>
              <w:jc w:val="center"/>
              <w:textAlignment w:val="bottom"/>
              <w:outlineLvl w:val="9"/>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42B192F5">
            <w:pPr>
              <w:keepNext w:val="0"/>
              <w:keepLines w:val="0"/>
              <w:widowControl/>
              <w:suppressLineNumbers w:val="0"/>
              <w:jc w:val="center"/>
              <w:textAlignment w:val="bottom"/>
              <w:outlineLvl w:val="9"/>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品牌</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795D5AF0">
            <w:pPr>
              <w:keepNext w:val="0"/>
              <w:keepLines w:val="0"/>
              <w:widowControl/>
              <w:suppressLineNumbers w:val="0"/>
              <w:jc w:val="center"/>
              <w:textAlignment w:val="bottom"/>
              <w:outlineLvl w:val="9"/>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0B60A68D">
            <w:pPr>
              <w:keepNext w:val="0"/>
              <w:keepLines w:val="0"/>
              <w:widowControl/>
              <w:suppressLineNumbers w:val="0"/>
              <w:jc w:val="center"/>
              <w:textAlignment w:val="bottom"/>
              <w:outlineLvl w:val="9"/>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37106912">
            <w:pPr>
              <w:keepNext w:val="0"/>
              <w:keepLines w:val="0"/>
              <w:widowControl/>
              <w:suppressLineNumbers w:val="0"/>
              <w:jc w:val="center"/>
              <w:textAlignment w:val="bottom"/>
              <w:outlineLvl w:val="9"/>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71377873">
            <w:pPr>
              <w:keepNext w:val="0"/>
              <w:keepLines w:val="0"/>
              <w:widowControl/>
              <w:suppressLineNumbers w:val="0"/>
              <w:jc w:val="center"/>
              <w:textAlignment w:val="bottom"/>
              <w:outlineLvl w:val="9"/>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w:t>
            </w:r>
          </w:p>
        </w:tc>
      </w:tr>
      <w:tr w14:paraId="1E14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14DB7AEC">
            <w:pPr>
              <w:keepNext w:val="0"/>
              <w:keepLines w:val="0"/>
              <w:widowControl/>
              <w:suppressLineNumbers w:val="0"/>
              <w:jc w:val="center"/>
              <w:textAlignment w:val="bottom"/>
              <w:outlineLvl w:val="9"/>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31" w:type="pct"/>
            <w:tcBorders>
              <w:top w:val="single" w:color="000000" w:sz="4" w:space="0"/>
              <w:left w:val="single" w:color="000000" w:sz="4" w:space="0"/>
              <w:bottom w:val="single" w:color="000000" w:sz="4" w:space="0"/>
              <w:right w:val="single" w:color="000000" w:sz="4" w:space="0"/>
            </w:tcBorders>
            <w:noWrap/>
            <w:vAlign w:val="center"/>
          </w:tcPr>
          <w:p w14:paraId="7319C093">
            <w:pPr>
              <w:spacing w:line="360" w:lineRule="auto"/>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highlight w:val="none"/>
                <w:lang w:val="en-US" w:eastAsia="zh-CN"/>
              </w:rPr>
              <w:t>UPS工频主机</w:t>
            </w:r>
          </w:p>
        </w:tc>
        <w:tc>
          <w:tcPr>
            <w:tcW w:w="861" w:type="pct"/>
            <w:tcBorders>
              <w:top w:val="single" w:color="000000" w:sz="4" w:space="0"/>
              <w:left w:val="single" w:color="000000" w:sz="4" w:space="0"/>
              <w:bottom w:val="single" w:color="000000" w:sz="4" w:space="0"/>
              <w:right w:val="single" w:color="000000" w:sz="4" w:space="0"/>
            </w:tcBorders>
            <w:noWrap/>
            <w:vAlign w:val="top"/>
          </w:tcPr>
          <w:p w14:paraId="212AA098">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highlight w:val="none"/>
                <w:lang w:val="en-US" w:eastAsia="zh-CN"/>
              </w:rPr>
              <w:t>10KVA</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14D57E84">
            <w:pPr>
              <w:keepNext w:val="0"/>
              <w:keepLines w:val="0"/>
              <w:widowControl/>
              <w:suppressLineNumbers w:val="0"/>
              <w:jc w:val="center"/>
              <w:textAlignment w:val="bottom"/>
              <w:outlineLvl w:val="9"/>
              <w:rPr>
                <w:rFonts w:hint="eastAsia" w:asciiTheme="minorEastAsia" w:hAnsiTheme="minorEastAsia" w:eastAsiaTheme="minorEastAsia" w:cstheme="minorEastAsia"/>
                <w:i w:val="0"/>
                <w:iCs w:val="0"/>
                <w:color w:val="000000"/>
                <w:sz w:val="24"/>
                <w:szCs w:val="24"/>
                <w:u w:val="none"/>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26F0D450">
            <w:pPr>
              <w:spacing w:line="360" w:lineRule="auto"/>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highlight w:val="none"/>
                <w:lang w:val="en-US" w:eastAsia="zh-CN"/>
              </w:rPr>
              <w:t>2</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1325C6AB">
            <w:pPr>
              <w:keepNext w:val="0"/>
              <w:keepLines w:val="0"/>
              <w:widowControl/>
              <w:suppressLineNumbers w:val="0"/>
              <w:jc w:val="center"/>
              <w:textAlignment w:val="bottom"/>
              <w:outlineLvl w:val="9"/>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highlight w:val="none"/>
                <w:lang w:val="en-US" w:eastAsia="zh-CN"/>
              </w:rPr>
              <w:t>台</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53151885">
            <w:pPr>
              <w:jc w:val="center"/>
              <w:outlineLvl w:val="9"/>
              <w:rPr>
                <w:rFonts w:hint="eastAsia" w:asciiTheme="minorEastAsia" w:hAnsiTheme="minorEastAsia" w:eastAsiaTheme="minorEastAsia" w:cstheme="minorEastAsia"/>
                <w:i w:val="0"/>
                <w:iCs w:val="0"/>
                <w:color w:val="000000"/>
                <w:sz w:val="24"/>
                <w:szCs w:val="24"/>
                <w:u w:val="none"/>
              </w:rPr>
            </w:pP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401F855F">
            <w:pPr>
              <w:jc w:val="center"/>
              <w:outlineLvl w:val="9"/>
              <w:rPr>
                <w:rFonts w:hint="eastAsia" w:asciiTheme="minorEastAsia" w:hAnsiTheme="minorEastAsia" w:eastAsiaTheme="minorEastAsia" w:cstheme="minorEastAsia"/>
                <w:i w:val="0"/>
                <w:iCs w:val="0"/>
                <w:color w:val="000000"/>
                <w:sz w:val="24"/>
                <w:szCs w:val="24"/>
                <w:u w:val="none"/>
              </w:rPr>
            </w:pPr>
          </w:p>
        </w:tc>
      </w:tr>
      <w:tr w14:paraId="157D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02C35473">
            <w:pPr>
              <w:keepNext w:val="0"/>
              <w:keepLines w:val="0"/>
              <w:widowControl/>
              <w:suppressLineNumbers w:val="0"/>
              <w:jc w:val="center"/>
              <w:textAlignment w:val="bottom"/>
              <w:outlineLvl w:val="9"/>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31" w:type="pct"/>
            <w:tcBorders>
              <w:top w:val="single" w:color="000000" w:sz="4" w:space="0"/>
              <w:left w:val="single" w:color="000000" w:sz="4" w:space="0"/>
              <w:bottom w:val="single" w:color="000000" w:sz="4" w:space="0"/>
              <w:right w:val="single" w:color="000000" w:sz="4" w:space="0"/>
            </w:tcBorders>
            <w:noWrap/>
            <w:vAlign w:val="center"/>
          </w:tcPr>
          <w:p w14:paraId="3F120126">
            <w:pPr>
              <w:spacing w:line="360" w:lineRule="auto"/>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highlight w:val="none"/>
                <w:lang w:val="en-US" w:eastAsia="zh-CN"/>
              </w:rPr>
              <w:t>UPS工频主机</w:t>
            </w:r>
          </w:p>
        </w:tc>
        <w:tc>
          <w:tcPr>
            <w:tcW w:w="861" w:type="pct"/>
            <w:tcBorders>
              <w:top w:val="single" w:color="000000" w:sz="4" w:space="0"/>
              <w:left w:val="single" w:color="000000" w:sz="4" w:space="0"/>
              <w:bottom w:val="single" w:color="000000" w:sz="4" w:space="0"/>
              <w:right w:val="single" w:color="000000" w:sz="4" w:space="0"/>
            </w:tcBorders>
            <w:noWrap/>
            <w:vAlign w:val="top"/>
          </w:tcPr>
          <w:p w14:paraId="754454A3">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highlight w:val="none"/>
                <w:lang w:val="en-US" w:eastAsia="zh-CN"/>
              </w:rPr>
              <w:t>40KVA</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6CC09C67">
            <w:pPr>
              <w:keepNext w:val="0"/>
              <w:keepLines w:val="0"/>
              <w:widowControl/>
              <w:suppressLineNumbers w:val="0"/>
              <w:jc w:val="center"/>
              <w:textAlignment w:val="bottom"/>
              <w:outlineLvl w:val="9"/>
              <w:rPr>
                <w:rFonts w:hint="eastAsia" w:asciiTheme="minorEastAsia" w:hAnsiTheme="minorEastAsia" w:eastAsiaTheme="minorEastAsia" w:cstheme="minorEastAsia"/>
                <w:i w:val="0"/>
                <w:iCs w:val="0"/>
                <w:color w:val="000000"/>
                <w:sz w:val="24"/>
                <w:szCs w:val="24"/>
                <w:u w:val="none"/>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55DC470E">
            <w:pPr>
              <w:spacing w:line="360" w:lineRule="auto"/>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highlight w:val="none"/>
                <w:lang w:val="en-US" w:eastAsia="zh-CN"/>
              </w:rPr>
              <w:t>1</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2E021B69">
            <w:pPr>
              <w:keepNext w:val="0"/>
              <w:keepLines w:val="0"/>
              <w:widowControl/>
              <w:suppressLineNumbers w:val="0"/>
              <w:jc w:val="center"/>
              <w:textAlignment w:val="bottom"/>
              <w:outlineLvl w:val="9"/>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highlight w:val="none"/>
                <w:lang w:val="en-US" w:eastAsia="zh-CN"/>
              </w:rPr>
              <w:t>台</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43193C7E">
            <w:pPr>
              <w:jc w:val="center"/>
              <w:outlineLvl w:val="9"/>
              <w:rPr>
                <w:rFonts w:hint="eastAsia" w:asciiTheme="minorEastAsia" w:hAnsiTheme="minorEastAsia" w:eastAsiaTheme="minorEastAsia" w:cstheme="minorEastAsia"/>
                <w:i w:val="0"/>
                <w:iCs w:val="0"/>
                <w:color w:val="000000"/>
                <w:sz w:val="24"/>
                <w:szCs w:val="24"/>
                <w:u w:val="none"/>
              </w:rPr>
            </w:pP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4711D3EC">
            <w:pPr>
              <w:jc w:val="center"/>
              <w:outlineLvl w:val="9"/>
              <w:rPr>
                <w:rFonts w:hint="eastAsia" w:asciiTheme="minorEastAsia" w:hAnsiTheme="minorEastAsia" w:eastAsiaTheme="minorEastAsia" w:cstheme="minorEastAsia"/>
                <w:i w:val="0"/>
                <w:iCs w:val="0"/>
                <w:color w:val="000000"/>
                <w:sz w:val="24"/>
                <w:szCs w:val="24"/>
                <w:u w:val="none"/>
              </w:rPr>
            </w:pPr>
          </w:p>
        </w:tc>
      </w:tr>
      <w:tr w14:paraId="646E7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6F8850BD">
            <w:pPr>
              <w:keepNext w:val="0"/>
              <w:keepLines w:val="0"/>
              <w:widowControl/>
              <w:suppressLineNumbers w:val="0"/>
              <w:jc w:val="center"/>
              <w:textAlignment w:val="bottom"/>
              <w:outlineLvl w:val="9"/>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931" w:type="pct"/>
            <w:tcBorders>
              <w:top w:val="single" w:color="000000" w:sz="4" w:space="0"/>
              <w:left w:val="single" w:color="000000" w:sz="4" w:space="0"/>
              <w:bottom w:val="single" w:color="000000" w:sz="4" w:space="0"/>
              <w:right w:val="single" w:color="000000" w:sz="4" w:space="0"/>
            </w:tcBorders>
            <w:noWrap/>
            <w:vAlign w:val="center"/>
          </w:tcPr>
          <w:p w14:paraId="1DFB68CF">
            <w:pPr>
              <w:spacing w:line="360" w:lineRule="auto"/>
              <w:jc w:val="center"/>
              <w:rPr>
                <w:rFonts w:hint="eastAsia" w:asciiTheme="minorEastAsia" w:hAnsiTheme="minorEastAsia" w:eastAsiaTheme="minorEastAsia" w:cstheme="minorEastAsia"/>
                <w:i w:val="0"/>
                <w:iCs w:val="0"/>
                <w:color w:val="000000"/>
                <w:sz w:val="24"/>
                <w:szCs w:val="24"/>
                <w:u w:val="none"/>
                <w:lang w:eastAsia="zh-CN"/>
              </w:rPr>
            </w:pPr>
            <w:r>
              <w:rPr>
                <w:rFonts w:hint="eastAsia" w:asciiTheme="minorEastAsia" w:hAnsiTheme="minorEastAsia" w:eastAsiaTheme="minorEastAsia" w:cstheme="minorEastAsia"/>
                <w:sz w:val="24"/>
                <w:szCs w:val="24"/>
                <w:highlight w:val="none"/>
              </w:rPr>
              <w:t>蓄电池</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含连接线</w:t>
            </w:r>
            <w:r>
              <w:rPr>
                <w:rFonts w:hint="eastAsia" w:asciiTheme="minorEastAsia" w:hAnsiTheme="minorEastAsia" w:eastAsiaTheme="minorEastAsia" w:cstheme="minorEastAsia"/>
                <w:sz w:val="24"/>
                <w:szCs w:val="24"/>
                <w:highlight w:val="none"/>
                <w:lang w:eastAsia="zh-CN"/>
              </w:rPr>
              <w:t>）</w:t>
            </w:r>
          </w:p>
        </w:tc>
        <w:tc>
          <w:tcPr>
            <w:tcW w:w="861" w:type="pct"/>
            <w:tcBorders>
              <w:top w:val="single" w:color="000000" w:sz="4" w:space="0"/>
              <w:left w:val="single" w:color="000000" w:sz="4" w:space="0"/>
              <w:bottom w:val="single" w:color="000000" w:sz="4" w:space="0"/>
              <w:right w:val="single" w:color="000000" w:sz="4" w:space="0"/>
            </w:tcBorders>
            <w:noWrap/>
            <w:vAlign w:val="top"/>
          </w:tcPr>
          <w:p w14:paraId="50857036">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highlight w:val="none"/>
              </w:rPr>
              <w:t>12V100AH</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4DF3555E">
            <w:pPr>
              <w:keepNext w:val="0"/>
              <w:keepLines w:val="0"/>
              <w:widowControl/>
              <w:suppressLineNumbers w:val="0"/>
              <w:jc w:val="center"/>
              <w:textAlignment w:val="bottom"/>
              <w:outlineLvl w:val="9"/>
              <w:rPr>
                <w:rFonts w:hint="eastAsia" w:asciiTheme="minorEastAsia" w:hAnsiTheme="minorEastAsia" w:eastAsiaTheme="minorEastAsia" w:cstheme="minorEastAsia"/>
                <w:i w:val="0"/>
                <w:iCs w:val="0"/>
                <w:color w:val="000000"/>
                <w:sz w:val="24"/>
                <w:szCs w:val="24"/>
                <w:u w:val="none"/>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2256238E">
            <w:pPr>
              <w:spacing w:line="360" w:lineRule="auto"/>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highlight w:val="none"/>
                <w:lang w:val="en-US" w:eastAsia="zh-CN"/>
              </w:rPr>
              <w:t>32</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1672F0E5">
            <w:pPr>
              <w:keepNext w:val="0"/>
              <w:keepLines w:val="0"/>
              <w:widowControl/>
              <w:suppressLineNumbers w:val="0"/>
              <w:jc w:val="center"/>
              <w:textAlignment w:val="bottom"/>
              <w:outlineLvl w:val="9"/>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个</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3D5B6946">
            <w:pPr>
              <w:jc w:val="center"/>
              <w:outlineLvl w:val="9"/>
              <w:rPr>
                <w:rFonts w:hint="eastAsia" w:asciiTheme="minorEastAsia" w:hAnsiTheme="minorEastAsia" w:eastAsiaTheme="minorEastAsia" w:cstheme="minorEastAsia"/>
                <w:i w:val="0"/>
                <w:iCs w:val="0"/>
                <w:color w:val="000000"/>
                <w:sz w:val="24"/>
                <w:szCs w:val="24"/>
                <w:u w:val="none"/>
              </w:rPr>
            </w:pP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4F34F254">
            <w:pPr>
              <w:jc w:val="center"/>
              <w:outlineLvl w:val="9"/>
              <w:rPr>
                <w:rFonts w:hint="eastAsia" w:asciiTheme="minorEastAsia" w:hAnsiTheme="minorEastAsia" w:eastAsiaTheme="minorEastAsia" w:cstheme="minorEastAsia"/>
                <w:i w:val="0"/>
                <w:iCs w:val="0"/>
                <w:color w:val="000000"/>
                <w:sz w:val="24"/>
                <w:szCs w:val="24"/>
                <w:u w:val="none"/>
              </w:rPr>
            </w:pPr>
          </w:p>
        </w:tc>
      </w:tr>
    </w:tbl>
    <w:p w14:paraId="376CC5FF">
      <w:pPr>
        <w:outlineLvl w:val="9"/>
        <w:rPr>
          <w:rFonts w:hint="eastAsia" w:asciiTheme="minorEastAsia" w:hAnsiTheme="minorEastAsia" w:eastAsiaTheme="minorEastAsia" w:cstheme="minorEastAsia"/>
          <w:sz w:val="24"/>
          <w:szCs w:val="24"/>
        </w:rPr>
      </w:pPr>
    </w:p>
    <w:p w14:paraId="5C363A23">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乙方向甲方免费提供上述</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的送货、安装、调试、售后</w:t>
      </w:r>
      <w:r>
        <w:rPr>
          <w:rFonts w:hint="eastAsia" w:asciiTheme="minorEastAsia" w:hAnsiTheme="minorEastAsia" w:eastAsiaTheme="minorEastAsia" w:cstheme="minorEastAsia"/>
          <w:spacing w:val="0"/>
          <w:kern w:val="0"/>
          <w:sz w:val="24"/>
          <w:szCs w:val="24"/>
          <w:lang w:val="en-US" w:eastAsia="zh-CN"/>
        </w:rPr>
        <w:t>服务、</w:t>
      </w:r>
      <w:r>
        <w:rPr>
          <w:rFonts w:hint="eastAsia" w:asciiTheme="minorEastAsia" w:hAnsiTheme="minorEastAsia" w:eastAsiaTheme="minorEastAsia" w:cstheme="minorEastAsia"/>
          <w:spacing w:val="0"/>
          <w:kern w:val="0"/>
          <w:sz w:val="24"/>
          <w:szCs w:val="24"/>
        </w:rPr>
        <w:t>技术支持、培训等服务。</w:t>
      </w:r>
    </w:p>
    <w:p w14:paraId="2A4D5156">
      <w:pPr>
        <w:pStyle w:val="36"/>
        <w:keepNext w:val="0"/>
        <w:keepLines w:val="0"/>
        <w:pageBreakBefore w:val="0"/>
        <w:widowControl w:val="0"/>
        <w:kinsoku/>
        <w:wordWrap/>
        <w:overflowPunct/>
        <w:topLinePunct w:val="0"/>
        <w:autoSpaceDE w:val="0"/>
        <w:autoSpaceDN w:val="0"/>
        <w:bidi w:val="0"/>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合同价款</w:t>
      </w:r>
    </w:p>
    <w:p w14:paraId="32006D61">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sz w:val="24"/>
          <w:szCs w:val="24"/>
        </w:rPr>
        <w:t>本合同甲、乙</w:t>
      </w:r>
      <w:r>
        <w:rPr>
          <w:rFonts w:hint="eastAsia" w:asciiTheme="minorEastAsia" w:hAnsiTheme="minorEastAsia" w:eastAsiaTheme="minorEastAsia" w:cstheme="minorEastAsia"/>
          <w:spacing w:val="0"/>
          <w:sz w:val="24"/>
          <w:szCs w:val="24"/>
          <w:lang w:val="en-US" w:eastAsia="zh-CN"/>
        </w:rPr>
        <w:t>双</w:t>
      </w:r>
      <w:r>
        <w:rPr>
          <w:rFonts w:hint="eastAsia" w:asciiTheme="minorEastAsia" w:hAnsiTheme="minorEastAsia" w:eastAsiaTheme="minorEastAsia" w:cstheme="minorEastAsia"/>
          <w:spacing w:val="0"/>
          <w:sz w:val="24"/>
          <w:szCs w:val="24"/>
        </w:rPr>
        <w:t>方之间发生的一切费用均以人民币结算支付。</w:t>
      </w:r>
      <w:r>
        <w:rPr>
          <w:rFonts w:hint="eastAsia" w:asciiTheme="minorEastAsia" w:hAnsiTheme="minorEastAsia" w:eastAsiaTheme="minorEastAsia" w:cstheme="minorEastAsia"/>
          <w:spacing w:val="0"/>
          <w:sz w:val="24"/>
          <w:szCs w:val="24"/>
          <w:lang w:val="en-US" w:eastAsia="zh-CN"/>
        </w:rPr>
        <w:t>付款方应将款项</w:t>
      </w:r>
      <w:r>
        <w:rPr>
          <w:rFonts w:hint="eastAsia" w:asciiTheme="minorEastAsia" w:hAnsiTheme="minorEastAsia" w:eastAsiaTheme="minorEastAsia" w:cstheme="minorEastAsia"/>
          <w:spacing w:val="0"/>
          <w:sz w:val="24"/>
          <w:szCs w:val="24"/>
        </w:rPr>
        <w:t>付</w:t>
      </w:r>
      <w:r>
        <w:rPr>
          <w:rFonts w:hint="eastAsia" w:asciiTheme="minorEastAsia" w:hAnsiTheme="minorEastAsia" w:eastAsiaTheme="minorEastAsia" w:cstheme="minorEastAsia"/>
          <w:spacing w:val="0"/>
          <w:sz w:val="24"/>
          <w:szCs w:val="24"/>
          <w:lang w:val="en-US" w:eastAsia="zh-CN"/>
        </w:rPr>
        <w:t>至收款方</w:t>
      </w:r>
      <w:r>
        <w:rPr>
          <w:rFonts w:hint="eastAsia" w:asciiTheme="minorEastAsia" w:hAnsiTheme="minorEastAsia" w:eastAsiaTheme="minorEastAsia" w:cstheme="minorEastAsia"/>
          <w:spacing w:val="0"/>
          <w:sz w:val="24"/>
          <w:szCs w:val="24"/>
        </w:rPr>
        <w:t>于合同指定的开户银行和账户。</w:t>
      </w:r>
    </w:p>
    <w:p w14:paraId="57861AB9">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本合同含税总价为</w:t>
      </w:r>
      <w:r>
        <w:rPr>
          <w:rFonts w:hint="eastAsia" w:asciiTheme="minorEastAsia" w:hAnsiTheme="minorEastAsia" w:eastAsiaTheme="minorEastAsia" w:cstheme="minorEastAsia"/>
          <w:spacing w:val="0"/>
          <w:kern w:val="0"/>
          <w:sz w:val="24"/>
          <w:szCs w:val="24"/>
          <w:lang w:val="en-US" w:eastAsia="zh-CN"/>
        </w:rPr>
        <w:t>人民币     万</w:t>
      </w:r>
      <w:r>
        <w:rPr>
          <w:rFonts w:hint="eastAsia" w:asciiTheme="minorEastAsia" w:hAnsiTheme="minorEastAsia" w:eastAsiaTheme="minorEastAsia" w:cstheme="minorEastAsia"/>
          <w:spacing w:val="0"/>
          <w:kern w:val="0"/>
          <w:sz w:val="24"/>
          <w:szCs w:val="24"/>
        </w:rPr>
        <w:t>元</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大写   万</w:t>
      </w:r>
      <w:r>
        <w:rPr>
          <w:rFonts w:hint="eastAsia" w:asciiTheme="minorEastAsia" w:hAnsiTheme="minorEastAsia" w:eastAsiaTheme="minorEastAsia" w:cstheme="minorEastAsia"/>
          <w:spacing w:val="0"/>
          <w:sz w:val="24"/>
          <w:szCs w:val="24"/>
        </w:rPr>
        <w:t>元）</w:t>
      </w:r>
      <w:r>
        <w:rPr>
          <w:rFonts w:hint="eastAsia" w:asciiTheme="minorEastAsia" w:hAnsiTheme="minorEastAsia" w:eastAsiaTheme="minorEastAsia" w:cstheme="minorEastAsia"/>
          <w:spacing w:val="0"/>
          <w:kern w:val="0"/>
          <w:sz w:val="24"/>
          <w:szCs w:val="24"/>
        </w:rPr>
        <w:t>。</w:t>
      </w:r>
      <w:r>
        <w:rPr>
          <w:rFonts w:hint="eastAsia" w:asciiTheme="minorEastAsia" w:hAnsiTheme="minorEastAsia" w:eastAsiaTheme="minorEastAsia" w:cstheme="minorEastAsia"/>
          <w:spacing w:val="0"/>
          <w:sz w:val="24"/>
          <w:szCs w:val="24"/>
          <w:lang w:val="en-US" w:eastAsia="zh-CN"/>
        </w:rPr>
        <w:t>其中不含税额为人民币【】元，税额为人民币【】元（税率：【】）。</w:t>
      </w:r>
    </w:p>
    <w:p w14:paraId="4740A313">
      <w:pPr>
        <w:pStyle w:val="38"/>
        <w:keepNext w:val="0"/>
        <w:keepLines w:val="0"/>
        <w:pageBreakBefore w:val="0"/>
        <w:widowControl w:val="0"/>
        <w:numPr>
          <w:ilvl w:val="2"/>
          <w:numId w:val="12"/>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报价汇总表和分项报价表，以乙方的投标文件中响应的报价为准。</w:t>
      </w:r>
    </w:p>
    <w:p w14:paraId="292E8646">
      <w:pPr>
        <w:pStyle w:val="38"/>
        <w:keepNext w:val="0"/>
        <w:keepLines w:val="0"/>
        <w:pageBreakBefore w:val="0"/>
        <w:widowControl w:val="0"/>
        <w:numPr>
          <w:ilvl w:val="2"/>
          <w:numId w:val="12"/>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如乙方出现价格漏报，由乙方自行对其漏项价格自行消化，且该漏项价格包括在合同总价之中；且不免除乙方必须根据</w:t>
      </w:r>
      <w:r>
        <w:rPr>
          <w:rFonts w:hint="eastAsia" w:asciiTheme="minorEastAsia" w:hAnsiTheme="minorEastAsia" w:eastAsiaTheme="minorEastAsia" w:cstheme="minorEastAsia"/>
          <w:spacing w:val="0"/>
          <w:sz w:val="24"/>
          <w:szCs w:val="24"/>
          <w:lang w:eastAsia="zh-CN"/>
        </w:rPr>
        <w:t>询价公告</w:t>
      </w:r>
      <w:r>
        <w:rPr>
          <w:rFonts w:hint="eastAsia" w:asciiTheme="minorEastAsia" w:hAnsiTheme="minorEastAsia" w:eastAsiaTheme="minorEastAsia" w:cstheme="minorEastAsia"/>
          <w:spacing w:val="0"/>
          <w:sz w:val="24"/>
          <w:szCs w:val="24"/>
        </w:rPr>
        <w:t>及合同要求提供符合要求的合同设备的责任。</w:t>
      </w:r>
    </w:p>
    <w:p w14:paraId="135851B6">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rPr>
        <w:t>因国家税务政策变化导致增值税率发生变化时，按新的增值税率执行，合同价=合同签订时的不含税价*(1+新税率)。合同签订时的不含税价＝(合同约定的含税价、价外费用)/(1+合同签订时适用的税率)</w:t>
      </w:r>
    </w:p>
    <w:p w14:paraId="3AA269B2">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本合同单价或合价(总价)均已包含所供</w:t>
      </w:r>
      <w:r>
        <w:rPr>
          <w:rFonts w:hint="eastAsia" w:asciiTheme="minorEastAsia" w:hAnsiTheme="minorEastAsia" w:eastAsiaTheme="minorEastAsia" w:cstheme="minorEastAsia"/>
          <w:spacing w:val="0"/>
          <w:sz w:val="24"/>
          <w:szCs w:val="24"/>
          <w:lang w:eastAsia="zh-CN"/>
        </w:rPr>
        <w:t>产品设备</w:t>
      </w:r>
      <w:r>
        <w:rPr>
          <w:rFonts w:hint="eastAsia" w:asciiTheme="minorEastAsia" w:hAnsiTheme="minorEastAsia" w:eastAsiaTheme="minorEastAsia" w:cstheme="minorEastAsia"/>
          <w:spacing w:val="0"/>
          <w:sz w:val="24"/>
          <w:szCs w:val="24"/>
        </w:rPr>
        <w:t>及所有零部件费用及最终验收后质保期内所需全部备品、备件、耗材，专用检测设备、仪器及专用工具的费用，并包含设计、制造(含原材料供给)、安装调试、检测、培训、保险、运输、交货现场技术服务、与其它承包商的协调、现场调试、提交图纸和技术资料、提交相关设备和专用工具、质保期内售后服务、卫生防控等一切与完成本项目有关的所有费用</w:t>
      </w:r>
      <w:r>
        <w:rPr>
          <w:rFonts w:hint="eastAsia" w:asciiTheme="minorEastAsia" w:hAnsiTheme="minorEastAsia" w:eastAsiaTheme="minorEastAsia" w:cstheme="minorEastAsia"/>
          <w:spacing w:val="0"/>
          <w:sz w:val="24"/>
          <w:szCs w:val="24"/>
          <w:lang w:eastAsia="zh-CN"/>
        </w:rPr>
        <w:t>。</w:t>
      </w:r>
    </w:p>
    <w:p w14:paraId="0160F7B8">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对甲方</w:t>
      </w:r>
      <w:r>
        <w:rPr>
          <w:rFonts w:hint="eastAsia" w:asciiTheme="minorEastAsia" w:hAnsiTheme="minorEastAsia" w:eastAsiaTheme="minorEastAsia" w:cstheme="minorEastAsia"/>
          <w:spacing w:val="0"/>
          <w:sz w:val="24"/>
          <w:szCs w:val="24"/>
          <w:lang w:val="en-US" w:eastAsia="zh-CN"/>
        </w:rPr>
        <w:t>询价公告</w:t>
      </w:r>
      <w:r>
        <w:rPr>
          <w:rFonts w:hint="eastAsia" w:asciiTheme="minorEastAsia" w:hAnsiTheme="minorEastAsia" w:eastAsiaTheme="minorEastAsia" w:cstheme="minorEastAsia"/>
          <w:spacing w:val="0"/>
          <w:sz w:val="24"/>
          <w:szCs w:val="24"/>
        </w:rPr>
        <w:t>中未列出数量或品名备品备件等，以及乙方未在分项报价表中列出数量或品名备品备件等，但根据</w:t>
      </w:r>
      <w:r>
        <w:rPr>
          <w:rFonts w:hint="eastAsia" w:asciiTheme="minorEastAsia" w:hAnsiTheme="minorEastAsia" w:eastAsiaTheme="minorEastAsia" w:cstheme="minorEastAsia"/>
          <w:spacing w:val="0"/>
          <w:sz w:val="24"/>
          <w:szCs w:val="24"/>
          <w:lang w:val="en-US" w:eastAsia="zh-CN"/>
        </w:rPr>
        <w:t>询价公告</w:t>
      </w:r>
      <w:r>
        <w:rPr>
          <w:rFonts w:hint="eastAsia" w:asciiTheme="minorEastAsia" w:hAnsiTheme="minorEastAsia" w:eastAsiaTheme="minorEastAsia" w:cstheme="minorEastAsia"/>
          <w:spacing w:val="0"/>
          <w:sz w:val="24"/>
          <w:szCs w:val="24"/>
        </w:rPr>
        <w:t>规定又属于乙方为完成本项目实施而必需提供的，乙方必须补足，且所需费用均包含在本合同单价或合价(总价)，甲方对此不单独进行支付。</w:t>
      </w:r>
    </w:p>
    <w:p w14:paraId="20A91941">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本合同履行过程中如有未实施的项目或因技术标准调整等原因导致费用减少的，甲方有权据实扣减相应款项；如因甲方原因导致费用增加的，甲方同意据实支付增加的费用。</w:t>
      </w:r>
    </w:p>
    <w:p w14:paraId="526178B3">
      <w:pPr>
        <w:pStyle w:val="36"/>
        <w:keepNext w:val="0"/>
        <w:keepLines w:val="0"/>
        <w:pageBreakBefore w:val="0"/>
        <w:widowControl w:val="0"/>
        <w:kinsoku/>
        <w:wordWrap/>
        <w:overflowPunct/>
        <w:topLinePunct w:val="0"/>
        <w:autoSpaceDE w:val="0"/>
        <w:autoSpaceDN w:val="0"/>
        <w:bidi w:val="0"/>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包装</w:t>
      </w:r>
    </w:p>
    <w:p w14:paraId="29C8B4C8">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乙方应为</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提供适宜运输的包装方式，</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采用密封性形式，包装上应注明防潮、防湿、防震、防锈、耐粗暴搬运等</w:t>
      </w:r>
      <w:r>
        <w:rPr>
          <w:rFonts w:hint="eastAsia" w:asciiTheme="minorEastAsia" w:hAnsiTheme="minorEastAsia" w:eastAsiaTheme="minorEastAsia" w:cstheme="minorEastAsia"/>
          <w:spacing w:val="0"/>
          <w:kern w:val="0"/>
          <w:sz w:val="24"/>
          <w:szCs w:val="24"/>
          <w:lang w:val="en-US" w:eastAsia="zh-CN"/>
        </w:rPr>
        <w:t>标识</w:t>
      </w:r>
      <w:r>
        <w:rPr>
          <w:rFonts w:hint="eastAsia" w:asciiTheme="minorEastAsia" w:hAnsiTheme="minorEastAsia" w:eastAsiaTheme="minorEastAsia" w:cstheme="minorEastAsia"/>
          <w:spacing w:val="0"/>
          <w:kern w:val="0"/>
          <w:sz w:val="24"/>
          <w:szCs w:val="24"/>
        </w:rPr>
        <w:t>。对于由于包装不良所发生的损失及由于采用不充分或不妥善的防护措施而造成的任何锈损，乙方应承担由此而产生的一切费用和</w:t>
      </w:r>
      <w:r>
        <w:rPr>
          <w:rFonts w:hint="eastAsia" w:asciiTheme="minorEastAsia" w:hAnsiTheme="minorEastAsia" w:eastAsiaTheme="minorEastAsia" w:cstheme="minorEastAsia"/>
          <w:spacing w:val="0"/>
          <w:kern w:val="0"/>
          <w:sz w:val="24"/>
          <w:szCs w:val="24"/>
          <w:lang w:val="en-US" w:eastAsia="zh-CN"/>
        </w:rPr>
        <w:t>责任</w:t>
      </w:r>
      <w:r>
        <w:rPr>
          <w:rFonts w:hint="eastAsia" w:asciiTheme="minorEastAsia" w:hAnsiTheme="minorEastAsia" w:eastAsiaTheme="minorEastAsia" w:cstheme="minorEastAsia"/>
          <w:spacing w:val="0"/>
          <w:kern w:val="0"/>
          <w:sz w:val="24"/>
          <w:szCs w:val="24"/>
        </w:rPr>
        <w:t>。</w:t>
      </w:r>
    </w:p>
    <w:p w14:paraId="6AEA3715">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危险物品</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lang w:val="en-US" w:eastAsia="zh-CN"/>
        </w:rPr>
        <w:t>如有</w:t>
      </w:r>
      <w:r>
        <w:rPr>
          <w:rFonts w:hint="eastAsia" w:asciiTheme="minorEastAsia" w:hAnsiTheme="minorEastAsia" w:eastAsiaTheme="minorEastAsia" w:cstheme="minorEastAsia"/>
          <w:spacing w:val="0"/>
          <w:sz w:val="24"/>
          <w:szCs w:val="24"/>
          <w:lang w:eastAsia="zh-CN"/>
        </w:rPr>
        <w:t>）</w:t>
      </w:r>
    </w:p>
    <w:p w14:paraId="44EA7162">
      <w:pPr>
        <w:pStyle w:val="38"/>
        <w:keepNext w:val="0"/>
        <w:keepLines w:val="0"/>
        <w:pageBreakBefore w:val="0"/>
        <w:widowControl w:val="0"/>
        <w:numPr>
          <w:ilvl w:val="2"/>
          <w:numId w:val="13"/>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如果</w:t>
      </w:r>
      <w:r>
        <w:rPr>
          <w:rFonts w:hint="eastAsia" w:asciiTheme="minorEastAsia" w:hAnsiTheme="minorEastAsia" w:eastAsiaTheme="minorEastAsia" w:cstheme="minorEastAsia"/>
          <w:spacing w:val="0"/>
          <w:sz w:val="24"/>
          <w:szCs w:val="24"/>
          <w:lang w:eastAsia="zh-CN"/>
        </w:rPr>
        <w:t>产品设备</w:t>
      </w:r>
      <w:r>
        <w:rPr>
          <w:rFonts w:hint="eastAsia" w:asciiTheme="minorEastAsia" w:hAnsiTheme="minorEastAsia" w:eastAsiaTheme="minorEastAsia" w:cstheme="minorEastAsia"/>
          <w:spacing w:val="0"/>
          <w:sz w:val="24"/>
          <w:szCs w:val="24"/>
        </w:rPr>
        <w:t>由危险材料及生化物品制成或包含危险材料成分，需要特殊处理，应在交货前至少</w:t>
      </w: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rPr>
        <w:t>日内以书面形式说明材料的详细情况，并对安全运输和存放等方面所采取的必要的保护措施进行说明。</w:t>
      </w:r>
      <w:r>
        <w:rPr>
          <w:rFonts w:hint="eastAsia" w:asciiTheme="minorEastAsia" w:hAnsiTheme="minorEastAsia" w:eastAsiaTheme="minorEastAsia" w:cstheme="minorEastAsia"/>
          <w:spacing w:val="0"/>
          <w:sz w:val="24"/>
          <w:szCs w:val="24"/>
          <w:lang w:val="en-US" w:eastAsia="zh-CN"/>
        </w:rPr>
        <w:t>并</w:t>
      </w:r>
      <w:r>
        <w:rPr>
          <w:rFonts w:hint="eastAsia" w:asciiTheme="minorEastAsia" w:hAnsiTheme="minorEastAsia" w:eastAsiaTheme="minorEastAsia" w:cstheme="minorEastAsia"/>
          <w:spacing w:val="0"/>
          <w:sz w:val="24"/>
          <w:szCs w:val="24"/>
        </w:rPr>
        <w:t>且每次供货时均应对</w:t>
      </w:r>
      <w:r>
        <w:rPr>
          <w:rFonts w:hint="eastAsia" w:asciiTheme="minorEastAsia" w:hAnsiTheme="minorEastAsia" w:eastAsiaTheme="minorEastAsia" w:cstheme="minorEastAsia"/>
          <w:spacing w:val="0"/>
          <w:sz w:val="24"/>
          <w:szCs w:val="24"/>
          <w:lang w:eastAsia="zh-CN"/>
        </w:rPr>
        <w:t>产品设备</w:t>
      </w:r>
      <w:r>
        <w:rPr>
          <w:rFonts w:hint="eastAsia" w:asciiTheme="minorEastAsia" w:hAnsiTheme="minorEastAsia" w:eastAsiaTheme="minorEastAsia" w:cstheme="minorEastAsia"/>
          <w:spacing w:val="0"/>
          <w:sz w:val="24"/>
          <w:szCs w:val="24"/>
        </w:rPr>
        <w:t>做明显标记，说明材料的特性和相关的安全参数。</w:t>
      </w:r>
    </w:p>
    <w:p w14:paraId="31737063">
      <w:pPr>
        <w:pStyle w:val="38"/>
        <w:keepNext w:val="0"/>
        <w:keepLines w:val="0"/>
        <w:pageBreakBefore w:val="0"/>
        <w:widowControl w:val="0"/>
        <w:numPr>
          <w:ilvl w:val="2"/>
          <w:numId w:val="13"/>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对于需采用专用运输工具运输以确保安全的</w:t>
      </w:r>
      <w:r>
        <w:rPr>
          <w:rFonts w:hint="eastAsia" w:asciiTheme="minorEastAsia" w:hAnsiTheme="minorEastAsia" w:eastAsiaTheme="minorEastAsia" w:cstheme="minorEastAsia"/>
          <w:spacing w:val="0"/>
          <w:sz w:val="24"/>
          <w:szCs w:val="24"/>
          <w:lang w:eastAsia="zh-CN"/>
        </w:rPr>
        <w:t>产品设备</w:t>
      </w:r>
      <w:r>
        <w:rPr>
          <w:rFonts w:hint="eastAsia" w:asciiTheme="minorEastAsia" w:hAnsiTheme="minorEastAsia" w:eastAsiaTheme="minorEastAsia" w:cstheme="minorEastAsia"/>
          <w:spacing w:val="0"/>
          <w:sz w:val="24"/>
          <w:szCs w:val="24"/>
        </w:rPr>
        <w:t>，应按照法律法规</w:t>
      </w:r>
      <w:r>
        <w:rPr>
          <w:rFonts w:hint="eastAsia" w:asciiTheme="minorEastAsia" w:hAnsiTheme="minorEastAsia" w:eastAsiaTheme="minorEastAsia" w:cstheme="minorEastAsia"/>
          <w:spacing w:val="0"/>
          <w:sz w:val="24"/>
          <w:szCs w:val="24"/>
          <w:lang w:val="en-US" w:eastAsia="zh-CN"/>
        </w:rPr>
        <w:t>及</w:t>
      </w:r>
      <w:r>
        <w:rPr>
          <w:rFonts w:hint="eastAsia" w:asciiTheme="minorEastAsia" w:hAnsiTheme="minorEastAsia" w:eastAsiaTheme="minorEastAsia" w:cstheme="minorEastAsia"/>
          <w:spacing w:val="0"/>
          <w:sz w:val="24"/>
          <w:szCs w:val="24"/>
        </w:rPr>
        <w:t>运输危险物品的有关规定进行运输。</w:t>
      </w:r>
    </w:p>
    <w:p w14:paraId="6F119D1F">
      <w:pPr>
        <w:pStyle w:val="38"/>
        <w:keepNext w:val="0"/>
        <w:keepLines w:val="0"/>
        <w:pageBreakBefore w:val="0"/>
        <w:widowControl w:val="0"/>
        <w:numPr>
          <w:ilvl w:val="2"/>
          <w:numId w:val="13"/>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乙方应承担运输或处理</w:t>
      </w:r>
      <w:r>
        <w:rPr>
          <w:rFonts w:hint="eastAsia" w:asciiTheme="minorEastAsia" w:hAnsiTheme="minorEastAsia" w:eastAsiaTheme="minorEastAsia" w:cstheme="minorEastAsia"/>
          <w:spacing w:val="0"/>
          <w:sz w:val="24"/>
          <w:szCs w:val="24"/>
          <w:lang w:eastAsia="zh-CN"/>
        </w:rPr>
        <w:t>产品设备</w:t>
      </w:r>
      <w:r>
        <w:rPr>
          <w:rFonts w:hint="eastAsia" w:asciiTheme="minorEastAsia" w:hAnsiTheme="minorEastAsia" w:eastAsiaTheme="minorEastAsia" w:cstheme="minorEastAsia"/>
          <w:spacing w:val="0"/>
          <w:sz w:val="24"/>
          <w:szCs w:val="24"/>
        </w:rPr>
        <w:t>不当而造成的相关</w:t>
      </w:r>
      <w:r>
        <w:rPr>
          <w:rFonts w:hint="eastAsia" w:asciiTheme="minorEastAsia" w:hAnsiTheme="minorEastAsia" w:eastAsiaTheme="minorEastAsia" w:cstheme="minorEastAsia"/>
          <w:spacing w:val="0"/>
          <w:sz w:val="24"/>
          <w:szCs w:val="24"/>
          <w:lang w:val="en-US" w:eastAsia="zh-CN"/>
        </w:rPr>
        <w:t>法律责任</w:t>
      </w:r>
      <w:r>
        <w:rPr>
          <w:rFonts w:hint="eastAsia" w:asciiTheme="minorEastAsia" w:hAnsiTheme="minorEastAsia" w:eastAsiaTheme="minorEastAsia" w:cstheme="minorEastAsia"/>
          <w:spacing w:val="0"/>
          <w:sz w:val="24"/>
          <w:szCs w:val="24"/>
        </w:rPr>
        <w:t>。</w:t>
      </w:r>
    </w:p>
    <w:p w14:paraId="231BC95B">
      <w:pPr>
        <w:pStyle w:val="36"/>
        <w:keepNext w:val="0"/>
        <w:keepLines w:val="0"/>
        <w:pageBreakBefore w:val="0"/>
        <w:widowControl w:val="0"/>
        <w:kinsoku/>
        <w:wordWrap/>
        <w:overflowPunct/>
        <w:topLinePunct w:val="0"/>
        <w:autoSpaceDE w:val="0"/>
        <w:autoSpaceDN w:val="0"/>
        <w:bidi w:val="0"/>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交付</w:t>
      </w:r>
    </w:p>
    <w:p w14:paraId="0E384573">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lang w:val="en-US" w:eastAsia="zh-CN"/>
        </w:rPr>
        <w:t>甲方指定</w:t>
      </w:r>
      <w:r>
        <w:rPr>
          <w:rFonts w:hint="eastAsia" w:asciiTheme="minorEastAsia" w:hAnsiTheme="minorEastAsia" w:eastAsiaTheme="minorEastAsia" w:cstheme="minorEastAsia"/>
          <w:spacing w:val="0"/>
          <w:kern w:val="0"/>
          <w:sz w:val="24"/>
          <w:szCs w:val="24"/>
        </w:rPr>
        <w:t>交货地点：</w:t>
      </w:r>
      <w:r>
        <w:rPr>
          <w:rFonts w:hint="eastAsia" w:asciiTheme="minorEastAsia" w:hAnsiTheme="minorEastAsia" w:eastAsiaTheme="minorEastAsia" w:cstheme="minorEastAsia"/>
          <w:spacing w:val="0"/>
          <w:kern w:val="0"/>
          <w:sz w:val="24"/>
          <w:szCs w:val="24"/>
          <w:lang w:val="en-US" w:eastAsia="zh-CN"/>
        </w:rPr>
        <w:t>C4国际业务室</w:t>
      </w:r>
    </w:p>
    <w:p w14:paraId="0C4DB2F8">
      <w:pPr>
        <w:pStyle w:val="37"/>
        <w:keepNext w:val="0"/>
        <w:keepLines w:val="0"/>
        <w:pageBreakBefore w:val="0"/>
        <w:widowControl w:val="0"/>
        <w:numPr>
          <w:ilvl w:val="0"/>
          <w:numId w:val="11"/>
        </w:numPr>
        <w:kinsoku/>
        <w:wordWrap/>
        <w:overflowPunct/>
        <w:topLinePunct w:val="0"/>
        <w:autoSpaceDE w:val="0"/>
        <w:autoSpaceDN w:val="0"/>
        <w:bidi w:val="0"/>
        <w:ind w:firstLine="482"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b/>
          <w:bCs/>
          <w:color w:val="auto"/>
          <w:spacing w:val="0"/>
          <w:kern w:val="0"/>
          <w:sz w:val="24"/>
          <w:szCs w:val="24"/>
          <w:lang w:val="en-US" w:eastAsia="zh-CN"/>
        </w:rPr>
        <w:t>交货期：</w:t>
      </w:r>
      <w:r>
        <w:rPr>
          <w:rFonts w:hint="eastAsia" w:asciiTheme="minorEastAsia" w:hAnsiTheme="minorEastAsia" w:eastAsiaTheme="minorEastAsia" w:cstheme="minorEastAsia"/>
          <w:color w:val="0000FF"/>
          <w:spacing w:val="0"/>
          <w:kern w:val="0"/>
          <w:sz w:val="24"/>
          <w:szCs w:val="24"/>
        </w:rPr>
        <w:t>合同签订后</w:t>
      </w:r>
      <w:r>
        <w:rPr>
          <w:rFonts w:hint="eastAsia" w:asciiTheme="minorEastAsia" w:hAnsiTheme="minorEastAsia" w:eastAsiaTheme="minorEastAsia" w:cstheme="minorEastAsia"/>
          <w:color w:val="0000FF"/>
          <w:spacing w:val="0"/>
          <w:kern w:val="0"/>
          <w:sz w:val="24"/>
          <w:szCs w:val="24"/>
          <w:lang w:val="en-US" w:eastAsia="zh-CN"/>
        </w:rPr>
        <w:t>20</w:t>
      </w:r>
      <w:r>
        <w:rPr>
          <w:rFonts w:hint="eastAsia" w:asciiTheme="minorEastAsia" w:hAnsiTheme="minorEastAsia" w:eastAsiaTheme="minorEastAsia" w:cstheme="minorEastAsia"/>
          <w:color w:val="0000FF"/>
          <w:spacing w:val="0"/>
          <w:kern w:val="0"/>
          <w:sz w:val="24"/>
          <w:szCs w:val="24"/>
        </w:rPr>
        <w:t>个自然日内供货安装完毕。</w:t>
      </w:r>
    </w:p>
    <w:p w14:paraId="2BB91AFC">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所有</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运抵现场并经过甲方验收的日期为交货日期。</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数量、型号等不符或者有明显瑕疵的，甲方有权拒收。</w:t>
      </w:r>
    </w:p>
    <w:p w14:paraId="2BD5E429">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乙方负责无偿将</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运送至甲方</w:t>
      </w:r>
      <w:r>
        <w:rPr>
          <w:rFonts w:hint="eastAsia" w:asciiTheme="minorEastAsia" w:hAnsiTheme="minorEastAsia" w:eastAsiaTheme="minorEastAsia" w:cstheme="minorEastAsia"/>
          <w:spacing w:val="0"/>
          <w:kern w:val="0"/>
          <w:sz w:val="24"/>
          <w:szCs w:val="24"/>
          <w:lang w:val="en-US" w:eastAsia="zh-CN"/>
        </w:rPr>
        <w:t>的交货</w:t>
      </w:r>
      <w:r>
        <w:rPr>
          <w:rFonts w:hint="eastAsia" w:asciiTheme="minorEastAsia" w:hAnsiTheme="minorEastAsia" w:eastAsiaTheme="minorEastAsia" w:cstheme="minorEastAsia"/>
          <w:spacing w:val="0"/>
          <w:kern w:val="0"/>
          <w:sz w:val="24"/>
          <w:szCs w:val="24"/>
        </w:rPr>
        <w:t>地点。运输过程中，</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毁损、灭失的风险由乙方承担。</w:t>
      </w:r>
    </w:p>
    <w:p w14:paraId="214E2A69">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运送至甲方指定地点后，由甲乙双方共同对</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进行检验并办理相关移交手续</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kern w:val="0"/>
          <w:sz w:val="24"/>
          <w:szCs w:val="24"/>
          <w:lang w:val="en-US" w:eastAsia="zh-CN"/>
        </w:rPr>
        <w:t>产品设备</w:t>
      </w:r>
      <w:r>
        <w:rPr>
          <w:rFonts w:hint="eastAsia" w:asciiTheme="minorEastAsia" w:hAnsiTheme="minorEastAsia" w:eastAsiaTheme="minorEastAsia" w:cstheme="minorEastAsia"/>
          <w:spacing w:val="0"/>
          <w:sz w:val="24"/>
          <w:szCs w:val="24"/>
        </w:rPr>
        <w:t>移交给甲方后，毁损、灭失的风险由甲方承担。</w:t>
      </w:r>
      <w:r>
        <w:rPr>
          <w:rFonts w:hint="eastAsia" w:asciiTheme="minorEastAsia" w:hAnsiTheme="minorEastAsia" w:eastAsiaTheme="minorEastAsia" w:cstheme="minorEastAsia"/>
          <w:spacing w:val="0"/>
          <w:sz w:val="24"/>
          <w:szCs w:val="24"/>
          <w:lang w:val="en-US" w:eastAsia="zh-CN"/>
        </w:rPr>
        <w:t>甲方接收产品设备不代表甲方对产品设备质量的认可。</w:t>
      </w:r>
    </w:p>
    <w:p w14:paraId="44D187C8">
      <w:pPr>
        <w:pStyle w:val="36"/>
        <w:keepNext w:val="0"/>
        <w:keepLines w:val="0"/>
        <w:pageBreakBefore w:val="0"/>
        <w:widowControl w:val="0"/>
        <w:kinsoku/>
        <w:wordWrap/>
        <w:overflowPunct/>
        <w:topLinePunct w:val="0"/>
        <w:autoSpaceDE w:val="0"/>
        <w:autoSpaceDN w:val="0"/>
        <w:bidi w:val="0"/>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检验</w:t>
      </w:r>
    </w:p>
    <w:p w14:paraId="73916909">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货到后，甲方按本合同约定及</w:t>
      </w:r>
      <w:r>
        <w:rPr>
          <w:rFonts w:hint="eastAsia" w:asciiTheme="minorEastAsia" w:hAnsiTheme="minorEastAsia" w:eastAsiaTheme="minorEastAsia" w:cstheme="minorEastAsia"/>
          <w:spacing w:val="0"/>
          <w:kern w:val="0"/>
          <w:sz w:val="24"/>
          <w:szCs w:val="24"/>
          <w:lang w:val="en-US" w:eastAsia="zh-CN"/>
        </w:rPr>
        <w:t>询价公告</w:t>
      </w:r>
      <w:r>
        <w:rPr>
          <w:rFonts w:hint="eastAsia" w:asciiTheme="minorEastAsia" w:hAnsiTheme="minorEastAsia" w:eastAsiaTheme="minorEastAsia" w:cstheme="minorEastAsia"/>
          <w:spacing w:val="0"/>
          <w:kern w:val="0"/>
          <w:sz w:val="24"/>
          <w:szCs w:val="24"/>
        </w:rPr>
        <w:t>的要求进行检验收货，</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的规格型号均以合同及招、投标文件的要求为准。</w:t>
      </w:r>
    </w:p>
    <w:p w14:paraId="0156A921">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kern w:val="0"/>
          <w:sz w:val="24"/>
          <w:szCs w:val="24"/>
        </w:rPr>
        <w:t>甲方收到</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后履行收货验收手续，经验收确认</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符合要求后，由甲方在收货验收单</w:t>
      </w:r>
      <w:r>
        <w:rPr>
          <w:rFonts w:hint="eastAsia" w:asciiTheme="minorEastAsia" w:hAnsiTheme="minorEastAsia" w:eastAsiaTheme="minorEastAsia" w:cstheme="minorEastAsia"/>
          <w:spacing w:val="0"/>
          <w:kern w:val="0"/>
          <w:sz w:val="24"/>
          <w:szCs w:val="24"/>
          <w:lang w:val="en-US" w:eastAsia="zh-CN"/>
        </w:rPr>
        <w:t>或试运行报告（如有）</w:t>
      </w:r>
      <w:r>
        <w:rPr>
          <w:rFonts w:hint="eastAsia" w:asciiTheme="minorEastAsia" w:hAnsiTheme="minorEastAsia" w:eastAsiaTheme="minorEastAsia" w:cstheme="minorEastAsia"/>
          <w:spacing w:val="0"/>
          <w:kern w:val="0"/>
          <w:sz w:val="24"/>
          <w:szCs w:val="24"/>
        </w:rPr>
        <w:t>上签字。甲方收货验收并不免除乙方对</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质量应当承担的责任，如果甲方在使用</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时发现设计、安装、制造、材料、工艺等方面的缺陷导致的任何质量问题，乙方仍应承担责任</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sz w:val="24"/>
          <w:szCs w:val="24"/>
        </w:rPr>
        <w:t>试运行报告须体现项目达到最终验收合格标准的试运行结论。试运行期间由于乙方</w:t>
      </w:r>
      <w:r>
        <w:rPr>
          <w:rFonts w:hint="eastAsia" w:asciiTheme="minorEastAsia" w:hAnsiTheme="minorEastAsia" w:eastAsiaTheme="minorEastAsia" w:cstheme="minorEastAsia"/>
          <w:spacing w:val="0"/>
          <w:sz w:val="24"/>
          <w:szCs w:val="24"/>
          <w:lang w:eastAsia="zh-CN"/>
        </w:rPr>
        <w:t>产品设备</w:t>
      </w:r>
      <w:r>
        <w:rPr>
          <w:rFonts w:hint="eastAsia" w:asciiTheme="minorEastAsia" w:hAnsiTheme="minorEastAsia" w:eastAsiaTheme="minorEastAsia" w:cstheme="minorEastAsia"/>
          <w:spacing w:val="0"/>
          <w:sz w:val="24"/>
          <w:szCs w:val="24"/>
        </w:rPr>
        <w:t>质量问题造成的财产损失和人员伤害，由乙方承担全部责任及赔偿。</w:t>
      </w:r>
    </w:p>
    <w:p w14:paraId="54966E9B">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如本合同所采购的</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因其自身特点导致甲方无法在收货验收当时发现其质量、设计、安装、制造、材料、工艺等</w:t>
      </w:r>
      <w:r>
        <w:rPr>
          <w:rFonts w:hint="eastAsia" w:asciiTheme="minorEastAsia" w:hAnsiTheme="minorEastAsia" w:eastAsiaTheme="minorEastAsia" w:cstheme="minorEastAsia"/>
          <w:spacing w:val="0"/>
          <w:kern w:val="0"/>
          <w:sz w:val="24"/>
          <w:szCs w:val="24"/>
          <w:lang w:val="en-US" w:eastAsia="zh-CN"/>
        </w:rPr>
        <w:t>方面的问题及</w:t>
      </w:r>
      <w:r>
        <w:rPr>
          <w:rFonts w:hint="eastAsia" w:asciiTheme="minorEastAsia" w:hAnsiTheme="minorEastAsia" w:eastAsiaTheme="minorEastAsia" w:cstheme="minorEastAsia"/>
          <w:spacing w:val="0"/>
          <w:kern w:val="0"/>
          <w:sz w:val="24"/>
          <w:szCs w:val="24"/>
        </w:rPr>
        <w:t>缺陷，则甲方享有合理的适用或测试使用时间，如该期间内发现上述问题，则乙方应无条件为甲方提供换货或退货处理，在此情况下乙方无权以甲方收货验收作为</w:t>
      </w:r>
      <w:r>
        <w:rPr>
          <w:rFonts w:hint="eastAsia" w:asciiTheme="minorEastAsia" w:hAnsiTheme="minorEastAsia" w:eastAsiaTheme="minorEastAsia" w:cstheme="minorEastAsia"/>
          <w:spacing w:val="0"/>
          <w:kern w:val="0"/>
          <w:sz w:val="24"/>
          <w:szCs w:val="24"/>
          <w:lang w:val="en-US" w:eastAsia="zh-CN"/>
        </w:rPr>
        <w:t>其</w:t>
      </w:r>
      <w:r>
        <w:rPr>
          <w:rFonts w:hint="eastAsia" w:asciiTheme="minorEastAsia" w:hAnsiTheme="minorEastAsia" w:eastAsiaTheme="minorEastAsia" w:cstheme="minorEastAsia"/>
          <w:spacing w:val="0"/>
          <w:kern w:val="0"/>
          <w:sz w:val="24"/>
          <w:szCs w:val="24"/>
        </w:rPr>
        <w:t>已交付</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的抗辩。</w:t>
      </w:r>
    </w:p>
    <w:p w14:paraId="5E1A70FD">
      <w:pPr>
        <w:pStyle w:val="36"/>
        <w:keepNext w:val="0"/>
        <w:keepLines w:val="0"/>
        <w:pageBreakBefore w:val="0"/>
        <w:widowControl w:val="0"/>
        <w:kinsoku/>
        <w:wordWrap/>
        <w:overflowPunct/>
        <w:topLinePunct w:val="0"/>
        <w:autoSpaceDE w:val="0"/>
        <w:autoSpaceDN w:val="0"/>
        <w:bidi w:val="0"/>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质量保证</w:t>
      </w:r>
    </w:p>
    <w:p w14:paraId="43000D74">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乙方保证所提供的</w:t>
      </w:r>
      <w:r>
        <w:rPr>
          <w:rFonts w:hint="eastAsia" w:asciiTheme="minorEastAsia" w:hAnsiTheme="minorEastAsia" w:eastAsiaTheme="minorEastAsia" w:cstheme="minorEastAsia"/>
          <w:spacing w:val="0"/>
          <w:sz w:val="24"/>
          <w:szCs w:val="24"/>
          <w:lang w:val="en-US" w:eastAsia="zh-CN"/>
        </w:rPr>
        <w:t>产品设备</w:t>
      </w:r>
      <w:r>
        <w:rPr>
          <w:rFonts w:hint="eastAsia" w:asciiTheme="minorEastAsia" w:hAnsiTheme="minorEastAsia" w:eastAsiaTheme="minorEastAsia" w:cstheme="minorEastAsia"/>
          <w:spacing w:val="0"/>
          <w:sz w:val="24"/>
          <w:szCs w:val="24"/>
        </w:rPr>
        <w:t>符合</w:t>
      </w:r>
      <w:r>
        <w:rPr>
          <w:rFonts w:hint="eastAsia" w:asciiTheme="minorEastAsia" w:hAnsiTheme="minorEastAsia" w:eastAsiaTheme="minorEastAsia" w:cstheme="minorEastAsia"/>
          <w:spacing w:val="0"/>
          <w:sz w:val="24"/>
          <w:szCs w:val="24"/>
          <w:lang w:val="en-US" w:eastAsia="zh-CN"/>
        </w:rPr>
        <w:t>询价公告</w:t>
      </w:r>
      <w:r>
        <w:rPr>
          <w:rFonts w:hint="eastAsia" w:asciiTheme="minorEastAsia" w:hAnsiTheme="minorEastAsia" w:eastAsiaTheme="minorEastAsia" w:cstheme="minorEastAsia"/>
          <w:spacing w:val="0"/>
          <w:sz w:val="24"/>
          <w:szCs w:val="24"/>
        </w:rPr>
        <w:t>的要求，以标准孰高为准且有利于甲方为准。在交货之前，乙方应就</w:t>
      </w:r>
      <w:r>
        <w:rPr>
          <w:rFonts w:hint="eastAsia" w:asciiTheme="minorEastAsia" w:hAnsiTheme="minorEastAsia" w:eastAsiaTheme="minorEastAsia" w:cstheme="minorEastAsia"/>
          <w:spacing w:val="0"/>
          <w:sz w:val="24"/>
          <w:szCs w:val="24"/>
          <w:lang w:val="en-US" w:eastAsia="zh-CN"/>
        </w:rPr>
        <w:t>产品设备</w:t>
      </w:r>
      <w:r>
        <w:rPr>
          <w:rFonts w:hint="eastAsia" w:asciiTheme="minorEastAsia" w:hAnsiTheme="minorEastAsia" w:eastAsiaTheme="minorEastAsia" w:cstheme="minorEastAsia"/>
          <w:spacing w:val="0"/>
          <w:sz w:val="24"/>
          <w:szCs w:val="24"/>
        </w:rPr>
        <w:t>的品质、规格、性能、数量及重量</w:t>
      </w:r>
      <w:r>
        <w:rPr>
          <w:rFonts w:hint="eastAsia" w:asciiTheme="minorEastAsia" w:hAnsiTheme="minorEastAsia" w:eastAsiaTheme="minorEastAsia" w:cstheme="minorEastAsia"/>
          <w:spacing w:val="0"/>
          <w:sz w:val="24"/>
          <w:szCs w:val="24"/>
          <w:lang w:val="en-US" w:eastAsia="zh-CN"/>
        </w:rPr>
        <w:t>等</w:t>
      </w:r>
      <w:r>
        <w:rPr>
          <w:rFonts w:hint="eastAsia" w:asciiTheme="minorEastAsia" w:hAnsiTheme="minorEastAsia" w:eastAsiaTheme="minorEastAsia" w:cstheme="minorEastAsia"/>
          <w:spacing w:val="0"/>
          <w:sz w:val="24"/>
          <w:szCs w:val="24"/>
        </w:rPr>
        <w:t>做出准确和全面的检验，保证</w:t>
      </w:r>
      <w:r>
        <w:rPr>
          <w:rFonts w:hint="eastAsia" w:asciiTheme="minorEastAsia" w:hAnsiTheme="minorEastAsia" w:eastAsiaTheme="minorEastAsia" w:cstheme="minorEastAsia"/>
          <w:spacing w:val="0"/>
          <w:sz w:val="24"/>
          <w:szCs w:val="24"/>
          <w:lang w:val="en-US" w:eastAsia="zh-CN"/>
        </w:rPr>
        <w:t>产品设备</w:t>
      </w:r>
      <w:r>
        <w:rPr>
          <w:rFonts w:hint="eastAsia" w:asciiTheme="minorEastAsia" w:hAnsiTheme="minorEastAsia" w:eastAsiaTheme="minorEastAsia" w:cstheme="minorEastAsia"/>
          <w:spacing w:val="0"/>
          <w:sz w:val="24"/>
          <w:szCs w:val="24"/>
        </w:rPr>
        <w:t>不存在任何瑕疵，质量符合相应的国家和行业标准及招、投标文件的要求。</w:t>
      </w:r>
    </w:p>
    <w:p w14:paraId="6BDA821E">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kern w:val="0"/>
          <w:sz w:val="24"/>
          <w:szCs w:val="24"/>
        </w:rPr>
        <w:t>乙方保证所提供的</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为甲方所规定之原始生产厂家生产和制造的</w:t>
      </w:r>
      <w:r>
        <w:rPr>
          <w:rFonts w:hint="eastAsia" w:asciiTheme="minorEastAsia" w:hAnsiTheme="minorEastAsia" w:eastAsiaTheme="minorEastAsia" w:cstheme="minorEastAsia"/>
          <w:spacing w:val="0"/>
          <w:kern w:val="0"/>
          <w:sz w:val="24"/>
          <w:szCs w:val="24"/>
          <w:lang w:val="en-US" w:eastAsia="zh-CN"/>
        </w:rPr>
        <w:t>全新</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，如前述</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说明书中包含排除乙方法定或约定义务内容的，或该说明书中承诺的质量标准低于国家或行业推荐性标准的，均属无效；除非甲方明确书面同意接受，否则本合同附属、补充文件及</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支持文件中规定的乙方责任限制条款不适用于甲方。</w:t>
      </w:r>
    </w:p>
    <w:p w14:paraId="14B0E8C3">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在投标时已明确了品牌的材料和设备，乙方须自行确认所供材料和设备在近</w:t>
      </w:r>
      <w:r>
        <w:rPr>
          <w:rFonts w:hint="eastAsia" w:asciiTheme="minorEastAsia" w:hAnsiTheme="minorEastAsia" w:eastAsiaTheme="minorEastAsia" w:cstheme="minorEastAsia"/>
          <w:spacing w:val="0"/>
          <w:sz w:val="24"/>
          <w:szCs w:val="24"/>
          <w:lang w:val="en-US" w:eastAsia="zh-CN"/>
        </w:rPr>
        <w:t>2</w:t>
      </w:r>
      <w:r>
        <w:rPr>
          <w:rFonts w:hint="eastAsia" w:asciiTheme="minorEastAsia" w:hAnsiTheme="minorEastAsia" w:eastAsiaTheme="minorEastAsia" w:cstheme="minorEastAsia"/>
          <w:spacing w:val="0"/>
          <w:sz w:val="24"/>
          <w:szCs w:val="24"/>
        </w:rPr>
        <w:t>年是否会面临停供、停产等</w:t>
      </w:r>
      <w:r>
        <w:rPr>
          <w:rFonts w:hint="eastAsia" w:asciiTheme="minorEastAsia" w:hAnsiTheme="minorEastAsia" w:eastAsiaTheme="minorEastAsia" w:cstheme="minorEastAsia"/>
          <w:spacing w:val="0"/>
          <w:sz w:val="24"/>
          <w:szCs w:val="24"/>
          <w:lang w:val="en-US" w:eastAsia="zh-CN"/>
        </w:rPr>
        <w:t>问题，以及其他</w:t>
      </w:r>
      <w:r>
        <w:rPr>
          <w:rFonts w:hint="eastAsia" w:asciiTheme="minorEastAsia" w:hAnsiTheme="minorEastAsia" w:eastAsiaTheme="minorEastAsia" w:cstheme="minorEastAsia"/>
          <w:spacing w:val="0"/>
          <w:sz w:val="24"/>
          <w:szCs w:val="24"/>
        </w:rPr>
        <w:t>可能导致发生材料和设备变更的不利</w:t>
      </w:r>
      <w:r>
        <w:rPr>
          <w:rFonts w:hint="eastAsia" w:asciiTheme="minorEastAsia" w:hAnsiTheme="minorEastAsia" w:eastAsiaTheme="minorEastAsia" w:cstheme="minorEastAsia"/>
          <w:spacing w:val="0"/>
          <w:sz w:val="24"/>
          <w:szCs w:val="24"/>
          <w:lang w:val="en-US" w:eastAsia="zh-CN"/>
        </w:rPr>
        <w:t>信息</w:t>
      </w:r>
      <w:r>
        <w:rPr>
          <w:rFonts w:hint="eastAsia" w:asciiTheme="minorEastAsia" w:hAnsiTheme="minorEastAsia" w:eastAsiaTheme="minorEastAsia" w:cstheme="minorEastAsia"/>
          <w:spacing w:val="0"/>
          <w:sz w:val="24"/>
          <w:szCs w:val="24"/>
        </w:rPr>
        <w:t>。乙方变更材料和设备，必须经过甲方</w:t>
      </w:r>
      <w:r>
        <w:rPr>
          <w:rFonts w:hint="eastAsia" w:asciiTheme="minorEastAsia" w:hAnsiTheme="minorEastAsia" w:eastAsiaTheme="minorEastAsia" w:cstheme="minorEastAsia"/>
          <w:spacing w:val="0"/>
          <w:sz w:val="24"/>
          <w:szCs w:val="24"/>
          <w:lang w:val="en-US" w:eastAsia="zh-CN"/>
        </w:rPr>
        <w:t>书面</w:t>
      </w:r>
      <w:r>
        <w:rPr>
          <w:rFonts w:hint="eastAsia" w:asciiTheme="minorEastAsia" w:hAnsiTheme="minorEastAsia" w:eastAsiaTheme="minorEastAsia" w:cstheme="minorEastAsia"/>
          <w:spacing w:val="0"/>
          <w:sz w:val="24"/>
          <w:szCs w:val="24"/>
        </w:rPr>
        <w:t>同意，且档次和质量等不能低于投标的品牌。如因变更导致费用增加，乙方自行承担增加费用；如导致费用减少的，甲方有权据实扣除差额部分；且无论因变更导致费用的增减，乙方均须按照变更部分总金额的</w:t>
      </w: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rPr>
        <w:t>承担违约金。如乙方以停产、停供、或工期延误等理由申请变更的，则须无条件按照变更部分总金额的</w:t>
      </w: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rPr>
        <w:t>承担违约金。</w:t>
      </w:r>
    </w:p>
    <w:p w14:paraId="5695024F">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乙方变更材料和设备，</w:t>
      </w:r>
      <w:r>
        <w:rPr>
          <w:rFonts w:hint="eastAsia" w:asciiTheme="minorEastAsia" w:hAnsiTheme="minorEastAsia" w:eastAsiaTheme="minorEastAsia" w:cstheme="minorEastAsia"/>
          <w:spacing w:val="0"/>
          <w:sz w:val="24"/>
          <w:szCs w:val="24"/>
          <w:lang w:val="en-US" w:eastAsia="zh-CN"/>
        </w:rPr>
        <w:t>需</w:t>
      </w:r>
      <w:r>
        <w:rPr>
          <w:rFonts w:hint="eastAsia" w:asciiTheme="minorEastAsia" w:hAnsiTheme="minorEastAsia" w:eastAsiaTheme="minorEastAsia" w:cstheme="minorEastAsia"/>
          <w:spacing w:val="0"/>
          <w:sz w:val="24"/>
          <w:szCs w:val="24"/>
        </w:rPr>
        <w:t>提供下述资料供甲方做出经济性、安全性等方面的评估且承担甲方因评估工作产生的费用：①拟被替代的合同约定的材料和设备的名称、数量、规格、型号、品牌、性能、价格及其他任何详细资料；②拟采用的替代品的名称、数量、规格、型号、品牌、性能、价格及其他任何必要的详细资料；③替代品使用的部位；④采用替代品的理由和原因说明；⑤替代品与合同中约定的产品之间的差异以及使用替代品后可能产生的任何影响；⑥价格上的差异；⑦甲方为做出适当的决定而随时要求乙方提供的任何其他文件。</w:t>
      </w:r>
    </w:p>
    <w:p w14:paraId="3C247E26">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甲方同意变更材料和设备，但因乙方更换材料和设备导致交货期限延后，乙方须按照合同约定承担延期违约金</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lang w:val="en-US" w:eastAsia="zh-CN"/>
        </w:rPr>
        <w:t>若</w:t>
      </w:r>
      <w:r>
        <w:rPr>
          <w:rFonts w:hint="eastAsia" w:asciiTheme="minorEastAsia" w:hAnsiTheme="minorEastAsia" w:eastAsiaTheme="minorEastAsia" w:cstheme="minorEastAsia"/>
          <w:spacing w:val="0"/>
          <w:sz w:val="24"/>
          <w:szCs w:val="24"/>
        </w:rPr>
        <w:t>造成了安全隐患</w:t>
      </w:r>
      <w:r>
        <w:rPr>
          <w:rFonts w:hint="eastAsia" w:asciiTheme="minorEastAsia" w:hAnsiTheme="minorEastAsia" w:eastAsiaTheme="minorEastAsia" w:cstheme="minorEastAsia"/>
          <w:spacing w:val="0"/>
          <w:sz w:val="24"/>
          <w:szCs w:val="24"/>
          <w:lang w:val="en-US" w:eastAsia="zh-CN"/>
        </w:rPr>
        <w:t>或</w:t>
      </w:r>
      <w:r>
        <w:rPr>
          <w:rFonts w:hint="eastAsia" w:asciiTheme="minorEastAsia" w:hAnsiTheme="minorEastAsia" w:eastAsiaTheme="minorEastAsia" w:cstheme="minorEastAsia"/>
          <w:spacing w:val="0"/>
          <w:sz w:val="24"/>
          <w:szCs w:val="24"/>
        </w:rPr>
        <w:t>采购无法顺利推进等问题，乙方应承担全部责任，给甲方造成的损失，还须据实赔偿。</w:t>
      </w:r>
    </w:p>
    <w:p w14:paraId="125B8EF9">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乙方因材料和设备的变更所承担的违约金和赔偿责任，根据乙方申请的原因和造成的后果，</w:t>
      </w:r>
      <w:r>
        <w:rPr>
          <w:rFonts w:hint="eastAsia" w:asciiTheme="minorEastAsia" w:hAnsiTheme="minorEastAsia" w:eastAsiaTheme="minorEastAsia" w:cstheme="minorEastAsia"/>
          <w:spacing w:val="0"/>
          <w:sz w:val="24"/>
          <w:szCs w:val="24"/>
          <w:lang w:val="en-US" w:eastAsia="zh-CN"/>
        </w:rPr>
        <w:t>甲方</w:t>
      </w:r>
      <w:r>
        <w:rPr>
          <w:rFonts w:hint="eastAsia" w:asciiTheme="minorEastAsia" w:hAnsiTheme="minorEastAsia" w:eastAsiaTheme="minorEastAsia" w:cstheme="minorEastAsia"/>
          <w:spacing w:val="0"/>
          <w:sz w:val="24"/>
          <w:szCs w:val="24"/>
        </w:rPr>
        <w:t>可累计计算并从应付给乙方的款项中直接扣除。</w:t>
      </w:r>
    </w:p>
    <w:p w14:paraId="67F046CC">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如果</w:t>
      </w:r>
      <w:r>
        <w:rPr>
          <w:rFonts w:hint="eastAsia" w:asciiTheme="minorEastAsia" w:hAnsiTheme="minorEastAsia" w:eastAsiaTheme="minorEastAsia" w:cstheme="minorEastAsia"/>
          <w:spacing w:val="0"/>
          <w:sz w:val="24"/>
          <w:szCs w:val="24"/>
          <w:lang w:eastAsia="zh-CN"/>
        </w:rPr>
        <w:t>产品设备</w:t>
      </w:r>
      <w:r>
        <w:rPr>
          <w:rFonts w:hint="eastAsia" w:asciiTheme="minorEastAsia" w:hAnsiTheme="minorEastAsia" w:eastAsiaTheme="minorEastAsia" w:cstheme="minorEastAsia"/>
          <w:spacing w:val="0"/>
          <w:sz w:val="24"/>
          <w:szCs w:val="24"/>
        </w:rPr>
        <w:t>质量不能达到相关标准，乙方应负责免费更换，所更换之</w:t>
      </w:r>
      <w:r>
        <w:rPr>
          <w:rFonts w:hint="eastAsia" w:asciiTheme="minorEastAsia" w:hAnsiTheme="minorEastAsia" w:eastAsiaTheme="minorEastAsia" w:cstheme="minorEastAsia"/>
          <w:spacing w:val="0"/>
          <w:sz w:val="24"/>
          <w:szCs w:val="24"/>
          <w:lang w:eastAsia="zh-CN"/>
        </w:rPr>
        <w:t>产品设备</w:t>
      </w:r>
      <w:r>
        <w:rPr>
          <w:rFonts w:hint="eastAsia" w:asciiTheme="minorEastAsia" w:hAnsiTheme="minorEastAsia" w:eastAsiaTheme="minorEastAsia" w:cstheme="minorEastAsia"/>
          <w:spacing w:val="0"/>
          <w:sz w:val="24"/>
          <w:szCs w:val="24"/>
        </w:rPr>
        <w:t>必须为全新的并符合约定的品质、规格和性能。若更换之</w:t>
      </w:r>
      <w:r>
        <w:rPr>
          <w:rFonts w:hint="eastAsia" w:asciiTheme="minorEastAsia" w:hAnsiTheme="minorEastAsia" w:eastAsiaTheme="minorEastAsia" w:cstheme="minorEastAsia"/>
          <w:spacing w:val="0"/>
          <w:sz w:val="24"/>
          <w:szCs w:val="24"/>
          <w:lang w:eastAsia="zh-CN"/>
        </w:rPr>
        <w:t>产品设备</w:t>
      </w:r>
      <w:r>
        <w:rPr>
          <w:rFonts w:hint="eastAsia" w:asciiTheme="minorEastAsia" w:hAnsiTheme="minorEastAsia" w:eastAsiaTheme="minorEastAsia" w:cstheme="minorEastAsia"/>
          <w:spacing w:val="0"/>
          <w:sz w:val="24"/>
          <w:szCs w:val="24"/>
        </w:rPr>
        <w:t>仍不能达到甲方的要求，甲方有权要求退货，并由乙方负担因此而产生的一切费用和甲方遭受的一切损失。</w:t>
      </w:r>
    </w:p>
    <w:p w14:paraId="64C0998C">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kern w:val="0"/>
          <w:sz w:val="24"/>
          <w:szCs w:val="24"/>
        </w:rPr>
        <w:t>乙方提供</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质保期为</w:t>
      </w:r>
      <w:r>
        <w:rPr>
          <w:rFonts w:hint="eastAsia" w:asciiTheme="minorEastAsia" w:hAnsiTheme="minorEastAsia" w:eastAsiaTheme="minorEastAsia" w:cstheme="minorEastAsia"/>
          <w:spacing w:val="0"/>
          <w:kern w:val="0"/>
          <w:sz w:val="24"/>
          <w:szCs w:val="24"/>
          <w:lang w:val="en-US" w:eastAsia="zh-CN"/>
        </w:rPr>
        <w:t>3</w:t>
      </w:r>
      <w:r>
        <w:rPr>
          <w:rFonts w:hint="eastAsia" w:asciiTheme="minorEastAsia" w:hAnsiTheme="minorEastAsia" w:eastAsiaTheme="minorEastAsia" w:cstheme="minorEastAsia"/>
          <w:spacing w:val="0"/>
          <w:kern w:val="0"/>
          <w:sz w:val="24"/>
          <w:szCs w:val="24"/>
        </w:rPr>
        <w:t>年，自甲方对</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最终验收合格并按</w:t>
      </w:r>
      <w:r>
        <w:rPr>
          <w:rFonts w:hint="eastAsia" w:asciiTheme="minorEastAsia" w:hAnsiTheme="minorEastAsia" w:eastAsiaTheme="minorEastAsia" w:cstheme="minorEastAsia"/>
          <w:spacing w:val="0"/>
          <w:kern w:val="0"/>
          <w:sz w:val="24"/>
          <w:szCs w:val="24"/>
          <w:lang w:val="en-US" w:eastAsia="zh-CN"/>
        </w:rPr>
        <w:t>装</w:t>
      </w:r>
      <w:r>
        <w:rPr>
          <w:rFonts w:hint="eastAsia" w:asciiTheme="minorEastAsia" w:hAnsiTheme="minorEastAsia" w:eastAsiaTheme="minorEastAsia" w:cstheme="minorEastAsia"/>
          <w:spacing w:val="0"/>
          <w:kern w:val="0"/>
          <w:sz w:val="24"/>
          <w:szCs w:val="24"/>
        </w:rPr>
        <w:t>调试完毕能够正常使用之次日起计算。</w:t>
      </w:r>
      <w:r>
        <w:rPr>
          <w:rFonts w:hint="eastAsia" w:asciiTheme="minorEastAsia" w:hAnsiTheme="minorEastAsia" w:eastAsiaTheme="minorEastAsia" w:cstheme="minorEastAsia"/>
          <w:spacing w:val="0"/>
          <w:sz w:val="24"/>
          <w:szCs w:val="24"/>
        </w:rPr>
        <w:t>具体以</w:t>
      </w:r>
      <w:r>
        <w:rPr>
          <w:rFonts w:hint="eastAsia" w:asciiTheme="minorEastAsia" w:hAnsiTheme="minorEastAsia" w:eastAsiaTheme="minorEastAsia" w:cstheme="minorEastAsia"/>
          <w:spacing w:val="0"/>
          <w:sz w:val="24"/>
          <w:szCs w:val="24"/>
          <w:lang w:eastAsia="zh-CN"/>
        </w:rPr>
        <w:t>询价公告</w:t>
      </w:r>
      <w:r>
        <w:rPr>
          <w:rFonts w:hint="eastAsia" w:asciiTheme="minorEastAsia" w:hAnsiTheme="minorEastAsia" w:eastAsiaTheme="minorEastAsia" w:cstheme="minorEastAsia"/>
          <w:spacing w:val="0"/>
          <w:sz w:val="24"/>
          <w:szCs w:val="24"/>
        </w:rPr>
        <w:t>及投标文件为准，以孰长且对甲方有利为准。</w:t>
      </w:r>
    </w:p>
    <w:p w14:paraId="6B2DD3C0">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质保期内</w:t>
      </w:r>
      <w:r>
        <w:rPr>
          <w:rFonts w:hint="eastAsia" w:asciiTheme="minorEastAsia" w:hAnsiTheme="minorEastAsia" w:eastAsiaTheme="minorEastAsia" w:cstheme="minorEastAsia"/>
          <w:spacing w:val="0"/>
          <w:sz w:val="24"/>
          <w:szCs w:val="24"/>
        </w:rPr>
        <w:t>除故障的维修外，还包括</w:t>
      </w:r>
      <w:r>
        <w:rPr>
          <w:rFonts w:hint="eastAsia" w:asciiTheme="minorEastAsia" w:hAnsiTheme="minorEastAsia" w:eastAsiaTheme="minorEastAsia" w:cstheme="minorEastAsia"/>
          <w:spacing w:val="0"/>
          <w:sz w:val="24"/>
          <w:szCs w:val="24"/>
          <w:lang w:eastAsia="zh-CN"/>
        </w:rPr>
        <w:t>产品设备</w:t>
      </w:r>
      <w:r>
        <w:rPr>
          <w:rFonts w:hint="eastAsia" w:asciiTheme="minorEastAsia" w:hAnsiTheme="minorEastAsia" w:eastAsiaTheme="minorEastAsia" w:cstheme="minorEastAsia"/>
          <w:spacing w:val="0"/>
          <w:sz w:val="24"/>
          <w:szCs w:val="24"/>
        </w:rPr>
        <w:t>的常规检查、调校、润滑等保养内容。</w:t>
      </w:r>
    </w:p>
    <w:p w14:paraId="45A869CB">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质保期结束前必须由乙方的工程师和甲方代表一起对</w:t>
      </w:r>
      <w:r>
        <w:rPr>
          <w:rFonts w:hint="eastAsia" w:asciiTheme="minorEastAsia" w:hAnsiTheme="minorEastAsia" w:eastAsiaTheme="minorEastAsia" w:cstheme="minorEastAsia"/>
          <w:spacing w:val="0"/>
          <w:sz w:val="24"/>
          <w:szCs w:val="24"/>
          <w:lang w:eastAsia="zh-CN"/>
        </w:rPr>
        <w:t>产品设备</w:t>
      </w:r>
      <w:r>
        <w:rPr>
          <w:rFonts w:hint="eastAsia" w:asciiTheme="minorEastAsia" w:hAnsiTheme="minorEastAsia" w:eastAsiaTheme="minorEastAsia" w:cstheme="minorEastAsia"/>
          <w:spacing w:val="0"/>
          <w:sz w:val="24"/>
          <w:szCs w:val="24"/>
        </w:rPr>
        <w:t>进行一次全面测试和检查。出现任何问题乙方必须负责解决，并得到甲方代表的认可，同时质保期顺延。在修理之后5天内，乙方应将问题成因、补救措施、完成情况及</w:t>
      </w:r>
      <w:r>
        <w:rPr>
          <w:rFonts w:hint="eastAsia" w:asciiTheme="minorEastAsia" w:hAnsiTheme="minorEastAsia" w:eastAsiaTheme="minorEastAsia" w:cstheme="minorEastAsia"/>
          <w:spacing w:val="0"/>
          <w:sz w:val="24"/>
          <w:szCs w:val="24"/>
          <w:lang w:eastAsia="zh-CN"/>
        </w:rPr>
        <w:t>产品设备</w:t>
      </w:r>
      <w:r>
        <w:rPr>
          <w:rFonts w:hint="eastAsia" w:asciiTheme="minorEastAsia" w:hAnsiTheme="minorEastAsia" w:eastAsiaTheme="minorEastAsia" w:cstheme="minorEastAsia"/>
          <w:spacing w:val="0"/>
          <w:sz w:val="24"/>
          <w:szCs w:val="24"/>
        </w:rPr>
        <w:t>恢复正常的时间、日期以及质保期内保养计划执行情况等</w:t>
      </w:r>
      <w:r>
        <w:rPr>
          <w:rFonts w:hint="eastAsia" w:asciiTheme="minorEastAsia" w:hAnsiTheme="minorEastAsia" w:eastAsiaTheme="minorEastAsia" w:cstheme="minorEastAsia"/>
          <w:spacing w:val="0"/>
          <w:sz w:val="24"/>
          <w:szCs w:val="24"/>
          <w:lang w:val="en-US" w:eastAsia="zh-CN"/>
        </w:rPr>
        <w:t>书面</w:t>
      </w:r>
      <w:r>
        <w:rPr>
          <w:rFonts w:hint="eastAsia" w:asciiTheme="minorEastAsia" w:hAnsiTheme="minorEastAsia" w:eastAsiaTheme="minorEastAsia" w:cstheme="minorEastAsia"/>
          <w:spacing w:val="0"/>
          <w:sz w:val="24"/>
          <w:szCs w:val="24"/>
        </w:rPr>
        <w:t>报告甲方。该报告一式两份。</w:t>
      </w:r>
    </w:p>
    <w:p w14:paraId="6B194013">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质保期内乙方应至少走访最终用户两次，以了解</w:t>
      </w:r>
      <w:r>
        <w:rPr>
          <w:rFonts w:hint="eastAsia" w:asciiTheme="minorEastAsia" w:hAnsiTheme="minorEastAsia" w:eastAsiaTheme="minorEastAsia" w:cstheme="minorEastAsia"/>
          <w:spacing w:val="0"/>
          <w:sz w:val="24"/>
          <w:szCs w:val="24"/>
          <w:lang w:val="en-US" w:eastAsia="zh-CN"/>
        </w:rPr>
        <w:t>产品设备</w:t>
      </w:r>
      <w:r>
        <w:rPr>
          <w:rFonts w:hint="eastAsia" w:asciiTheme="minorEastAsia" w:hAnsiTheme="minorEastAsia" w:eastAsiaTheme="minorEastAsia" w:cstheme="minorEastAsia"/>
          <w:spacing w:val="0"/>
          <w:sz w:val="24"/>
          <w:szCs w:val="24"/>
        </w:rPr>
        <w:t>使用情况并解决存在的问题。</w:t>
      </w:r>
    </w:p>
    <w:p w14:paraId="68A87382">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rPr>
        <w:t>乙方应在其承诺的质保期内对</w:t>
      </w:r>
      <w:r>
        <w:rPr>
          <w:rFonts w:hint="eastAsia" w:asciiTheme="minorEastAsia" w:hAnsiTheme="minorEastAsia" w:eastAsiaTheme="minorEastAsia" w:cstheme="minorEastAsia"/>
          <w:spacing w:val="0"/>
          <w:sz w:val="24"/>
          <w:szCs w:val="24"/>
          <w:lang w:val="en-US" w:eastAsia="zh-CN"/>
        </w:rPr>
        <w:t>产品设备</w:t>
      </w:r>
      <w:r>
        <w:rPr>
          <w:rFonts w:hint="eastAsia" w:asciiTheme="minorEastAsia" w:hAnsiTheme="minorEastAsia" w:eastAsiaTheme="minorEastAsia" w:cstheme="minorEastAsia"/>
          <w:spacing w:val="0"/>
          <w:sz w:val="24"/>
          <w:szCs w:val="24"/>
        </w:rPr>
        <w:t>免费提供每年两次保养服务。</w:t>
      </w:r>
    </w:p>
    <w:p w14:paraId="2E75F1A3">
      <w:pPr>
        <w:pStyle w:val="36"/>
        <w:keepNext w:val="0"/>
        <w:keepLines w:val="0"/>
        <w:pageBreakBefore w:val="0"/>
        <w:widowControl w:val="0"/>
        <w:kinsoku/>
        <w:wordWrap/>
        <w:overflowPunct/>
        <w:topLinePunct w:val="0"/>
        <w:autoSpaceDE w:val="0"/>
        <w:autoSpaceDN w:val="0"/>
        <w:bidi w:val="0"/>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售后及其他服务</w:t>
      </w:r>
    </w:p>
    <w:p w14:paraId="5A51151F">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lang w:val="en-US" w:eastAsia="zh-CN"/>
        </w:rPr>
        <w:t>乙方提供终身售后和技术支持。</w:t>
      </w:r>
    </w:p>
    <w:p w14:paraId="187CA97C">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乙方应做好定期客户回访工作，及时发现、回复客户提出的问题，并根据客户需求提供相关的数据。</w:t>
      </w:r>
    </w:p>
    <w:p w14:paraId="449F3386">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乙方应在中国设有常驻售后服务机构，处理所有报修服务，该服务必须是</w:t>
      </w:r>
      <w:r>
        <w:rPr>
          <w:rFonts w:hint="eastAsia" w:asciiTheme="minorEastAsia" w:hAnsiTheme="minorEastAsia" w:eastAsiaTheme="minorEastAsia" w:cstheme="minorEastAsia"/>
          <w:spacing w:val="0"/>
          <w:sz w:val="24"/>
          <w:szCs w:val="24"/>
          <w:lang w:val="en-US" w:eastAsia="zh-CN"/>
        </w:rPr>
        <w:t>24</w:t>
      </w:r>
      <w:r>
        <w:rPr>
          <w:rFonts w:hint="eastAsia" w:asciiTheme="minorEastAsia" w:hAnsiTheme="minorEastAsia" w:eastAsiaTheme="minorEastAsia" w:cstheme="minorEastAsia"/>
          <w:spacing w:val="0"/>
          <w:sz w:val="24"/>
          <w:szCs w:val="24"/>
        </w:rPr>
        <w:t>小时提供的，在接到甲方报修通知后</w:t>
      </w: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rPr>
        <w:t>小时内维修人员应赶到现场，并进行连续维修，直到故障完全排除</w:t>
      </w:r>
      <w:r>
        <w:rPr>
          <w:rFonts w:hint="eastAsia" w:asciiTheme="minorEastAsia" w:hAnsiTheme="minorEastAsia" w:eastAsiaTheme="minorEastAsia" w:cstheme="minorEastAsia"/>
          <w:spacing w:val="0"/>
          <w:sz w:val="24"/>
          <w:szCs w:val="24"/>
          <w:lang w:eastAsia="zh-CN"/>
        </w:rPr>
        <w:t>，产品设备</w:t>
      </w:r>
      <w:r>
        <w:rPr>
          <w:rFonts w:hint="eastAsia" w:asciiTheme="minorEastAsia" w:hAnsiTheme="minorEastAsia" w:eastAsiaTheme="minorEastAsia" w:cstheme="minorEastAsia"/>
          <w:spacing w:val="0"/>
          <w:sz w:val="24"/>
          <w:szCs w:val="24"/>
        </w:rPr>
        <w:t>恢复正常运行为止。乙方须备有足够的零备件，以满足甲方的维修需要。在接到甲方的故障通知后，若乙方未能在</w:t>
      </w: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rPr>
        <w:t>小时内到达现场，甲方有权要求乙方给予赔偿，其计算方法是：从接到甲方故障通知</w:t>
      </w: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rPr>
        <w:t>小时后，每次迟到</w:t>
      </w:r>
      <w:r>
        <w:rPr>
          <w:rFonts w:hint="eastAsia" w:asciiTheme="minorEastAsia" w:hAnsiTheme="minorEastAsia" w:eastAsiaTheme="minorEastAsia" w:cstheme="minorEastAsia"/>
          <w:spacing w:val="0"/>
          <w:sz w:val="24"/>
          <w:szCs w:val="24"/>
          <w:lang w:val="en-US" w:eastAsia="zh-CN"/>
        </w:rPr>
        <w:t>1</w:t>
      </w:r>
      <w:r>
        <w:rPr>
          <w:rFonts w:hint="eastAsia" w:asciiTheme="minorEastAsia" w:hAnsiTheme="minorEastAsia" w:eastAsiaTheme="minorEastAsia" w:cstheme="minorEastAsia"/>
          <w:spacing w:val="0"/>
          <w:sz w:val="24"/>
          <w:szCs w:val="24"/>
        </w:rPr>
        <w:t>小时（不足</w:t>
      </w:r>
      <w:r>
        <w:rPr>
          <w:rFonts w:hint="eastAsia" w:asciiTheme="minorEastAsia" w:hAnsiTheme="minorEastAsia" w:eastAsiaTheme="minorEastAsia" w:cstheme="minorEastAsia"/>
          <w:spacing w:val="0"/>
          <w:sz w:val="24"/>
          <w:szCs w:val="24"/>
          <w:lang w:val="en-US" w:eastAsia="zh-CN"/>
        </w:rPr>
        <w:t>1</w:t>
      </w:r>
      <w:r>
        <w:rPr>
          <w:rFonts w:hint="eastAsia" w:asciiTheme="minorEastAsia" w:hAnsiTheme="minorEastAsia" w:eastAsiaTheme="minorEastAsia" w:cstheme="minorEastAsia"/>
          <w:spacing w:val="0"/>
          <w:sz w:val="24"/>
          <w:szCs w:val="24"/>
        </w:rPr>
        <w:t>小时按</w:t>
      </w:r>
      <w:r>
        <w:rPr>
          <w:rFonts w:hint="eastAsia" w:asciiTheme="minorEastAsia" w:hAnsiTheme="minorEastAsia" w:eastAsiaTheme="minorEastAsia" w:cstheme="minorEastAsia"/>
          <w:spacing w:val="0"/>
          <w:sz w:val="24"/>
          <w:szCs w:val="24"/>
          <w:lang w:val="en-US" w:eastAsia="zh-CN"/>
        </w:rPr>
        <w:t>1</w:t>
      </w:r>
      <w:r>
        <w:rPr>
          <w:rFonts w:hint="eastAsia" w:asciiTheme="minorEastAsia" w:hAnsiTheme="minorEastAsia" w:eastAsiaTheme="minorEastAsia" w:cstheme="minorEastAsia"/>
          <w:spacing w:val="0"/>
          <w:sz w:val="24"/>
          <w:szCs w:val="24"/>
        </w:rPr>
        <w:t>小时计），乙方赔偿甲方</w:t>
      </w:r>
      <w:r>
        <w:rPr>
          <w:rFonts w:hint="eastAsia" w:asciiTheme="minorEastAsia" w:hAnsiTheme="minorEastAsia" w:eastAsiaTheme="minorEastAsia" w:cstheme="minorEastAsia"/>
          <w:spacing w:val="0"/>
          <w:sz w:val="24"/>
          <w:szCs w:val="24"/>
          <w:lang w:val="en-US" w:eastAsia="zh-CN"/>
        </w:rPr>
        <w:t>在此损毁期间的损失费用</w:t>
      </w:r>
      <w:r>
        <w:rPr>
          <w:rFonts w:hint="eastAsia" w:asciiTheme="minorEastAsia" w:hAnsiTheme="minorEastAsia" w:eastAsiaTheme="minorEastAsia" w:cstheme="minorEastAsia"/>
          <w:spacing w:val="0"/>
          <w:sz w:val="24"/>
          <w:szCs w:val="24"/>
        </w:rPr>
        <w:t>。</w:t>
      </w:r>
    </w:p>
    <w:p w14:paraId="1B41C50C">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乙方应对甲方操作人员进行技术培训和咨询，提供培训计划。对甲方进行至少一周的操作和理论知识培训，</w:t>
      </w:r>
      <w:r>
        <w:rPr>
          <w:rFonts w:hint="eastAsia" w:asciiTheme="minorEastAsia" w:hAnsiTheme="minorEastAsia" w:eastAsiaTheme="minorEastAsia" w:cstheme="minorEastAsia"/>
          <w:spacing w:val="0"/>
          <w:sz w:val="24"/>
          <w:szCs w:val="24"/>
          <w:lang w:val="en-US" w:eastAsia="zh-CN"/>
        </w:rPr>
        <w:t>包含</w:t>
      </w:r>
      <w:r>
        <w:rPr>
          <w:rFonts w:hint="eastAsia" w:asciiTheme="minorEastAsia" w:hAnsiTheme="minorEastAsia" w:eastAsiaTheme="minorEastAsia" w:cstheme="minorEastAsia"/>
          <w:spacing w:val="0"/>
          <w:sz w:val="24"/>
          <w:szCs w:val="24"/>
        </w:rPr>
        <w:t>维护保养等内容。</w:t>
      </w:r>
    </w:p>
    <w:p w14:paraId="02C3D80F">
      <w:pPr>
        <w:pStyle w:val="36"/>
        <w:keepNext w:val="0"/>
        <w:keepLines w:val="0"/>
        <w:pageBreakBefore w:val="0"/>
        <w:widowControl w:val="0"/>
        <w:kinsoku/>
        <w:wordWrap/>
        <w:overflowPunct/>
        <w:topLinePunct w:val="0"/>
        <w:autoSpaceDE w:val="0"/>
        <w:autoSpaceDN w:val="0"/>
        <w:bidi w:val="0"/>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环保、安全及合法性要求</w:t>
      </w:r>
    </w:p>
    <w:p w14:paraId="44EC6FD5">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乙方承诺所提供的</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和服务符合国家环境保护的有关规定，不会对环境造成不良影响</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kern w:val="0"/>
          <w:sz w:val="24"/>
          <w:szCs w:val="24"/>
        </w:rPr>
        <w:t>并承担由此造成的法律责任。</w:t>
      </w:r>
    </w:p>
    <w:p w14:paraId="1852B29E">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乙方所提供的</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和服务不能对甲方的正常使用人员</w:t>
      </w:r>
      <w:r>
        <w:rPr>
          <w:rFonts w:hint="eastAsia" w:asciiTheme="minorEastAsia" w:hAnsiTheme="minorEastAsia" w:eastAsiaTheme="minorEastAsia" w:cstheme="minorEastAsia"/>
          <w:spacing w:val="0"/>
          <w:kern w:val="0"/>
          <w:sz w:val="24"/>
          <w:szCs w:val="24"/>
          <w:lang w:val="en-US" w:eastAsia="zh-CN"/>
        </w:rPr>
        <w:t>及第三人</w:t>
      </w:r>
      <w:r>
        <w:rPr>
          <w:rFonts w:hint="eastAsia" w:asciiTheme="minorEastAsia" w:hAnsiTheme="minorEastAsia" w:eastAsiaTheme="minorEastAsia" w:cstheme="minorEastAsia"/>
          <w:spacing w:val="0"/>
          <w:kern w:val="0"/>
          <w:sz w:val="24"/>
          <w:szCs w:val="24"/>
        </w:rPr>
        <w:t>的人身健康造成危害</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kern w:val="0"/>
          <w:sz w:val="24"/>
          <w:szCs w:val="24"/>
        </w:rPr>
        <w:t>并承担由此产生的法律责任。</w:t>
      </w:r>
    </w:p>
    <w:p w14:paraId="695B2205">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bCs/>
          <w:spacing w:val="0"/>
          <w:kern w:val="0"/>
          <w:sz w:val="24"/>
          <w:szCs w:val="24"/>
        </w:rPr>
      </w:pPr>
      <w:r>
        <w:rPr>
          <w:rFonts w:hint="eastAsia" w:asciiTheme="minorEastAsia" w:hAnsiTheme="minorEastAsia" w:eastAsiaTheme="minorEastAsia" w:cstheme="minorEastAsia"/>
          <w:spacing w:val="0"/>
          <w:kern w:val="0"/>
          <w:sz w:val="24"/>
          <w:szCs w:val="24"/>
        </w:rPr>
        <w:t>乙方所提供的</w:t>
      </w:r>
      <w:r>
        <w:rPr>
          <w:rFonts w:hint="eastAsia" w:asciiTheme="minorEastAsia" w:hAnsiTheme="minorEastAsia" w:eastAsiaTheme="minorEastAsia" w:cstheme="minorEastAsia"/>
          <w:spacing w:val="0"/>
          <w:kern w:val="0"/>
          <w:sz w:val="24"/>
          <w:szCs w:val="24"/>
          <w:lang w:eastAsia="zh-CN"/>
        </w:rPr>
        <w:t>产品设备</w:t>
      </w:r>
      <w:r>
        <w:rPr>
          <w:rFonts w:hint="eastAsia" w:asciiTheme="minorEastAsia" w:hAnsiTheme="minorEastAsia" w:eastAsiaTheme="minorEastAsia" w:cstheme="minorEastAsia"/>
          <w:spacing w:val="0"/>
          <w:kern w:val="0"/>
          <w:sz w:val="24"/>
          <w:szCs w:val="24"/>
        </w:rPr>
        <w:t>和服务，符合中华人民共和国以及甲方所在地的相关</w:t>
      </w:r>
      <w:r>
        <w:rPr>
          <w:rFonts w:hint="eastAsia" w:asciiTheme="minorEastAsia" w:hAnsiTheme="minorEastAsia" w:eastAsiaTheme="minorEastAsia" w:cstheme="minorEastAsia"/>
          <w:spacing w:val="0"/>
          <w:kern w:val="0"/>
          <w:sz w:val="24"/>
          <w:szCs w:val="24"/>
          <w:lang w:val="en-US" w:eastAsia="zh-CN"/>
        </w:rPr>
        <w:t>法律</w:t>
      </w:r>
      <w:r>
        <w:rPr>
          <w:rFonts w:hint="eastAsia" w:asciiTheme="minorEastAsia" w:hAnsiTheme="minorEastAsia" w:eastAsiaTheme="minorEastAsia" w:cstheme="minorEastAsia"/>
          <w:spacing w:val="0"/>
          <w:kern w:val="0"/>
          <w:sz w:val="24"/>
          <w:szCs w:val="24"/>
        </w:rPr>
        <w:t>法规及其他规范性文件的规定，不会对第三人的任何权益造成损害。</w:t>
      </w:r>
    </w:p>
    <w:p w14:paraId="34A27B5C">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乙方保证，乙方应投保相关保险，以保证</w:t>
      </w:r>
      <w:r>
        <w:rPr>
          <w:rFonts w:hint="eastAsia" w:asciiTheme="minorEastAsia" w:hAnsiTheme="minorEastAsia" w:eastAsiaTheme="minorEastAsia" w:cstheme="minorEastAsia"/>
          <w:spacing w:val="0"/>
          <w:sz w:val="24"/>
          <w:szCs w:val="24"/>
          <w:lang w:val="en-US" w:eastAsia="zh-CN"/>
        </w:rPr>
        <w:t>乙</w:t>
      </w:r>
      <w:r>
        <w:rPr>
          <w:rFonts w:hint="eastAsia" w:asciiTheme="minorEastAsia" w:hAnsiTheme="minorEastAsia" w:eastAsiaTheme="minorEastAsia" w:cstheme="minorEastAsia"/>
          <w:spacing w:val="0"/>
          <w:sz w:val="24"/>
          <w:szCs w:val="24"/>
        </w:rPr>
        <w:t>方人员和</w:t>
      </w:r>
      <w:r>
        <w:rPr>
          <w:rFonts w:hint="eastAsia" w:asciiTheme="minorEastAsia" w:hAnsiTheme="minorEastAsia" w:eastAsiaTheme="minorEastAsia" w:cstheme="minorEastAsia"/>
          <w:spacing w:val="0"/>
          <w:sz w:val="24"/>
          <w:szCs w:val="24"/>
          <w:lang w:val="en-US" w:eastAsia="zh-CN"/>
        </w:rPr>
        <w:t>乙</w:t>
      </w:r>
      <w:r>
        <w:rPr>
          <w:rFonts w:hint="eastAsia" w:asciiTheme="minorEastAsia" w:hAnsiTheme="minorEastAsia" w:eastAsiaTheme="minorEastAsia" w:cstheme="minorEastAsia"/>
          <w:spacing w:val="0"/>
          <w:sz w:val="24"/>
          <w:szCs w:val="24"/>
        </w:rPr>
        <w:t>方人员给甲方人员以及第三方造成人身伤害或财产损失时能及时承担相应的赔偿责任。乙方对履行合同的一切安全责任和风险负责，并承担法律责任和经济赔偿，与甲方无关。乙方委派的工作人员发生伤亡事故，由乙方依法妥善处理并承担相关费用。若处置不力，甲方认为影响本合同履行的，甲方有权解除本合同并要求乙方赔偿损失，并按照合同总价的</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承担违约责任。</w:t>
      </w:r>
    </w:p>
    <w:p w14:paraId="34B5F536">
      <w:pPr>
        <w:pStyle w:val="36"/>
        <w:keepNext w:val="0"/>
        <w:keepLines w:val="0"/>
        <w:pageBreakBefore w:val="0"/>
        <w:widowControl w:val="0"/>
        <w:kinsoku/>
        <w:wordWrap/>
        <w:overflowPunct/>
        <w:topLinePunct w:val="0"/>
        <w:autoSpaceDE w:val="0"/>
        <w:autoSpaceDN w:val="0"/>
        <w:bidi w:val="0"/>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合同结算方式</w:t>
      </w:r>
    </w:p>
    <w:p w14:paraId="6F03A4C8">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付款方式：</w:t>
      </w:r>
    </w:p>
    <w:p w14:paraId="04795695">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ind w:leftChars="0" w:firstLine="480" w:firstLineChars="200"/>
        <w:jc w:val="both"/>
        <w:textAlignment w:val="auto"/>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b w:val="0"/>
          <w:kern w:val="2"/>
          <w:sz w:val="24"/>
          <w:szCs w:val="24"/>
        </w:rPr>
        <w:t>无预付款，</w:t>
      </w:r>
      <w:r>
        <w:rPr>
          <w:rFonts w:hint="eastAsia" w:asciiTheme="minorEastAsia" w:hAnsiTheme="minorEastAsia" w:eastAsiaTheme="minorEastAsia" w:cstheme="minorEastAsia"/>
          <w:b w:val="0"/>
          <w:kern w:val="2"/>
          <w:sz w:val="24"/>
          <w:szCs w:val="24"/>
          <w:lang w:val="en-US" w:eastAsia="zh-CN"/>
        </w:rPr>
        <w:t>供货</w:t>
      </w:r>
      <w:r>
        <w:rPr>
          <w:rFonts w:hint="eastAsia" w:asciiTheme="minorEastAsia" w:hAnsiTheme="minorEastAsia" w:eastAsiaTheme="minorEastAsia" w:cstheme="minorEastAsia"/>
          <w:b w:val="0"/>
          <w:kern w:val="2"/>
          <w:sz w:val="24"/>
          <w:szCs w:val="24"/>
        </w:rPr>
        <w:t>完成并验收合格后，乙方提供可抵扣的全额增值税专用发票，</w:t>
      </w:r>
      <w:r>
        <w:rPr>
          <w:rFonts w:hint="eastAsia" w:asciiTheme="minorEastAsia" w:hAnsiTheme="minorEastAsia" w:eastAsiaTheme="minorEastAsia" w:cstheme="minorEastAsia"/>
          <w:b w:val="0"/>
          <w:color w:val="000000" w:themeColor="text1"/>
          <w:kern w:val="2"/>
          <w:sz w:val="24"/>
          <w:szCs w:val="24"/>
          <w14:textFill>
            <w14:solidFill>
              <w14:schemeClr w14:val="tx1"/>
            </w14:solidFill>
          </w14:textFill>
        </w:rPr>
        <w:t>甲方在20个工作日内向乙方支付结算价款的95%，即为人民币整（￥：），余下5%人民币整（￥：）结算价款留作质保金，质保期满，无质量问题，乙方开具质保金对应金额收据后，甲方</w:t>
      </w:r>
      <w:r>
        <w:rPr>
          <w:rFonts w:hint="eastAsia" w:asciiTheme="minorEastAsia" w:hAnsiTheme="minorEastAsia" w:eastAsiaTheme="minorEastAsia" w:cstheme="minorEastAsia"/>
          <w:b w:val="0"/>
          <w:kern w:val="2"/>
          <w:sz w:val="24"/>
          <w:szCs w:val="24"/>
        </w:rPr>
        <w:t>向乙方支付剩余5%的结算价款（不计利息）。</w:t>
      </w:r>
    </w:p>
    <w:p w14:paraId="1808308D">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sz w:val="24"/>
          <w:szCs w:val="24"/>
          <w:lang w:val="en-US" w:eastAsia="zh-CN"/>
        </w:rPr>
        <w:t>达到本合同项下付款条件的，乙方应向甲方提交付款申请单，甲方确认付款金额并收到乙方提交的符合法律规定的增值税专用发票后按合同约定支付款项</w:t>
      </w:r>
      <w:r>
        <w:rPr>
          <w:rFonts w:hint="eastAsia" w:asciiTheme="minorEastAsia" w:hAnsiTheme="minorEastAsia" w:eastAsiaTheme="minorEastAsia" w:cstheme="minorEastAsia"/>
          <w:color w:val="auto"/>
          <w:spacing w:val="0"/>
          <w:kern w:val="0"/>
          <w:sz w:val="24"/>
          <w:szCs w:val="24"/>
          <w:lang w:val="en-US" w:eastAsia="zh-CN"/>
        </w:rPr>
        <w:t>。</w:t>
      </w:r>
    </w:p>
    <w:p w14:paraId="3E0814BD">
      <w:pPr>
        <w:pStyle w:val="36"/>
        <w:keepNext w:val="0"/>
        <w:keepLines w:val="0"/>
        <w:pageBreakBefore w:val="0"/>
        <w:widowControl w:val="0"/>
        <w:kinsoku/>
        <w:wordWrap/>
        <w:overflowPunct/>
        <w:topLinePunct w:val="0"/>
        <w:autoSpaceDE w:val="0"/>
        <w:autoSpaceDN w:val="0"/>
        <w:bidi w:val="0"/>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不可抗力、保密及知识产权</w:t>
      </w:r>
    </w:p>
    <w:p w14:paraId="4C4B2AFC">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不可抗力条款</w:t>
      </w:r>
    </w:p>
    <w:p w14:paraId="7F9CDAA9">
      <w:pPr>
        <w:pStyle w:val="38"/>
        <w:keepNext w:val="0"/>
        <w:keepLines w:val="0"/>
        <w:pageBreakBefore w:val="0"/>
        <w:widowControl w:val="0"/>
        <w:numPr>
          <w:ilvl w:val="2"/>
          <w:numId w:val="14"/>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w:t>
      </w:r>
    </w:p>
    <w:p w14:paraId="5EF0F6F1">
      <w:pPr>
        <w:pStyle w:val="38"/>
        <w:keepNext w:val="0"/>
        <w:keepLines w:val="0"/>
        <w:pageBreakBefore w:val="0"/>
        <w:widowControl w:val="0"/>
        <w:numPr>
          <w:ilvl w:val="2"/>
          <w:numId w:val="14"/>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不可抗力的后果</w:t>
      </w:r>
    </w:p>
    <w:p w14:paraId="6ABEFA02">
      <w:pPr>
        <w:pStyle w:val="39"/>
        <w:keepNext w:val="0"/>
        <w:keepLines w:val="0"/>
        <w:pageBreakBefore w:val="0"/>
        <w:widowControl w:val="0"/>
        <w:numPr>
          <w:ilvl w:val="3"/>
          <w:numId w:val="15"/>
        </w:numPr>
        <w:tabs>
          <w:tab w:val="left" w:pos="840"/>
        </w:tabs>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如果发生不可抗力事件，影响一方履行其在本合同项下的义务，则其在不可抗力造成的延误期内中止履行的，不视为违约。</w:t>
      </w:r>
    </w:p>
    <w:p w14:paraId="63FF32A0">
      <w:pPr>
        <w:pStyle w:val="39"/>
        <w:keepNext w:val="0"/>
        <w:keepLines w:val="0"/>
        <w:pageBreakBefore w:val="0"/>
        <w:widowControl w:val="0"/>
        <w:numPr>
          <w:ilvl w:val="3"/>
          <w:numId w:val="15"/>
        </w:numPr>
        <w:tabs>
          <w:tab w:val="left" w:pos="840"/>
        </w:tabs>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因发生不可抗力不能履行合同的一方应在不可抗力发生后迅速书面通知其他各方，并在不可抗力发生后3日内向其他各方提供不可抗力发生及持续时间的证据，且证据必须充分。</w:t>
      </w:r>
    </w:p>
    <w:p w14:paraId="47306322">
      <w:pPr>
        <w:pStyle w:val="39"/>
        <w:keepNext w:val="0"/>
        <w:keepLines w:val="0"/>
        <w:pageBreakBefore w:val="0"/>
        <w:widowControl w:val="0"/>
        <w:numPr>
          <w:ilvl w:val="3"/>
          <w:numId w:val="15"/>
        </w:numPr>
        <w:tabs>
          <w:tab w:val="left" w:pos="840"/>
        </w:tabs>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如果发生不可抗力事件，各方应立即互相协商，以找到公平的解决办法，并且应尽一切合理努力将不可抗力的影响减少到最低限度。</w:t>
      </w:r>
    </w:p>
    <w:p w14:paraId="262549EC">
      <w:pPr>
        <w:pStyle w:val="39"/>
        <w:keepNext w:val="0"/>
        <w:keepLines w:val="0"/>
        <w:pageBreakBefore w:val="0"/>
        <w:widowControl w:val="0"/>
        <w:numPr>
          <w:ilvl w:val="3"/>
          <w:numId w:val="15"/>
        </w:numPr>
        <w:tabs>
          <w:tab w:val="left" w:pos="840"/>
        </w:tabs>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金钱债务的迟延责任不得因不可抗力而免除。</w:t>
      </w:r>
    </w:p>
    <w:p w14:paraId="3E74898D">
      <w:pPr>
        <w:pStyle w:val="39"/>
        <w:keepNext w:val="0"/>
        <w:keepLines w:val="0"/>
        <w:pageBreakBefore w:val="0"/>
        <w:widowControl w:val="0"/>
        <w:numPr>
          <w:ilvl w:val="3"/>
          <w:numId w:val="15"/>
        </w:numPr>
        <w:tabs>
          <w:tab w:val="left" w:pos="840"/>
        </w:tabs>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迟延履行期间发生的不可抗力不具有免责效力。</w:t>
      </w:r>
    </w:p>
    <w:p w14:paraId="7BA54EEE">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保密条款</w:t>
      </w:r>
    </w:p>
    <w:p w14:paraId="1842E0D1">
      <w:pPr>
        <w:pStyle w:val="38"/>
        <w:keepNext w:val="0"/>
        <w:keepLines w:val="0"/>
        <w:pageBreakBefore w:val="0"/>
        <w:widowControl w:val="0"/>
        <w:numPr>
          <w:ilvl w:val="2"/>
          <w:numId w:val="16"/>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本合同涉及的保密内容（以下简称“保密信息”）包括但不限于：（1）乙方及其关联公司的商业秘密、技术秘密、经营秘密、管理秘密、财务秘密、客户信息、供应商信息等；（2）甲方拥有的专利、商标、著作权、技术秘密等知识产权及其相关信息；（3）乙方与第三方签订的合同、协议、保密协议等文件中的内容；</w:t>
      </w:r>
    </w:p>
    <w:p w14:paraId="3333716F">
      <w:pPr>
        <w:pStyle w:val="38"/>
        <w:keepNext w:val="0"/>
        <w:keepLines w:val="0"/>
        <w:pageBreakBefore w:val="0"/>
        <w:widowControl w:val="0"/>
        <w:numPr>
          <w:ilvl w:val="2"/>
          <w:numId w:val="16"/>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保密义务</w:t>
      </w:r>
    </w:p>
    <w:p w14:paraId="17C4C91A">
      <w:pPr>
        <w:pStyle w:val="39"/>
        <w:keepNext w:val="0"/>
        <w:keepLines w:val="0"/>
        <w:pageBreakBefore w:val="0"/>
        <w:widowControl w:val="0"/>
        <w:numPr>
          <w:ilvl w:val="3"/>
          <w:numId w:val="17"/>
        </w:numPr>
        <w:tabs>
          <w:tab w:val="left" w:pos="840"/>
        </w:tabs>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甲乙双方在本合同有效期内，对保密信息负有严格的保密义务，未经书面同意，不得以任何方式泄露、披露、使用或允许他人使用保密信息。</w:t>
      </w:r>
    </w:p>
    <w:p w14:paraId="75774F61">
      <w:pPr>
        <w:pStyle w:val="39"/>
        <w:keepNext w:val="0"/>
        <w:keepLines w:val="0"/>
        <w:pageBreakBefore w:val="0"/>
        <w:widowControl w:val="0"/>
        <w:numPr>
          <w:ilvl w:val="3"/>
          <w:numId w:val="17"/>
        </w:numPr>
        <w:tabs>
          <w:tab w:val="left" w:pos="840"/>
        </w:tabs>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乙方应采取合理的保密措施，防止保密信息被泄露，包括但不限于：不得将保密信息复制、传播、公开或以任何形式提供给第三方；不得将保密信息存储在未经授权的设备或介质上；不得将保密信息用于与甲方业务无关的活动。</w:t>
      </w:r>
    </w:p>
    <w:p w14:paraId="63B47F9F">
      <w:pPr>
        <w:pStyle w:val="39"/>
        <w:keepNext w:val="0"/>
        <w:keepLines w:val="0"/>
        <w:pageBreakBefore w:val="0"/>
        <w:widowControl w:val="0"/>
        <w:numPr>
          <w:ilvl w:val="3"/>
          <w:numId w:val="17"/>
        </w:numPr>
        <w:tabs>
          <w:tab w:val="left" w:pos="840"/>
        </w:tabs>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违反本条约定的，除承担违约责任外，还应承担由此给对方造成的损失。</w:t>
      </w:r>
    </w:p>
    <w:p w14:paraId="4FA26608">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kern w:val="0"/>
          <w:sz w:val="24"/>
          <w:szCs w:val="24"/>
          <w:lang w:val="en-US" w:eastAsia="zh-CN"/>
        </w:rPr>
        <w:t>知识产权条款</w:t>
      </w:r>
    </w:p>
    <w:p w14:paraId="1FEC056A">
      <w:pPr>
        <w:pStyle w:val="38"/>
        <w:keepNext w:val="0"/>
        <w:keepLines w:val="0"/>
        <w:pageBreakBefore w:val="0"/>
        <w:widowControl w:val="0"/>
        <w:numPr>
          <w:ilvl w:val="2"/>
          <w:numId w:val="18"/>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乙方应保证甲方在使用该</w:t>
      </w:r>
      <w:r>
        <w:rPr>
          <w:rFonts w:hint="eastAsia" w:asciiTheme="minorEastAsia" w:hAnsiTheme="minorEastAsia" w:eastAsiaTheme="minorEastAsia" w:cstheme="minorEastAsia"/>
          <w:spacing w:val="0"/>
          <w:sz w:val="24"/>
          <w:szCs w:val="24"/>
          <w:lang w:val="en-US" w:eastAsia="zh-CN"/>
        </w:rPr>
        <w:t>产品</w:t>
      </w:r>
      <w:r>
        <w:rPr>
          <w:rFonts w:hint="eastAsia" w:asciiTheme="minorEastAsia" w:hAnsiTheme="minorEastAsia" w:eastAsiaTheme="minorEastAsia" w:cstheme="minorEastAsia"/>
          <w:spacing w:val="0"/>
          <w:sz w:val="24"/>
          <w:szCs w:val="24"/>
        </w:rPr>
        <w:t>设备或其任何一部分软、硬件时，不侵犯任何第三人的知识产权，不会涉及任何第三人提出甲方侵犯其专利权、商标权和工业设计权等知识产权的纠纷、诉讼。任何第三人提出侵权主张时，乙方必须妥善处理，并承担一切法律责任和费用（包括诉讼支出的诉讼费、律师费等），若甲方因此承担责任、遭到损失，有权向乙方追偿。</w:t>
      </w:r>
    </w:p>
    <w:p w14:paraId="44ADD9F2">
      <w:pPr>
        <w:pStyle w:val="38"/>
        <w:keepNext w:val="0"/>
        <w:keepLines w:val="0"/>
        <w:pageBreakBefore w:val="0"/>
        <w:widowControl w:val="0"/>
        <w:numPr>
          <w:ilvl w:val="2"/>
          <w:numId w:val="18"/>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乙方承诺所售</w:t>
      </w:r>
      <w:r>
        <w:rPr>
          <w:rFonts w:hint="eastAsia" w:asciiTheme="minorEastAsia" w:hAnsiTheme="minorEastAsia" w:eastAsiaTheme="minorEastAsia" w:cstheme="minorEastAsia"/>
          <w:spacing w:val="0"/>
          <w:sz w:val="24"/>
          <w:szCs w:val="24"/>
          <w:lang w:val="en-US" w:eastAsia="zh-CN"/>
        </w:rPr>
        <w:t>产品设备</w:t>
      </w:r>
      <w:r>
        <w:rPr>
          <w:rFonts w:hint="eastAsia" w:asciiTheme="minorEastAsia" w:hAnsiTheme="minorEastAsia" w:eastAsiaTheme="minorEastAsia" w:cstheme="minorEastAsia"/>
          <w:spacing w:val="0"/>
          <w:sz w:val="24"/>
          <w:szCs w:val="24"/>
        </w:rPr>
        <w:t>的知识产权或生产权如被出售或转让给第三方，乙方应能继续负责所售</w:t>
      </w:r>
      <w:r>
        <w:rPr>
          <w:rFonts w:hint="eastAsia" w:asciiTheme="minorEastAsia" w:hAnsiTheme="minorEastAsia" w:eastAsiaTheme="minorEastAsia" w:cstheme="minorEastAsia"/>
          <w:spacing w:val="0"/>
          <w:sz w:val="24"/>
          <w:szCs w:val="24"/>
          <w:lang w:val="en-US" w:eastAsia="zh-CN"/>
        </w:rPr>
        <w:t>产品设备</w:t>
      </w:r>
      <w:r>
        <w:rPr>
          <w:rFonts w:hint="eastAsia" w:asciiTheme="minorEastAsia" w:hAnsiTheme="minorEastAsia" w:eastAsiaTheme="minorEastAsia" w:cstheme="minorEastAsia"/>
          <w:spacing w:val="0"/>
          <w:sz w:val="24"/>
          <w:szCs w:val="24"/>
        </w:rPr>
        <w:t>正常运转所必需的备品、备件、和专用工具、仪器仪表的供应和技术支持，并不得损害甲方利益。</w:t>
      </w:r>
    </w:p>
    <w:p w14:paraId="750DEC8F">
      <w:pPr>
        <w:pStyle w:val="36"/>
        <w:keepNext w:val="0"/>
        <w:keepLines w:val="0"/>
        <w:pageBreakBefore w:val="0"/>
        <w:widowControl w:val="0"/>
        <w:kinsoku/>
        <w:wordWrap/>
        <w:overflowPunct/>
        <w:topLinePunct w:val="0"/>
        <w:autoSpaceDE w:val="0"/>
        <w:autoSpaceDN w:val="0"/>
        <w:bidi w:val="0"/>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违约责任</w:t>
      </w:r>
    </w:p>
    <w:p w14:paraId="755A05F5">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kern w:val="0"/>
          <w:sz w:val="24"/>
          <w:szCs w:val="24"/>
        </w:rPr>
        <w:t>任何一方违反本合同的约定，应当承担继续履行、支付违约金等违约责任和由此给对方造成的损失。</w:t>
      </w:r>
      <w:r>
        <w:rPr>
          <w:rFonts w:hint="eastAsia" w:asciiTheme="minorEastAsia" w:hAnsiTheme="minorEastAsia" w:eastAsiaTheme="minorEastAsia" w:cstheme="minorEastAsia"/>
          <w:spacing w:val="0"/>
          <w:sz w:val="24"/>
          <w:szCs w:val="24"/>
        </w:rPr>
        <w:t>损失包括直接损失和间接损失，同时</w:t>
      </w:r>
      <w:r>
        <w:rPr>
          <w:rFonts w:hint="eastAsia" w:asciiTheme="minorEastAsia" w:hAnsiTheme="minorEastAsia" w:eastAsiaTheme="minorEastAsia" w:cstheme="minorEastAsia"/>
          <w:spacing w:val="0"/>
          <w:sz w:val="24"/>
          <w:szCs w:val="24"/>
          <w:lang w:val="en-US" w:eastAsia="zh-CN"/>
        </w:rPr>
        <w:t>包</w:t>
      </w:r>
      <w:r>
        <w:rPr>
          <w:rFonts w:hint="eastAsia" w:asciiTheme="minorEastAsia" w:hAnsiTheme="minorEastAsia" w:eastAsiaTheme="minorEastAsia" w:cstheme="minorEastAsia"/>
          <w:spacing w:val="0"/>
          <w:sz w:val="24"/>
          <w:szCs w:val="24"/>
        </w:rPr>
        <w:t>含诉讼费、律师费、鉴定费、公证费、差旅费</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lang w:val="en-US" w:eastAsia="zh-CN"/>
        </w:rPr>
        <w:t>一方因此支出的罚款、向他人作出的赔偿</w:t>
      </w:r>
      <w:r>
        <w:rPr>
          <w:rFonts w:hint="eastAsia" w:asciiTheme="minorEastAsia" w:hAnsiTheme="minorEastAsia" w:eastAsiaTheme="minorEastAsia" w:cstheme="minorEastAsia"/>
          <w:spacing w:val="0"/>
          <w:sz w:val="24"/>
          <w:szCs w:val="24"/>
        </w:rPr>
        <w:t>等。</w:t>
      </w:r>
    </w:p>
    <w:p w14:paraId="6E525031">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乙方逾期交付</w:t>
      </w:r>
      <w:r>
        <w:rPr>
          <w:rFonts w:hint="eastAsia" w:asciiTheme="minorEastAsia" w:hAnsiTheme="minorEastAsia" w:eastAsiaTheme="minorEastAsia" w:cstheme="minorEastAsia"/>
          <w:spacing w:val="0"/>
          <w:sz w:val="24"/>
          <w:szCs w:val="24"/>
          <w:lang w:val="en-US" w:eastAsia="zh-CN"/>
        </w:rPr>
        <w:t>、</w:t>
      </w:r>
      <w:r>
        <w:rPr>
          <w:rFonts w:hint="eastAsia" w:asciiTheme="minorEastAsia" w:hAnsiTheme="minorEastAsia" w:eastAsiaTheme="minorEastAsia" w:cstheme="minorEastAsia"/>
          <w:spacing w:val="0"/>
          <w:sz w:val="24"/>
          <w:szCs w:val="24"/>
        </w:rPr>
        <w:t>安装的</w:t>
      </w:r>
      <w:r>
        <w:rPr>
          <w:rFonts w:hint="eastAsia" w:asciiTheme="minorEastAsia" w:hAnsiTheme="minorEastAsia" w:eastAsiaTheme="minorEastAsia" w:cstheme="minorEastAsia"/>
          <w:spacing w:val="0"/>
          <w:kern w:val="0"/>
          <w:sz w:val="24"/>
          <w:szCs w:val="24"/>
          <w:u w:val="none"/>
        </w:rPr>
        <w:t>（经甲方允许可以延期交付的</w:t>
      </w:r>
      <w:r>
        <w:rPr>
          <w:rFonts w:hint="eastAsia" w:asciiTheme="minorEastAsia" w:hAnsiTheme="minorEastAsia" w:eastAsiaTheme="minorEastAsia" w:cstheme="minorEastAsia"/>
          <w:spacing w:val="0"/>
          <w:kern w:val="0"/>
          <w:sz w:val="24"/>
          <w:szCs w:val="24"/>
          <w:u w:val="none"/>
          <w:lang w:eastAsia="zh-CN"/>
        </w:rPr>
        <w:t>产品设备</w:t>
      </w:r>
      <w:r>
        <w:rPr>
          <w:rFonts w:hint="eastAsia" w:asciiTheme="minorEastAsia" w:hAnsiTheme="minorEastAsia" w:eastAsiaTheme="minorEastAsia" w:cstheme="minorEastAsia"/>
          <w:spacing w:val="0"/>
          <w:kern w:val="0"/>
          <w:sz w:val="24"/>
          <w:szCs w:val="24"/>
          <w:u w:val="none"/>
        </w:rPr>
        <w:t>除外）</w:t>
      </w:r>
      <w:r>
        <w:rPr>
          <w:rFonts w:hint="eastAsia" w:asciiTheme="minorEastAsia" w:hAnsiTheme="minorEastAsia" w:eastAsiaTheme="minorEastAsia" w:cstheme="minorEastAsia"/>
          <w:spacing w:val="0"/>
          <w:sz w:val="24"/>
          <w:szCs w:val="24"/>
        </w:rPr>
        <w:t>，每逾期一天，应按合同价款的</w:t>
      </w:r>
      <w:r>
        <w:rPr>
          <w:rFonts w:hint="eastAsia" w:asciiTheme="minorEastAsia" w:hAnsiTheme="minorEastAsia" w:eastAsiaTheme="minorEastAsia" w:cstheme="minorEastAsia"/>
          <w:spacing w:val="0"/>
          <w:sz w:val="24"/>
          <w:szCs w:val="24"/>
          <w:lang w:val="en-US" w:eastAsia="zh-CN"/>
        </w:rPr>
        <w:t>1%</w:t>
      </w:r>
      <w:r>
        <w:rPr>
          <w:rFonts w:hint="eastAsia" w:asciiTheme="minorEastAsia" w:hAnsiTheme="minorEastAsia" w:eastAsiaTheme="minorEastAsia" w:cstheme="minorEastAsia"/>
          <w:spacing w:val="0"/>
          <w:sz w:val="24"/>
          <w:szCs w:val="24"/>
        </w:rPr>
        <w:t>向甲方支付违约金，同时仍应履行合同义务</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逾期超过</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天的，甲方有权解除本合同。如违约金不足以弥补甲方损失的，甲方</w:t>
      </w:r>
      <w:r>
        <w:rPr>
          <w:rFonts w:hint="eastAsia" w:asciiTheme="minorEastAsia" w:hAnsiTheme="minorEastAsia" w:eastAsiaTheme="minorEastAsia" w:cstheme="minorEastAsia"/>
          <w:spacing w:val="0"/>
          <w:sz w:val="24"/>
          <w:szCs w:val="24"/>
          <w:lang w:val="en-US" w:eastAsia="zh-CN"/>
        </w:rPr>
        <w:t>还</w:t>
      </w:r>
      <w:r>
        <w:rPr>
          <w:rFonts w:hint="eastAsia" w:asciiTheme="minorEastAsia" w:hAnsiTheme="minorEastAsia" w:eastAsiaTheme="minorEastAsia" w:cstheme="minorEastAsia"/>
          <w:spacing w:val="0"/>
          <w:sz w:val="24"/>
          <w:szCs w:val="24"/>
        </w:rPr>
        <w:t>有权要求乙方赔偿损失。</w:t>
      </w:r>
    </w:p>
    <w:p w14:paraId="4A08FDD0">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乙方所供</w:t>
      </w:r>
      <w:r>
        <w:rPr>
          <w:rFonts w:hint="eastAsia" w:asciiTheme="minorEastAsia" w:hAnsiTheme="minorEastAsia" w:eastAsiaTheme="minorEastAsia" w:cstheme="minorEastAsia"/>
          <w:spacing w:val="0"/>
          <w:sz w:val="24"/>
          <w:szCs w:val="24"/>
          <w:lang w:val="en-US" w:eastAsia="zh-CN"/>
        </w:rPr>
        <w:t>产品设备</w:t>
      </w:r>
      <w:r>
        <w:rPr>
          <w:rFonts w:hint="eastAsia" w:asciiTheme="minorEastAsia" w:hAnsiTheme="minorEastAsia" w:eastAsiaTheme="minorEastAsia" w:cstheme="minorEastAsia"/>
          <w:spacing w:val="0"/>
          <w:sz w:val="24"/>
          <w:szCs w:val="24"/>
        </w:rPr>
        <w:t>的质量不合格，导致甲方换货、退货或解除合同的，除承担退换货责任外，乙方还应向甲方支付换货、退货价值或合同总价</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的违约金，因此导致乙方逾期交付</w:t>
      </w:r>
      <w:r>
        <w:rPr>
          <w:rFonts w:hint="eastAsia" w:asciiTheme="minorEastAsia" w:hAnsiTheme="minorEastAsia" w:eastAsiaTheme="minorEastAsia" w:cstheme="minorEastAsia"/>
          <w:spacing w:val="0"/>
          <w:sz w:val="24"/>
          <w:szCs w:val="24"/>
          <w:lang w:val="en-US" w:eastAsia="zh-CN"/>
        </w:rPr>
        <w:t>产品</w:t>
      </w:r>
      <w:r>
        <w:rPr>
          <w:rFonts w:hint="eastAsia" w:asciiTheme="minorEastAsia" w:hAnsiTheme="minorEastAsia" w:eastAsiaTheme="minorEastAsia" w:cstheme="minorEastAsia"/>
          <w:spacing w:val="0"/>
          <w:sz w:val="24"/>
          <w:szCs w:val="24"/>
        </w:rPr>
        <w:t>设备的，乙方除承担前述违约责任外，还应按照上述第</w:t>
      </w:r>
      <w:r>
        <w:rPr>
          <w:rFonts w:hint="eastAsia" w:asciiTheme="minorEastAsia" w:hAnsiTheme="minorEastAsia" w:eastAsiaTheme="minorEastAsia" w:cstheme="minorEastAsia"/>
          <w:spacing w:val="0"/>
          <w:sz w:val="24"/>
          <w:szCs w:val="24"/>
          <w:lang w:val="en-US" w:eastAsia="zh-CN"/>
        </w:rPr>
        <w:t>五十一</w:t>
      </w:r>
      <w:r>
        <w:rPr>
          <w:rFonts w:hint="eastAsia" w:asciiTheme="minorEastAsia" w:hAnsiTheme="minorEastAsia" w:eastAsiaTheme="minorEastAsia" w:cstheme="minorEastAsia"/>
          <w:spacing w:val="0"/>
          <w:sz w:val="24"/>
          <w:szCs w:val="24"/>
        </w:rPr>
        <w:t>条的约定向甲方承担违约责任。</w:t>
      </w:r>
    </w:p>
    <w:p w14:paraId="6D1F1C51">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乙方未按甲方要求响应质保责任，每次按</w:t>
      </w:r>
      <w:r>
        <w:rPr>
          <w:rFonts w:hint="eastAsia" w:asciiTheme="minorEastAsia" w:hAnsiTheme="minorEastAsia" w:eastAsiaTheme="minorEastAsia" w:cstheme="minorEastAsia"/>
          <w:spacing w:val="0"/>
          <w:sz w:val="24"/>
          <w:szCs w:val="24"/>
          <w:lang w:val="en-US" w:eastAsia="zh-CN"/>
        </w:rPr>
        <w:t>1000</w:t>
      </w:r>
      <w:r>
        <w:rPr>
          <w:rFonts w:hint="eastAsia" w:asciiTheme="minorEastAsia" w:hAnsiTheme="minorEastAsia" w:eastAsiaTheme="minorEastAsia" w:cstheme="minorEastAsia"/>
          <w:spacing w:val="0"/>
          <w:sz w:val="24"/>
          <w:szCs w:val="24"/>
        </w:rPr>
        <w:t>元/次承担违约金，且甲方有权委托第三方进行质保，所有费用从质保金中扣除，不足部分由乙方另行承担且不免除乙方的质保责任。</w:t>
      </w:r>
    </w:p>
    <w:p w14:paraId="4CF41DF0">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rPr>
        <w:t>甲方有权从应付当期款项中扣除乙方应承担的违约金和相关费</w:t>
      </w:r>
      <w:r>
        <w:rPr>
          <w:rFonts w:hint="eastAsia" w:asciiTheme="minorEastAsia" w:hAnsiTheme="minorEastAsia" w:eastAsiaTheme="minorEastAsia" w:cstheme="minorEastAsia"/>
          <w:spacing w:val="0"/>
          <w:sz w:val="24"/>
          <w:szCs w:val="24"/>
          <w:lang w:val="en-US" w:eastAsia="zh-CN"/>
        </w:rPr>
        <w:t>用。</w:t>
      </w:r>
    </w:p>
    <w:p w14:paraId="47AF4F3F">
      <w:pPr>
        <w:pStyle w:val="36"/>
        <w:keepNext w:val="0"/>
        <w:keepLines w:val="0"/>
        <w:pageBreakBefore w:val="0"/>
        <w:widowControl w:val="0"/>
        <w:kinsoku/>
        <w:wordWrap/>
        <w:overflowPunct/>
        <w:topLinePunct w:val="0"/>
        <w:autoSpaceDE w:val="0"/>
        <w:autoSpaceDN w:val="0"/>
        <w:bidi w:val="0"/>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合同的变更和解除</w:t>
      </w:r>
    </w:p>
    <w:p w14:paraId="7EA9AE04">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除非遇到不可抗力因素，导致本合同不能履行，未经甲乙双方书面同意，任何一方无权单方面变更或解除合同。</w:t>
      </w:r>
    </w:p>
    <w:p w14:paraId="74A65B7A">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如本合同任何一方违反约定，另一方可向违约方发出书面纠正通知。违约方应于收到书面纠正通知之日起30日内纠正违约行为，否则守约方有权解除合同并要求违约方赔偿因解除合同而造成的一切损失。</w:t>
      </w:r>
    </w:p>
    <w:p w14:paraId="693528A2">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kern w:val="0"/>
          <w:sz w:val="24"/>
          <w:szCs w:val="24"/>
        </w:rPr>
        <w:t>任何一方破产、解散，本合同自动终止。</w:t>
      </w:r>
    </w:p>
    <w:p w14:paraId="654F55DC">
      <w:pPr>
        <w:pStyle w:val="36"/>
        <w:keepNext w:val="0"/>
        <w:keepLines w:val="0"/>
        <w:pageBreakBefore w:val="0"/>
        <w:widowControl w:val="0"/>
        <w:kinsoku/>
        <w:wordWrap/>
        <w:overflowPunct/>
        <w:topLinePunct w:val="0"/>
        <w:autoSpaceDE w:val="0"/>
        <w:autoSpaceDN w:val="0"/>
        <w:bidi w:val="0"/>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其他</w:t>
      </w:r>
    </w:p>
    <w:p w14:paraId="1ADFFD3D">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除双方另有约定外，甲乙双方之间任何与本合同相关的正式信函以及</w:t>
      </w:r>
      <w:r>
        <w:rPr>
          <w:rFonts w:hint="eastAsia" w:asciiTheme="minorEastAsia" w:hAnsiTheme="minorEastAsia" w:eastAsiaTheme="minorEastAsia" w:cstheme="minorEastAsia"/>
          <w:spacing w:val="0"/>
          <w:kern w:val="0"/>
          <w:sz w:val="24"/>
          <w:szCs w:val="24"/>
          <w:lang w:val="en-US" w:eastAsia="zh-CN"/>
        </w:rPr>
        <w:t>款项</w:t>
      </w:r>
      <w:r>
        <w:rPr>
          <w:rFonts w:hint="eastAsia" w:asciiTheme="minorEastAsia" w:hAnsiTheme="minorEastAsia" w:eastAsiaTheme="minorEastAsia" w:cstheme="minorEastAsia"/>
          <w:spacing w:val="0"/>
          <w:kern w:val="0"/>
          <w:sz w:val="24"/>
          <w:szCs w:val="24"/>
        </w:rPr>
        <w:t>结算，均应使用本合同中甲、乙双方指定的地址和银行</w:t>
      </w:r>
      <w:r>
        <w:rPr>
          <w:rFonts w:hint="eastAsia" w:asciiTheme="minorEastAsia" w:hAnsiTheme="minorEastAsia" w:eastAsiaTheme="minorEastAsia" w:cstheme="minorEastAsia"/>
          <w:spacing w:val="0"/>
          <w:kern w:val="0"/>
          <w:sz w:val="24"/>
          <w:szCs w:val="24"/>
          <w:lang w:eastAsia="zh-CN"/>
        </w:rPr>
        <w:t>账号</w:t>
      </w:r>
      <w:r>
        <w:rPr>
          <w:rFonts w:hint="eastAsia" w:asciiTheme="minorEastAsia" w:hAnsiTheme="minorEastAsia" w:eastAsiaTheme="minorEastAsia" w:cstheme="minorEastAsia"/>
          <w:spacing w:val="0"/>
          <w:kern w:val="0"/>
          <w:sz w:val="24"/>
          <w:szCs w:val="24"/>
        </w:rPr>
        <w:t>。</w:t>
      </w:r>
    </w:p>
    <w:tbl>
      <w:tblPr>
        <w:tblStyle w:val="17"/>
        <w:tblW w:w="5005" w:type="pct"/>
        <w:tblInd w:w="0" w:type="dxa"/>
        <w:tblLayout w:type="autofit"/>
        <w:tblCellMar>
          <w:top w:w="0" w:type="dxa"/>
          <w:left w:w="108" w:type="dxa"/>
          <w:bottom w:w="0" w:type="dxa"/>
          <w:right w:w="108" w:type="dxa"/>
        </w:tblCellMar>
      </w:tblPr>
      <w:tblGrid>
        <w:gridCol w:w="1911"/>
        <w:gridCol w:w="3144"/>
        <w:gridCol w:w="1858"/>
        <w:gridCol w:w="2752"/>
      </w:tblGrid>
      <w:tr w14:paraId="47B382E5">
        <w:tblPrEx>
          <w:tblCellMar>
            <w:top w:w="0" w:type="dxa"/>
            <w:left w:w="108" w:type="dxa"/>
            <w:bottom w:w="0" w:type="dxa"/>
            <w:right w:w="108" w:type="dxa"/>
          </w:tblCellMar>
        </w:tblPrEx>
        <w:trPr>
          <w:trHeight w:val="371" w:hRule="atLeast"/>
        </w:trPr>
        <w:tc>
          <w:tcPr>
            <w:tcW w:w="4637" w:type="dxa"/>
            <w:gridSpan w:val="2"/>
            <w:tcBorders>
              <w:top w:val="single" w:color="auto" w:sz="6" w:space="0"/>
              <w:left w:val="single" w:color="auto" w:sz="6" w:space="0"/>
              <w:bottom w:val="single" w:color="auto" w:sz="6" w:space="0"/>
              <w:right w:val="single" w:color="auto" w:sz="6" w:space="0"/>
            </w:tcBorders>
            <w:noWrap w:val="0"/>
            <w:vAlign w:val="center"/>
          </w:tcPr>
          <w:p w14:paraId="018BBF2F">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甲方</w:t>
            </w:r>
          </w:p>
        </w:tc>
        <w:tc>
          <w:tcPr>
            <w:tcW w:w="4228" w:type="dxa"/>
            <w:gridSpan w:val="2"/>
            <w:tcBorders>
              <w:top w:val="single" w:color="auto" w:sz="6" w:space="0"/>
              <w:left w:val="single" w:color="auto" w:sz="6" w:space="0"/>
              <w:bottom w:val="single" w:color="auto" w:sz="6" w:space="0"/>
              <w:right w:val="single" w:color="auto" w:sz="6" w:space="0"/>
            </w:tcBorders>
            <w:noWrap w:val="0"/>
            <w:vAlign w:val="center"/>
          </w:tcPr>
          <w:p w14:paraId="3F75E82C">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乙方</w:t>
            </w:r>
          </w:p>
        </w:tc>
      </w:tr>
      <w:tr w14:paraId="753C290D">
        <w:tblPrEx>
          <w:tblCellMar>
            <w:top w:w="0" w:type="dxa"/>
            <w:left w:w="108" w:type="dxa"/>
            <w:bottom w:w="0" w:type="dxa"/>
            <w:right w:w="108" w:type="dxa"/>
          </w:tblCellMar>
        </w:tblPrEx>
        <w:trPr>
          <w:trHeight w:val="571" w:hRule="atLeast"/>
        </w:trPr>
        <w:tc>
          <w:tcPr>
            <w:tcW w:w="1753" w:type="dxa"/>
            <w:tcBorders>
              <w:top w:val="single" w:color="auto" w:sz="6" w:space="0"/>
              <w:left w:val="single" w:color="auto" w:sz="6" w:space="0"/>
              <w:bottom w:val="single" w:color="auto" w:sz="6" w:space="0"/>
              <w:right w:val="single" w:color="auto" w:sz="6" w:space="0"/>
            </w:tcBorders>
            <w:noWrap w:val="0"/>
            <w:tcMar>
              <w:top w:w="0" w:type="dxa"/>
              <w:left w:w="51" w:type="dxa"/>
              <w:bottom w:w="0" w:type="dxa"/>
              <w:right w:w="51" w:type="dxa"/>
            </w:tcMar>
            <w:vAlign w:val="center"/>
          </w:tcPr>
          <w:p w14:paraId="2DB2048D">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rPr>
              <w:t>名</w:t>
            </w:r>
            <w:r>
              <w:rPr>
                <w:rFonts w:hint="eastAsia" w:asciiTheme="minorEastAsia" w:hAnsiTheme="minorEastAsia" w:eastAsiaTheme="minorEastAsia" w:cstheme="minorEastAsia"/>
                <w:spacing w:val="0"/>
                <w:sz w:val="24"/>
                <w:szCs w:val="24"/>
                <w:lang w:val="en-US" w:eastAsia="zh-CN"/>
              </w:rPr>
              <w:t>称</w:t>
            </w:r>
          </w:p>
        </w:tc>
        <w:tc>
          <w:tcPr>
            <w:tcW w:w="2884" w:type="dxa"/>
            <w:tcBorders>
              <w:top w:val="single" w:color="auto" w:sz="6" w:space="0"/>
              <w:left w:val="single" w:color="auto" w:sz="6" w:space="0"/>
              <w:bottom w:val="single" w:color="auto" w:sz="6" w:space="0"/>
              <w:right w:val="single" w:color="auto" w:sz="6" w:space="0"/>
            </w:tcBorders>
            <w:noWrap w:val="0"/>
            <w:tcMar>
              <w:top w:w="0" w:type="dxa"/>
              <w:left w:w="51" w:type="dxa"/>
              <w:bottom w:w="0" w:type="dxa"/>
              <w:right w:w="51" w:type="dxa"/>
            </w:tcMar>
            <w:vAlign w:val="center"/>
          </w:tcPr>
          <w:p w14:paraId="2D83D1C7">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c>
          <w:tcPr>
            <w:tcW w:w="1704" w:type="dxa"/>
            <w:tcBorders>
              <w:top w:val="single" w:color="auto" w:sz="6" w:space="0"/>
              <w:left w:val="single" w:color="auto" w:sz="6" w:space="0"/>
              <w:bottom w:val="single" w:color="auto" w:sz="6" w:space="0"/>
              <w:right w:val="single" w:color="auto" w:sz="6" w:space="0"/>
            </w:tcBorders>
            <w:noWrap w:val="0"/>
            <w:tcMar>
              <w:top w:w="0" w:type="dxa"/>
              <w:left w:w="51" w:type="dxa"/>
              <w:bottom w:w="0" w:type="dxa"/>
              <w:right w:w="51" w:type="dxa"/>
            </w:tcMar>
            <w:vAlign w:val="center"/>
          </w:tcPr>
          <w:p w14:paraId="39DF8FA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名称</w:t>
            </w:r>
          </w:p>
        </w:tc>
        <w:tc>
          <w:tcPr>
            <w:tcW w:w="2524" w:type="dxa"/>
            <w:tcBorders>
              <w:top w:val="single" w:color="auto" w:sz="6" w:space="0"/>
              <w:left w:val="single" w:color="auto" w:sz="6" w:space="0"/>
              <w:bottom w:val="single" w:color="auto" w:sz="6" w:space="0"/>
              <w:right w:val="single" w:color="auto" w:sz="6" w:space="0"/>
            </w:tcBorders>
            <w:noWrap w:val="0"/>
            <w:tcMar>
              <w:top w:w="0" w:type="dxa"/>
              <w:left w:w="51" w:type="dxa"/>
              <w:bottom w:w="0" w:type="dxa"/>
              <w:right w:w="51" w:type="dxa"/>
            </w:tcMar>
            <w:vAlign w:val="center"/>
          </w:tcPr>
          <w:p w14:paraId="3CEADE00">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r>
      <w:tr w14:paraId="2BAD5157">
        <w:tblPrEx>
          <w:tblCellMar>
            <w:top w:w="0" w:type="dxa"/>
            <w:left w:w="108" w:type="dxa"/>
            <w:bottom w:w="0" w:type="dxa"/>
            <w:right w:w="108" w:type="dxa"/>
          </w:tblCellMar>
        </w:tblPrEx>
        <w:trPr>
          <w:trHeight w:val="341" w:hRule="atLeast"/>
        </w:trPr>
        <w:tc>
          <w:tcPr>
            <w:tcW w:w="1753" w:type="dxa"/>
            <w:tcBorders>
              <w:top w:val="single" w:color="auto" w:sz="6" w:space="0"/>
              <w:left w:val="single" w:color="auto" w:sz="6" w:space="0"/>
              <w:bottom w:val="single" w:color="auto" w:sz="6" w:space="0"/>
              <w:right w:val="single" w:color="auto" w:sz="6" w:space="0"/>
            </w:tcBorders>
            <w:noWrap w:val="0"/>
            <w:vAlign w:val="center"/>
          </w:tcPr>
          <w:p w14:paraId="6CD394C9">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通讯地址</w:t>
            </w:r>
          </w:p>
        </w:tc>
        <w:tc>
          <w:tcPr>
            <w:tcW w:w="2884" w:type="dxa"/>
            <w:tcBorders>
              <w:top w:val="single" w:color="auto" w:sz="6" w:space="0"/>
              <w:left w:val="single" w:color="auto" w:sz="6" w:space="0"/>
              <w:bottom w:val="single" w:color="auto" w:sz="6" w:space="0"/>
              <w:right w:val="single" w:color="auto" w:sz="6" w:space="0"/>
            </w:tcBorders>
            <w:noWrap w:val="0"/>
            <w:vAlign w:val="center"/>
          </w:tcPr>
          <w:p w14:paraId="08DBC333">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2100105F">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通讯地址</w:t>
            </w:r>
          </w:p>
        </w:tc>
        <w:tc>
          <w:tcPr>
            <w:tcW w:w="2524" w:type="dxa"/>
            <w:tcBorders>
              <w:top w:val="single" w:color="auto" w:sz="6" w:space="0"/>
              <w:left w:val="single" w:color="auto" w:sz="6" w:space="0"/>
              <w:bottom w:val="single" w:color="auto" w:sz="6" w:space="0"/>
              <w:right w:val="single" w:color="auto" w:sz="6" w:space="0"/>
            </w:tcBorders>
            <w:noWrap w:val="0"/>
            <w:vAlign w:val="center"/>
          </w:tcPr>
          <w:p w14:paraId="47F55EE3">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r>
      <w:tr w14:paraId="6E0716B0">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noWrap w:val="0"/>
            <w:vAlign w:val="center"/>
          </w:tcPr>
          <w:p w14:paraId="3F0FE01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sym w:font="Wingdings 2" w:char="00A3"/>
            </w:r>
            <w:r>
              <w:rPr>
                <w:rFonts w:hint="eastAsia" w:asciiTheme="minorEastAsia" w:hAnsiTheme="minorEastAsia" w:eastAsiaTheme="minorEastAsia" w:cstheme="minorEastAsia"/>
                <w:spacing w:val="0"/>
                <w:sz w:val="24"/>
                <w:szCs w:val="24"/>
                <w:lang w:val="en-US" w:eastAsia="zh-CN"/>
              </w:rPr>
              <w:t>联系人</w:t>
            </w:r>
          </w:p>
          <w:p w14:paraId="6103F3CC">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sym w:font="Wingdings 2" w:char="00A3"/>
            </w:r>
            <w:r>
              <w:rPr>
                <w:rFonts w:hint="eastAsia" w:asciiTheme="minorEastAsia" w:hAnsiTheme="minorEastAsia" w:eastAsiaTheme="minorEastAsia" w:cstheme="minorEastAsia"/>
                <w:spacing w:val="0"/>
                <w:sz w:val="24"/>
                <w:szCs w:val="24"/>
                <w:lang w:val="en-US" w:eastAsia="zh-CN"/>
              </w:rPr>
              <w:t>项目负责人</w:t>
            </w:r>
          </w:p>
        </w:tc>
        <w:tc>
          <w:tcPr>
            <w:tcW w:w="2884" w:type="dxa"/>
            <w:tcBorders>
              <w:top w:val="single" w:color="auto" w:sz="6" w:space="0"/>
              <w:left w:val="single" w:color="auto" w:sz="6" w:space="0"/>
              <w:bottom w:val="single" w:color="auto" w:sz="6" w:space="0"/>
              <w:right w:val="single" w:color="auto" w:sz="6" w:space="0"/>
            </w:tcBorders>
            <w:noWrap w:val="0"/>
            <w:vAlign w:val="center"/>
          </w:tcPr>
          <w:p w14:paraId="0442BDA5">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299A3AF3">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sym w:font="Wingdings 2" w:char="00A3"/>
            </w:r>
            <w:r>
              <w:rPr>
                <w:rFonts w:hint="eastAsia" w:asciiTheme="minorEastAsia" w:hAnsiTheme="minorEastAsia" w:eastAsiaTheme="minorEastAsia" w:cstheme="minorEastAsia"/>
                <w:spacing w:val="0"/>
                <w:sz w:val="24"/>
                <w:szCs w:val="24"/>
                <w:lang w:val="en-US" w:eastAsia="zh-CN"/>
              </w:rPr>
              <w:t>联系人</w:t>
            </w:r>
          </w:p>
          <w:p w14:paraId="37F0DA4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sym w:font="Wingdings 2" w:char="00A3"/>
            </w:r>
            <w:r>
              <w:rPr>
                <w:rFonts w:hint="eastAsia" w:asciiTheme="minorEastAsia" w:hAnsiTheme="minorEastAsia" w:eastAsiaTheme="minorEastAsia" w:cstheme="minorEastAsia"/>
                <w:spacing w:val="0"/>
                <w:sz w:val="24"/>
                <w:szCs w:val="24"/>
                <w:lang w:val="en-US" w:eastAsia="zh-CN"/>
              </w:rPr>
              <w:t>项目负责人</w:t>
            </w:r>
          </w:p>
        </w:tc>
        <w:tc>
          <w:tcPr>
            <w:tcW w:w="2524" w:type="dxa"/>
            <w:tcBorders>
              <w:top w:val="single" w:color="auto" w:sz="6" w:space="0"/>
              <w:left w:val="single" w:color="auto" w:sz="6" w:space="0"/>
              <w:bottom w:val="single" w:color="auto" w:sz="6" w:space="0"/>
              <w:right w:val="single" w:color="auto" w:sz="6" w:space="0"/>
            </w:tcBorders>
            <w:noWrap w:val="0"/>
            <w:vAlign w:val="center"/>
          </w:tcPr>
          <w:p w14:paraId="32AB70BB">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r>
      <w:tr w14:paraId="661EDA7F">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noWrap w:val="0"/>
            <w:vAlign w:val="center"/>
          </w:tcPr>
          <w:p w14:paraId="46B200D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联系</w:t>
            </w:r>
            <w:r>
              <w:rPr>
                <w:rFonts w:hint="eastAsia" w:asciiTheme="minorEastAsia" w:hAnsiTheme="minorEastAsia" w:eastAsiaTheme="minorEastAsia" w:cstheme="minorEastAsia"/>
                <w:spacing w:val="0"/>
                <w:sz w:val="24"/>
                <w:szCs w:val="24"/>
              </w:rPr>
              <w:t>电话</w:t>
            </w:r>
          </w:p>
        </w:tc>
        <w:tc>
          <w:tcPr>
            <w:tcW w:w="2884" w:type="dxa"/>
            <w:tcBorders>
              <w:top w:val="single" w:color="auto" w:sz="6" w:space="0"/>
              <w:left w:val="single" w:color="auto" w:sz="6" w:space="0"/>
              <w:bottom w:val="single" w:color="auto" w:sz="6" w:space="0"/>
              <w:right w:val="single" w:color="auto" w:sz="6" w:space="0"/>
            </w:tcBorders>
            <w:noWrap w:val="0"/>
            <w:vAlign w:val="center"/>
          </w:tcPr>
          <w:p w14:paraId="4C26F6A8">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7AB060CE">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联系</w:t>
            </w:r>
            <w:r>
              <w:rPr>
                <w:rFonts w:hint="eastAsia" w:asciiTheme="minorEastAsia" w:hAnsiTheme="minorEastAsia" w:eastAsiaTheme="minorEastAsia" w:cstheme="minorEastAsia"/>
                <w:spacing w:val="0"/>
                <w:sz w:val="24"/>
                <w:szCs w:val="24"/>
              </w:rPr>
              <w:t>电话</w:t>
            </w:r>
          </w:p>
        </w:tc>
        <w:tc>
          <w:tcPr>
            <w:tcW w:w="2524" w:type="dxa"/>
            <w:tcBorders>
              <w:top w:val="single" w:color="auto" w:sz="6" w:space="0"/>
              <w:left w:val="single" w:color="auto" w:sz="6" w:space="0"/>
              <w:bottom w:val="single" w:color="auto" w:sz="6" w:space="0"/>
              <w:right w:val="single" w:color="auto" w:sz="6" w:space="0"/>
            </w:tcBorders>
            <w:noWrap w:val="0"/>
            <w:vAlign w:val="center"/>
          </w:tcPr>
          <w:p w14:paraId="1B14C191">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r>
      <w:tr w14:paraId="38B9940D">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noWrap w:val="0"/>
            <w:vAlign w:val="center"/>
          </w:tcPr>
          <w:p w14:paraId="33334A0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邮箱</w:t>
            </w:r>
          </w:p>
        </w:tc>
        <w:tc>
          <w:tcPr>
            <w:tcW w:w="2884" w:type="dxa"/>
            <w:tcBorders>
              <w:top w:val="single" w:color="auto" w:sz="6" w:space="0"/>
              <w:left w:val="single" w:color="auto" w:sz="6" w:space="0"/>
              <w:bottom w:val="single" w:color="auto" w:sz="6" w:space="0"/>
              <w:right w:val="single" w:color="auto" w:sz="6" w:space="0"/>
            </w:tcBorders>
            <w:noWrap w:val="0"/>
            <w:vAlign w:val="center"/>
          </w:tcPr>
          <w:p w14:paraId="435AB2FF">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4FE2495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邮箱</w:t>
            </w:r>
          </w:p>
        </w:tc>
        <w:tc>
          <w:tcPr>
            <w:tcW w:w="2524" w:type="dxa"/>
            <w:tcBorders>
              <w:top w:val="single" w:color="auto" w:sz="6" w:space="0"/>
              <w:left w:val="single" w:color="auto" w:sz="6" w:space="0"/>
              <w:bottom w:val="single" w:color="auto" w:sz="6" w:space="0"/>
              <w:right w:val="single" w:color="auto" w:sz="6" w:space="0"/>
            </w:tcBorders>
            <w:noWrap w:val="0"/>
            <w:vAlign w:val="center"/>
          </w:tcPr>
          <w:p w14:paraId="35FC8578">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r>
      <w:tr w14:paraId="07FBC9E9">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noWrap w:val="0"/>
            <w:vAlign w:val="center"/>
          </w:tcPr>
          <w:p w14:paraId="5FDF5DE5">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汇款人名称</w:t>
            </w:r>
          </w:p>
        </w:tc>
        <w:tc>
          <w:tcPr>
            <w:tcW w:w="2884" w:type="dxa"/>
            <w:tcBorders>
              <w:top w:val="single" w:color="auto" w:sz="6" w:space="0"/>
              <w:left w:val="single" w:color="auto" w:sz="6" w:space="0"/>
              <w:bottom w:val="single" w:color="auto" w:sz="6" w:space="0"/>
              <w:right w:val="single" w:color="auto" w:sz="6" w:space="0"/>
            </w:tcBorders>
            <w:noWrap w:val="0"/>
            <w:vAlign w:val="center"/>
          </w:tcPr>
          <w:p w14:paraId="67F2D3B2">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746B0A99">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收款人名称</w:t>
            </w:r>
          </w:p>
        </w:tc>
        <w:tc>
          <w:tcPr>
            <w:tcW w:w="2524" w:type="dxa"/>
            <w:tcBorders>
              <w:top w:val="single" w:color="auto" w:sz="6" w:space="0"/>
              <w:left w:val="single" w:color="auto" w:sz="6" w:space="0"/>
              <w:bottom w:val="single" w:color="auto" w:sz="6" w:space="0"/>
              <w:right w:val="single" w:color="auto" w:sz="6" w:space="0"/>
            </w:tcBorders>
            <w:noWrap w:val="0"/>
            <w:vAlign w:val="center"/>
          </w:tcPr>
          <w:p w14:paraId="7D7F4576">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r>
      <w:tr w14:paraId="3C348E40">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noWrap w:val="0"/>
            <w:vAlign w:val="center"/>
          </w:tcPr>
          <w:p w14:paraId="3BF5479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纳税人识别号</w:t>
            </w:r>
          </w:p>
        </w:tc>
        <w:tc>
          <w:tcPr>
            <w:tcW w:w="2884" w:type="dxa"/>
            <w:tcBorders>
              <w:top w:val="single" w:color="auto" w:sz="6" w:space="0"/>
              <w:left w:val="single" w:color="auto" w:sz="6" w:space="0"/>
              <w:bottom w:val="single" w:color="auto" w:sz="6" w:space="0"/>
              <w:right w:val="single" w:color="auto" w:sz="6" w:space="0"/>
            </w:tcBorders>
            <w:noWrap w:val="0"/>
            <w:vAlign w:val="center"/>
          </w:tcPr>
          <w:p w14:paraId="1485DED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2C92323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纳税人识别号</w:t>
            </w:r>
          </w:p>
        </w:tc>
        <w:tc>
          <w:tcPr>
            <w:tcW w:w="2524" w:type="dxa"/>
            <w:tcBorders>
              <w:top w:val="single" w:color="auto" w:sz="6" w:space="0"/>
              <w:left w:val="single" w:color="auto" w:sz="6" w:space="0"/>
              <w:bottom w:val="single" w:color="auto" w:sz="6" w:space="0"/>
              <w:right w:val="single" w:color="auto" w:sz="6" w:space="0"/>
            </w:tcBorders>
            <w:noWrap w:val="0"/>
            <w:vAlign w:val="center"/>
          </w:tcPr>
          <w:p w14:paraId="3664FDB2">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r>
      <w:tr w14:paraId="40BA8210">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noWrap w:val="0"/>
            <w:vAlign w:val="center"/>
          </w:tcPr>
          <w:p w14:paraId="523965EB">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开户银行</w:t>
            </w:r>
          </w:p>
        </w:tc>
        <w:tc>
          <w:tcPr>
            <w:tcW w:w="2884" w:type="dxa"/>
            <w:tcBorders>
              <w:top w:val="single" w:color="auto" w:sz="6" w:space="0"/>
              <w:left w:val="single" w:color="auto" w:sz="6" w:space="0"/>
              <w:bottom w:val="single" w:color="auto" w:sz="6" w:space="0"/>
              <w:right w:val="single" w:color="auto" w:sz="6" w:space="0"/>
            </w:tcBorders>
            <w:noWrap w:val="0"/>
            <w:vAlign w:val="center"/>
          </w:tcPr>
          <w:p w14:paraId="2FB2A5AB">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3FA36A62">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开户银行</w:t>
            </w:r>
          </w:p>
        </w:tc>
        <w:tc>
          <w:tcPr>
            <w:tcW w:w="2524" w:type="dxa"/>
            <w:tcBorders>
              <w:top w:val="single" w:color="auto" w:sz="6" w:space="0"/>
              <w:left w:val="single" w:color="auto" w:sz="6" w:space="0"/>
              <w:bottom w:val="single" w:color="auto" w:sz="6" w:space="0"/>
              <w:right w:val="single" w:color="auto" w:sz="6" w:space="0"/>
            </w:tcBorders>
            <w:noWrap w:val="0"/>
            <w:vAlign w:val="center"/>
          </w:tcPr>
          <w:p w14:paraId="1E598C69">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r>
      <w:tr w14:paraId="12B7D2D0">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noWrap w:val="0"/>
            <w:vAlign w:val="center"/>
          </w:tcPr>
          <w:p w14:paraId="3823B672">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银行账号</w:t>
            </w:r>
          </w:p>
        </w:tc>
        <w:tc>
          <w:tcPr>
            <w:tcW w:w="2884" w:type="dxa"/>
            <w:tcBorders>
              <w:top w:val="single" w:color="auto" w:sz="6" w:space="0"/>
              <w:left w:val="single" w:color="auto" w:sz="6" w:space="0"/>
              <w:bottom w:val="single" w:color="auto" w:sz="6" w:space="0"/>
              <w:right w:val="single" w:color="auto" w:sz="6" w:space="0"/>
            </w:tcBorders>
            <w:noWrap w:val="0"/>
            <w:vAlign w:val="center"/>
          </w:tcPr>
          <w:p w14:paraId="62AE5FB8">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70D964C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银行账号</w:t>
            </w:r>
          </w:p>
        </w:tc>
        <w:tc>
          <w:tcPr>
            <w:tcW w:w="2524" w:type="dxa"/>
            <w:tcBorders>
              <w:top w:val="single" w:color="auto" w:sz="6" w:space="0"/>
              <w:left w:val="single" w:color="auto" w:sz="6" w:space="0"/>
              <w:bottom w:val="single" w:color="auto" w:sz="6" w:space="0"/>
              <w:right w:val="single" w:color="auto" w:sz="6" w:space="0"/>
            </w:tcBorders>
            <w:noWrap w:val="0"/>
            <w:vAlign w:val="center"/>
          </w:tcPr>
          <w:p w14:paraId="4201088B">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r>
      <w:tr w14:paraId="39493D44">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noWrap w:val="0"/>
            <w:vAlign w:val="center"/>
          </w:tcPr>
          <w:p w14:paraId="4718802B">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联行号</w:t>
            </w:r>
          </w:p>
        </w:tc>
        <w:tc>
          <w:tcPr>
            <w:tcW w:w="2884" w:type="dxa"/>
            <w:tcBorders>
              <w:top w:val="single" w:color="auto" w:sz="6" w:space="0"/>
              <w:left w:val="single" w:color="auto" w:sz="6" w:space="0"/>
              <w:bottom w:val="single" w:color="auto" w:sz="6" w:space="0"/>
              <w:right w:val="single" w:color="auto" w:sz="6" w:space="0"/>
            </w:tcBorders>
            <w:noWrap w:val="0"/>
            <w:vAlign w:val="center"/>
          </w:tcPr>
          <w:p w14:paraId="7B903AEE">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0DAC099B">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联行号</w:t>
            </w:r>
          </w:p>
        </w:tc>
        <w:tc>
          <w:tcPr>
            <w:tcW w:w="2524" w:type="dxa"/>
            <w:tcBorders>
              <w:top w:val="single" w:color="auto" w:sz="6" w:space="0"/>
              <w:left w:val="single" w:color="auto" w:sz="6" w:space="0"/>
              <w:bottom w:val="single" w:color="auto" w:sz="6" w:space="0"/>
              <w:right w:val="single" w:color="auto" w:sz="6" w:space="0"/>
            </w:tcBorders>
            <w:noWrap w:val="0"/>
            <w:vAlign w:val="center"/>
          </w:tcPr>
          <w:p w14:paraId="6E1055EA">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outlineLvl w:val="9"/>
              <w:rPr>
                <w:rFonts w:hint="eastAsia" w:asciiTheme="minorEastAsia" w:hAnsiTheme="minorEastAsia" w:eastAsiaTheme="minorEastAsia" w:cstheme="minorEastAsia"/>
                <w:spacing w:val="0"/>
                <w:sz w:val="24"/>
                <w:szCs w:val="24"/>
              </w:rPr>
            </w:pPr>
          </w:p>
        </w:tc>
      </w:tr>
    </w:tbl>
    <w:p w14:paraId="108BEBFA">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TW"/>
        </w:rPr>
        <w:t>甲乙双方任何员工的言论和书面文件在经单位书面确认之前均不代表单位</w:t>
      </w:r>
      <w:r>
        <w:rPr>
          <w:rFonts w:hint="eastAsia" w:asciiTheme="minorEastAsia" w:hAnsiTheme="minorEastAsia" w:eastAsiaTheme="minorEastAsia" w:cstheme="minorEastAsia"/>
          <w:spacing w:val="0"/>
          <w:kern w:val="0"/>
          <w:sz w:val="24"/>
          <w:szCs w:val="24"/>
          <w:lang w:val="en-US" w:eastAsia="zh-CN"/>
        </w:rPr>
        <w:t>，</w:t>
      </w:r>
      <w:r>
        <w:rPr>
          <w:rFonts w:hint="eastAsia" w:asciiTheme="minorEastAsia" w:hAnsiTheme="minorEastAsia" w:eastAsiaTheme="minorEastAsia" w:cstheme="minorEastAsia"/>
          <w:spacing w:val="0"/>
          <w:kern w:val="0"/>
          <w:sz w:val="24"/>
          <w:szCs w:val="24"/>
          <w:lang w:val="en-US" w:eastAsia="zh-TW"/>
        </w:rPr>
        <w:t>甲乙双方的任何书面文件均需加盖单位公章方为有效。</w:t>
      </w:r>
    </w:p>
    <w:p w14:paraId="493E0D0E">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通过电子邮箱及其它电子方式送达时，发出之日即视为有效送达</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kern w:val="0"/>
          <w:sz w:val="24"/>
          <w:szCs w:val="24"/>
        </w:rPr>
        <w:t>通过快递等方式送达时，对方签收之日视为有效送达；对方拒收或退回的，视为签收。上述联系方式同时作为有效司法送达地址。</w:t>
      </w:r>
    </w:p>
    <w:p w14:paraId="0D9AAE50">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rPr>
        <w:t>甲乙任一方的地址</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kern w:val="0"/>
          <w:sz w:val="24"/>
          <w:szCs w:val="24"/>
          <w:lang w:val="en-US" w:eastAsia="zh-CN"/>
        </w:rPr>
        <w:t>联系人（项目负责人）、联系方式</w:t>
      </w:r>
      <w:r>
        <w:rPr>
          <w:rFonts w:hint="eastAsia" w:asciiTheme="minorEastAsia" w:hAnsiTheme="minorEastAsia" w:eastAsiaTheme="minorEastAsia" w:cstheme="minorEastAsia"/>
          <w:spacing w:val="0"/>
          <w:kern w:val="0"/>
          <w:sz w:val="24"/>
          <w:szCs w:val="24"/>
        </w:rPr>
        <w:t>变更，变更一方应在变更后</w:t>
      </w:r>
      <w:r>
        <w:rPr>
          <w:rFonts w:hint="eastAsia" w:asciiTheme="minorEastAsia" w:hAnsiTheme="minorEastAsia" w:eastAsiaTheme="minorEastAsia" w:cstheme="minorEastAsia"/>
          <w:spacing w:val="0"/>
          <w:kern w:val="0"/>
          <w:sz w:val="24"/>
          <w:szCs w:val="24"/>
          <w:lang w:val="en-US" w:eastAsia="zh-CN"/>
        </w:rPr>
        <w:t>5</w:t>
      </w:r>
      <w:r>
        <w:rPr>
          <w:rFonts w:hint="eastAsia" w:asciiTheme="minorEastAsia" w:hAnsiTheme="minorEastAsia" w:eastAsiaTheme="minorEastAsia" w:cstheme="minorEastAsia"/>
          <w:spacing w:val="0"/>
          <w:kern w:val="0"/>
          <w:sz w:val="24"/>
          <w:szCs w:val="24"/>
        </w:rPr>
        <w:t>个工作日内书面通知对方。书面通知须加盖公章并经本合同</w:t>
      </w:r>
      <w:r>
        <w:rPr>
          <w:rFonts w:hint="eastAsia" w:asciiTheme="minorEastAsia" w:hAnsiTheme="minorEastAsia" w:eastAsiaTheme="minorEastAsia" w:cstheme="minorEastAsia"/>
          <w:spacing w:val="0"/>
          <w:kern w:val="0"/>
          <w:sz w:val="24"/>
          <w:szCs w:val="24"/>
          <w:lang w:val="en-US" w:eastAsia="zh-CN"/>
        </w:rPr>
        <w:t>授权代表</w:t>
      </w:r>
      <w:r>
        <w:rPr>
          <w:rFonts w:hint="eastAsia" w:asciiTheme="minorEastAsia" w:hAnsiTheme="minorEastAsia" w:eastAsiaTheme="minorEastAsia" w:cstheme="minorEastAsia"/>
          <w:spacing w:val="0"/>
          <w:kern w:val="0"/>
          <w:sz w:val="24"/>
          <w:szCs w:val="24"/>
        </w:rPr>
        <w:t>签字确认</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kern w:val="0"/>
          <w:sz w:val="24"/>
          <w:szCs w:val="24"/>
        </w:rPr>
        <w:t>否则，</w:t>
      </w:r>
      <w:r>
        <w:rPr>
          <w:rFonts w:hint="eastAsia" w:asciiTheme="minorEastAsia" w:hAnsiTheme="minorEastAsia" w:eastAsiaTheme="minorEastAsia" w:cstheme="minorEastAsia"/>
          <w:spacing w:val="0"/>
          <w:kern w:val="0"/>
          <w:sz w:val="24"/>
          <w:szCs w:val="24"/>
          <w:lang w:val="en-US" w:eastAsia="zh-CN"/>
        </w:rPr>
        <w:t>原地址、联系人（项目负责人）、联系方式等</w:t>
      </w:r>
      <w:r>
        <w:rPr>
          <w:rFonts w:hint="eastAsia" w:asciiTheme="minorEastAsia" w:hAnsiTheme="minorEastAsia" w:eastAsiaTheme="minorEastAsia" w:cstheme="minorEastAsia"/>
          <w:spacing w:val="0"/>
          <w:kern w:val="0"/>
          <w:sz w:val="24"/>
          <w:szCs w:val="24"/>
        </w:rPr>
        <w:t>仍视为有效，由未通知方承担由此而引起的相关责任；</w:t>
      </w:r>
      <w:r>
        <w:rPr>
          <w:rFonts w:hint="eastAsia" w:asciiTheme="minorEastAsia" w:hAnsiTheme="minorEastAsia" w:eastAsiaTheme="minorEastAsia" w:cstheme="minorEastAsia"/>
          <w:spacing w:val="0"/>
          <w:kern w:val="0"/>
          <w:sz w:val="24"/>
          <w:szCs w:val="24"/>
          <w:lang w:val="en-US" w:eastAsia="zh-CN"/>
        </w:rPr>
        <w:t>任一方账户信息</w:t>
      </w:r>
      <w:r>
        <w:rPr>
          <w:rFonts w:hint="eastAsia" w:asciiTheme="minorEastAsia" w:hAnsiTheme="minorEastAsia" w:eastAsiaTheme="minorEastAsia" w:cstheme="minorEastAsia"/>
          <w:spacing w:val="0"/>
          <w:kern w:val="0"/>
          <w:sz w:val="24"/>
          <w:szCs w:val="24"/>
        </w:rPr>
        <w:t>有变更的，变更方应在付款期限个</w:t>
      </w:r>
      <w:r>
        <w:rPr>
          <w:rFonts w:hint="eastAsia" w:asciiTheme="minorEastAsia" w:hAnsiTheme="minorEastAsia" w:eastAsiaTheme="minorEastAsia" w:cstheme="minorEastAsia"/>
          <w:spacing w:val="0"/>
          <w:kern w:val="0"/>
          <w:sz w:val="24"/>
          <w:szCs w:val="24"/>
          <w:lang w:val="en-US" w:eastAsia="zh-CN"/>
        </w:rPr>
        <w:t>5</w:t>
      </w:r>
      <w:r>
        <w:rPr>
          <w:rFonts w:hint="eastAsia" w:asciiTheme="minorEastAsia" w:hAnsiTheme="minorEastAsia" w:eastAsiaTheme="minorEastAsia" w:cstheme="minorEastAsia"/>
          <w:spacing w:val="0"/>
          <w:kern w:val="0"/>
          <w:sz w:val="24"/>
          <w:szCs w:val="24"/>
        </w:rPr>
        <w:t>工作日前以加盖财务专用章的书面方式通知对方。如未及时履行约定告知程序，而导致另一方未按合同约定付款时间付款，不视为另一方付款延迟，不承担延迟付款的违约责任。</w:t>
      </w:r>
    </w:p>
    <w:p w14:paraId="5650B510">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color w:val="000000"/>
          <w:spacing w:val="0"/>
          <w:kern w:val="0"/>
          <w:sz w:val="24"/>
          <w:szCs w:val="24"/>
          <w:lang w:val="en-US" w:eastAsia="zh-CN"/>
        </w:rPr>
      </w:pPr>
      <w:r>
        <w:rPr>
          <w:rFonts w:hint="eastAsia" w:asciiTheme="minorEastAsia" w:hAnsiTheme="minorEastAsia" w:eastAsiaTheme="minorEastAsia" w:cstheme="minorEastAsia"/>
          <w:spacing w:val="0"/>
          <w:kern w:val="0"/>
          <w:sz w:val="24"/>
          <w:szCs w:val="24"/>
        </w:rPr>
        <w:t>本联系方式条款为独立条款，不受合同整体或其他条款的效力影响，始终有效。</w:t>
      </w:r>
    </w:p>
    <w:p w14:paraId="08BFA727">
      <w:pPr>
        <w:pStyle w:val="36"/>
        <w:keepNext w:val="0"/>
        <w:keepLines w:val="0"/>
        <w:pageBreakBefore w:val="0"/>
        <w:widowControl w:val="0"/>
        <w:numPr>
          <w:ilvl w:val="0"/>
          <w:numId w:val="19"/>
        </w:numPr>
        <w:kinsoku/>
        <w:wordWrap/>
        <w:overflowPunct/>
        <w:topLinePunct w:val="0"/>
        <w:autoSpaceDE w:val="0"/>
        <w:autoSpaceDN w:val="0"/>
        <w:bidi w:val="0"/>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法律适用及</w:t>
      </w:r>
      <w:r>
        <w:rPr>
          <w:rFonts w:hint="eastAsia" w:asciiTheme="minorEastAsia" w:hAnsiTheme="minorEastAsia" w:eastAsiaTheme="minorEastAsia" w:cstheme="minorEastAsia"/>
          <w:spacing w:val="0"/>
          <w:sz w:val="24"/>
          <w:szCs w:val="24"/>
        </w:rPr>
        <w:t>争议解决</w:t>
      </w:r>
    </w:p>
    <w:p w14:paraId="019622C8">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sz w:val="24"/>
          <w:szCs w:val="24"/>
          <w:lang w:val="en-US" w:eastAsia="zh-CN"/>
        </w:rPr>
        <w:t>本</w:t>
      </w:r>
      <w:r>
        <w:rPr>
          <w:rFonts w:hint="eastAsia" w:asciiTheme="minorEastAsia" w:hAnsiTheme="minorEastAsia" w:eastAsiaTheme="minorEastAsia" w:cstheme="minorEastAsia"/>
          <w:spacing w:val="0"/>
          <w:kern w:val="0"/>
          <w:sz w:val="24"/>
          <w:szCs w:val="24"/>
        </w:rPr>
        <w:t>合同的订立、效力、履行及争议的解决适用中华人民共和国法律。</w:t>
      </w:r>
    </w:p>
    <w:p w14:paraId="2A93A473">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rPr>
        <w:t>因本合同以及本合同项下</w:t>
      </w:r>
      <w:r>
        <w:rPr>
          <w:rFonts w:hint="eastAsia" w:asciiTheme="minorEastAsia" w:hAnsiTheme="minorEastAsia" w:eastAsiaTheme="minorEastAsia" w:cstheme="minorEastAsia"/>
          <w:spacing w:val="0"/>
          <w:kern w:val="0"/>
          <w:sz w:val="24"/>
          <w:szCs w:val="24"/>
          <w:lang w:val="en-US" w:eastAsia="zh-CN"/>
        </w:rPr>
        <w:t>的</w:t>
      </w:r>
      <w:r>
        <w:rPr>
          <w:rFonts w:hint="eastAsia" w:asciiTheme="minorEastAsia" w:hAnsiTheme="minorEastAsia" w:eastAsiaTheme="minorEastAsia" w:cstheme="minorEastAsia"/>
          <w:spacing w:val="0"/>
          <w:kern w:val="0"/>
          <w:sz w:val="24"/>
          <w:szCs w:val="24"/>
        </w:rPr>
        <w:t>附件/补充协议等（如有）引起或有关的任何争议，</w:t>
      </w:r>
      <w:r>
        <w:rPr>
          <w:rFonts w:hint="eastAsia" w:asciiTheme="minorEastAsia" w:hAnsiTheme="minorEastAsia" w:eastAsiaTheme="minorEastAsia" w:cstheme="minorEastAsia"/>
          <w:spacing w:val="0"/>
          <w:kern w:val="0"/>
          <w:sz w:val="24"/>
          <w:szCs w:val="24"/>
          <w:lang w:val="en-US" w:eastAsia="zh-CN"/>
        </w:rPr>
        <w:t>合同各方应</w:t>
      </w:r>
      <w:r>
        <w:rPr>
          <w:rFonts w:hint="eastAsia" w:asciiTheme="minorEastAsia" w:hAnsiTheme="minorEastAsia" w:eastAsiaTheme="minorEastAsia" w:cstheme="minorEastAsia"/>
          <w:spacing w:val="0"/>
          <w:kern w:val="0"/>
          <w:sz w:val="24"/>
          <w:szCs w:val="24"/>
        </w:rPr>
        <w:t>协商解决</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kern w:val="0"/>
          <w:sz w:val="24"/>
          <w:szCs w:val="24"/>
        </w:rPr>
        <w:t>协商或调解不成的</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kern w:val="0"/>
          <w:sz w:val="24"/>
          <w:szCs w:val="24"/>
          <w:lang w:val="en-US" w:eastAsia="zh-CN"/>
        </w:rPr>
        <w:t>任何一方均选择下列第1种方式解决争议：</w:t>
      </w:r>
    </w:p>
    <w:p w14:paraId="5A9B2821">
      <w:pPr>
        <w:pStyle w:val="38"/>
        <w:keepNext w:val="0"/>
        <w:keepLines w:val="0"/>
        <w:pageBreakBefore w:val="0"/>
        <w:widowControl w:val="0"/>
        <w:numPr>
          <w:ilvl w:val="2"/>
          <w:numId w:val="20"/>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向</w:t>
      </w:r>
      <w:r>
        <w:rPr>
          <w:rFonts w:hint="eastAsia" w:asciiTheme="minorEastAsia" w:hAnsiTheme="minorEastAsia" w:eastAsiaTheme="minorEastAsia" w:cstheme="minorEastAsia"/>
          <w:spacing w:val="0"/>
          <w:sz w:val="24"/>
          <w:szCs w:val="24"/>
          <w:lang w:val="en-US" w:eastAsia="zh-CN"/>
        </w:rPr>
        <w:t>甲方住所地</w:t>
      </w:r>
      <w:r>
        <w:rPr>
          <w:rFonts w:hint="eastAsia" w:asciiTheme="minorEastAsia" w:hAnsiTheme="minorEastAsia" w:eastAsiaTheme="minorEastAsia" w:cstheme="minorEastAsia"/>
          <w:spacing w:val="0"/>
          <w:sz w:val="24"/>
          <w:szCs w:val="24"/>
        </w:rPr>
        <w:t>有管辖权的人民法院起诉</w:t>
      </w:r>
      <w:r>
        <w:rPr>
          <w:rFonts w:hint="eastAsia" w:asciiTheme="minorEastAsia" w:hAnsiTheme="minorEastAsia" w:eastAsiaTheme="minorEastAsia" w:cstheme="minorEastAsia"/>
          <w:spacing w:val="0"/>
          <w:sz w:val="24"/>
          <w:szCs w:val="24"/>
          <w:lang w:eastAsia="zh-CN"/>
        </w:rPr>
        <w:t>；</w:t>
      </w:r>
    </w:p>
    <w:p w14:paraId="7AE05607">
      <w:pPr>
        <w:pStyle w:val="38"/>
        <w:keepNext w:val="0"/>
        <w:keepLines w:val="0"/>
        <w:pageBreakBefore w:val="0"/>
        <w:widowControl w:val="0"/>
        <w:numPr>
          <w:ilvl w:val="2"/>
          <w:numId w:val="20"/>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向甲方仲裁委员会提起仲裁。</w:t>
      </w:r>
    </w:p>
    <w:p w14:paraId="673431B8">
      <w:pPr>
        <w:pStyle w:val="36"/>
        <w:bidi w:val="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附则</w:t>
      </w:r>
    </w:p>
    <w:p w14:paraId="2ECE8672">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合同期限为3年，</w:t>
      </w:r>
      <w:r>
        <w:rPr>
          <w:rFonts w:hint="eastAsia" w:asciiTheme="minorEastAsia" w:hAnsiTheme="minorEastAsia" w:eastAsiaTheme="minorEastAsia" w:cstheme="minorEastAsia"/>
          <w:spacing w:val="0"/>
          <w:kern w:val="0"/>
          <w:sz w:val="24"/>
          <w:szCs w:val="24"/>
        </w:rPr>
        <w:t>自</w:t>
      </w:r>
      <w:r>
        <w:rPr>
          <w:rFonts w:hint="eastAsia" w:asciiTheme="minorEastAsia" w:hAnsiTheme="minorEastAsia" w:eastAsiaTheme="minorEastAsia" w:cstheme="minorEastAsia"/>
          <w:spacing w:val="0"/>
          <w:kern w:val="0"/>
          <w:sz w:val="24"/>
          <w:szCs w:val="24"/>
          <w:lang w:val="en-US" w:eastAsia="zh-CN"/>
        </w:rPr>
        <w:t>2025年11月</w:t>
      </w:r>
      <w:r>
        <w:rPr>
          <w:rFonts w:hint="eastAsia" w:asciiTheme="minorEastAsia" w:hAnsiTheme="minorEastAsia" w:eastAsiaTheme="minorEastAsia" w:cstheme="minorEastAsia"/>
          <w:spacing w:val="0"/>
          <w:kern w:val="0"/>
          <w:sz w:val="24"/>
          <w:szCs w:val="24"/>
          <w:u w:val="none"/>
          <w:lang w:val="en-US" w:eastAsia="zh-CN"/>
        </w:rPr>
        <w:t>起至2028年11月</w:t>
      </w:r>
      <w:r>
        <w:rPr>
          <w:rFonts w:hint="eastAsia" w:asciiTheme="minorEastAsia" w:hAnsiTheme="minorEastAsia" w:eastAsiaTheme="minorEastAsia" w:cstheme="minorEastAsia"/>
          <w:spacing w:val="0"/>
          <w:kern w:val="0"/>
          <w:sz w:val="24"/>
          <w:szCs w:val="24"/>
        </w:rPr>
        <w:t>止。</w:t>
      </w:r>
    </w:p>
    <w:p w14:paraId="7D620073">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u w:val="none"/>
          <w:lang w:val="en-US" w:eastAsia="zh-CN"/>
        </w:rPr>
      </w:pPr>
      <w:r>
        <w:rPr>
          <w:rFonts w:hint="eastAsia" w:asciiTheme="minorEastAsia" w:hAnsiTheme="minorEastAsia" w:eastAsiaTheme="minorEastAsia" w:cstheme="minorEastAsia"/>
          <w:spacing w:val="0"/>
          <w:kern w:val="0"/>
          <w:sz w:val="24"/>
          <w:szCs w:val="24"/>
          <w:u w:val="none"/>
          <w:lang w:val="en-US" w:eastAsia="zh-CN"/>
        </w:rPr>
        <w:t>本合同自各方法定代表人或授权代表签字并加盖公章</w:t>
      </w:r>
      <w:r>
        <w:rPr>
          <w:rFonts w:hint="eastAsia" w:asciiTheme="minorEastAsia" w:hAnsiTheme="minorEastAsia" w:eastAsiaTheme="minorEastAsia" w:cstheme="minorEastAsia"/>
          <w:spacing w:val="0"/>
          <w:sz w:val="24"/>
          <w:szCs w:val="24"/>
          <w:u w:val="none"/>
          <w:lang w:val="en-US" w:eastAsia="zh-CN"/>
        </w:rPr>
        <w:t>或合同专用章</w:t>
      </w:r>
      <w:r>
        <w:rPr>
          <w:rFonts w:hint="eastAsia" w:asciiTheme="minorEastAsia" w:hAnsiTheme="minorEastAsia" w:eastAsiaTheme="minorEastAsia" w:cstheme="minorEastAsia"/>
          <w:spacing w:val="0"/>
          <w:kern w:val="0"/>
          <w:sz w:val="24"/>
          <w:szCs w:val="24"/>
          <w:u w:val="none"/>
          <w:lang w:val="en-US" w:eastAsia="zh-CN"/>
        </w:rPr>
        <w:t>（注：生效条款可根据实际情况进行调整）生效。</w:t>
      </w:r>
    </w:p>
    <w:p w14:paraId="3FC3DE6F">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本合同未尽事宜及对本合同的任何修改、补充，双方经协商一致后另行签订书面补充协议。在补充协议生效前，仍按本合同执行。</w:t>
      </w:r>
    </w:p>
    <w:p w14:paraId="1A27E483">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rPr>
        <w:t>本合同的附件和补充</w:t>
      </w:r>
      <w:r>
        <w:rPr>
          <w:rFonts w:hint="eastAsia" w:asciiTheme="minorEastAsia" w:hAnsiTheme="minorEastAsia" w:eastAsiaTheme="minorEastAsia" w:cstheme="minorEastAsia"/>
          <w:spacing w:val="0"/>
          <w:kern w:val="0"/>
          <w:sz w:val="24"/>
          <w:szCs w:val="24"/>
          <w:lang w:val="en-US" w:eastAsia="zh-CN"/>
        </w:rPr>
        <w:t>协议</w:t>
      </w:r>
      <w:r>
        <w:rPr>
          <w:rFonts w:hint="eastAsia" w:asciiTheme="minorEastAsia" w:hAnsiTheme="minorEastAsia" w:eastAsiaTheme="minorEastAsia" w:cstheme="minorEastAsia"/>
          <w:spacing w:val="0"/>
          <w:kern w:val="0"/>
          <w:sz w:val="24"/>
          <w:szCs w:val="24"/>
        </w:rPr>
        <w:t>均为本合同不可分割的组成部分，与本合同具有同等的法律效力。</w:t>
      </w:r>
    </w:p>
    <w:p w14:paraId="4AE356AF">
      <w:pPr>
        <w:pStyle w:val="37"/>
        <w:keepNext w:val="0"/>
        <w:keepLines w:val="0"/>
        <w:pageBreakBefore w:val="0"/>
        <w:widowControl w:val="0"/>
        <w:numPr>
          <w:ilvl w:val="0"/>
          <w:numId w:val="11"/>
        </w:numPr>
        <w:kinsoku/>
        <w:wordWrap/>
        <w:overflowPunct/>
        <w:topLinePunct w:val="0"/>
        <w:autoSpaceDE w:val="0"/>
        <w:autoSpaceDN w:val="0"/>
        <w:bidi w:val="0"/>
        <w:ind w:firstLine="480" w:firstLineChars="200"/>
        <w:jc w:val="both"/>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本合同一式肆份，甲方执贰份，乙方执贰份，均具有同等法律效力。</w:t>
      </w:r>
    </w:p>
    <w:p w14:paraId="2A2D2EFF">
      <w:pPr>
        <w:pStyle w:val="37"/>
        <w:keepNext w:val="0"/>
        <w:keepLines w:val="0"/>
        <w:pageBreakBefore w:val="0"/>
        <w:widowControl w:val="0"/>
        <w:numPr>
          <w:ilvl w:val="0"/>
          <w:numId w:val="0"/>
        </w:numPr>
        <w:kinsoku/>
        <w:wordWrap/>
        <w:overflowPunct/>
        <w:topLinePunct w:val="0"/>
        <w:autoSpaceDE w:val="0"/>
        <w:autoSpaceDN w:val="0"/>
        <w:bidi w:val="0"/>
        <w:ind w:firstLine="480" w:firstLineChars="200"/>
        <w:outlineLvl w:val="9"/>
        <w:rPr>
          <w:rFonts w:hint="eastAsia" w:asciiTheme="minorEastAsia" w:hAnsiTheme="minorEastAsia" w:eastAsiaTheme="minorEastAsia" w:cstheme="minorEastAsia"/>
          <w:spacing w:val="0"/>
          <w:kern w:val="0"/>
          <w:sz w:val="24"/>
          <w:szCs w:val="24"/>
          <w:lang w:val="en-US" w:eastAsia="zh-CN"/>
        </w:rPr>
      </w:pPr>
      <w:r>
        <w:rPr>
          <w:rFonts w:hint="eastAsia" w:asciiTheme="minorEastAsia" w:hAnsiTheme="minorEastAsia" w:eastAsiaTheme="minorEastAsia" w:cstheme="minorEastAsia"/>
          <w:spacing w:val="0"/>
          <w:kern w:val="0"/>
          <w:sz w:val="24"/>
          <w:szCs w:val="24"/>
          <w:lang w:val="en-US" w:eastAsia="zh-CN"/>
        </w:rPr>
        <w:t>（以下无合同正文）</w:t>
      </w:r>
    </w:p>
    <w:p w14:paraId="31FE7815">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甲方（盖章）：</w:t>
      </w:r>
    </w:p>
    <w:p w14:paraId="4C562A33">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法定代表人或授权代表（签名）：</w:t>
      </w:r>
    </w:p>
    <w:p w14:paraId="537E8544">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日期：</w:t>
      </w:r>
    </w:p>
    <w:p w14:paraId="48024300">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auto"/>
          <w:spacing w:val="0"/>
          <w:kern w:val="0"/>
          <w:sz w:val="24"/>
          <w:szCs w:val="24"/>
          <w:lang w:val="en-US" w:eastAsia="zh-CN"/>
        </w:rPr>
      </w:pPr>
    </w:p>
    <w:p w14:paraId="2D9A4E80">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乙方（盖章）：</w:t>
      </w:r>
    </w:p>
    <w:p w14:paraId="04590F99">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法定代表人或授权代表（签名）：</w:t>
      </w:r>
    </w:p>
    <w:p w14:paraId="51D48A6E">
      <w:pPr>
        <w:spacing w:line="360" w:lineRule="auto"/>
        <w:ind w:firstLine="482"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日期：</w:t>
      </w:r>
    </w:p>
    <w:p w14:paraId="06B644C8">
      <w:pPr>
        <w:spacing w:line="360" w:lineRule="auto"/>
        <w:rPr>
          <w:rFonts w:hint="eastAsia" w:asciiTheme="minorEastAsia" w:hAnsiTheme="minorEastAsia" w:eastAsiaTheme="minorEastAsia" w:cstheme="minorEastAsia"/>
          <w:bCs/>
          <w:sz w:val="24"/>
          <w:szCs w:val="24"/>
          <w:lang w:val="en-US" w:eastAsia="zh-CN"/>
        </w:rPr>
      </w:pPr>
    </w:p>
    <w:p w14:paraId="113C5E56">
      <w:pPr>
        <w:adjustRightInd w:val="0"/>
        <w:snapToGrid w:val="0"/>
        <w:spacing w:line="360" w:lineRule="auto"/>
        <w:rPr>
          <w:rFonts w:ascii="宋体" w:hAnsi="宋体" w:cs="宋体"/>
          <w:b/>
          <w:bCs/>
          <w:sz w:val="24"/>
          <w:szCs w:val="24"/>
        </w:rPr>
      </w:pPr>
      <w:r>
        <w:rPr>
          <w:rFonts w:hint="eastAsia" w:asciiTheme="minorEastAsia" w:hAnsiTheme="minorEastAsia" w:eastAsiaTheme="minorEastAsia" w:cstheme="minorEastAsia"/>
          <w:b/>
          <w:bCs/>
          <w:sz w:val="24"/>
          <w:szCs w:val="24"/>
        </w:rPr>
        <w:t>注：合同为参考文本，招标人和中标人可共同协商细化合同条款，但不得违背采购文件和响应文件实质性内容（实质性内容指：合同标的、合同价款、付款方式、质量标准、质保期、</w:t>
      </w:r>
      <w:r>
        <w:rPr>
          <w:rFonts w:hint="eastAsia" w:asciiTheme="minorEastAsia" w:hAnsiTheme="minorEastAsia" w:eastAsiaTheme="minorEastAsia" w:cstheme="minorEastAsia"/>
          <w:b/>
          <w:bCs/>
          <w:sz w:val="24"/>
          <w:szCs w:val="24"/>
          <w:lang w:val="en-US" w:eastAsia="zh-CN"/>
        </w:rPr>
        <w:t>供货时间</w:t>
      </w:r>
      <w:r>
        <w:rPr>
          <w:rFonts w:hint="eastAsia" w:asciiTheme="minorEastAsia" w:hAnsiTheme="minorEastAsia" w:eastAsiaTheme="minorEastAsia" w:cstheme="minorEastAsia"/>
          <w:b/>
          <w:bCs/>
          <w:sz w:val="24"/>
          <w:szCs w:val="24"/>
        </w:rPr>
        <w:t>）。</w:t>
      </w:r>
    </w:p>
    <w:bookmarkEnd w:id="19"/>
    <w:p w14:paraId="2835DE3F"/>
    <w:sectPr>
      <w:pgSz w:w="11906" w:h="16838"/>
      <w:pgMar w:top="1361" w:right="1276" w:bottom="1361" w:left="1191" w:header="851" w:footer="992" w:gutter="0"/>
      <w:pgBorders>
        <w:top w:val="none" w:sz="0" w:space="0"/>
        <w:left w:val="none" w:sz="0" w:space="0"/>
        <w:bottom w:val="none" w:sz="0" w:space="0"/>
        <w:right w:val="none" w:sz="0" w:space="0"/>
      </w:pgBorders>
      <w:pgNumType w:start="1"/>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409433-94F5-4CC7-BA22-485AED2EC8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57A0188-F74B-4913-A654-214AF4BF27BE}"/>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方正仿宋_GB2312">
    <w:panose1 w:val="02000000000000000000"/>
    <w:charset w:val="86"/>
    <w:family w:val="auto"/>
    <w:pitch w:val="default"/>
    <w:sig w:usb0="A00002BF" w:usb1="184F6CFA" w:usb2="00000012" w:usb3="00000000" w:csb0="00040001" w:csb1="00000000"/>
    <w:embedRegular r:id="rId3" w:fontKey="{BD943D03-31F1-4FD3-9E4C-6D57E75C07AE}"/>
  </w:font>
  <w:font w:name="仿宋_GB2312">
    <w:panose1 w:val="02010609030101010101"/>
    <w:charset w:val="86"/>
    <w:family w:val="modern"/>
    <w:pitch w:val="default"/>
    <w:sig w:usb0="00000001" w:usb1="080E0000" w:usb2="00000000" w:usb3="00000000" w:csb0="00040000" w:csb1="00000000"/>
    <w:embedRegular r:id="rId4" w:fontKey="{841F5035-01E4-429D-9B40-E63536768072}"/>
  </w:font>
  <w:font w:name="Wingdings 2">
    <w:panose1 w:val="05020102010507070707"/>
    <w:charset w:val="02"/>
    <w:family w:val="auto"/>
    <w:pitch w:val="default"/>
    <w:sig w:usb0="00000000" w:usb1="00000000" w:usb2="00000000" w:usb3="00000000" w:csb0="80000000" w:csb1="00000000"/>
    <w:embedRegular r:id="rId5" w:fontKey="{EA1753E7-71CF-49EA-AF21-B4F7C4768B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792C9">
    <w:pPr>
      <w:pStyle w:val="10"/>
      <w:tabs>
        <w:tab w:val="clear" w:pos="4153"/>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1B701">
    <w:pPr>
      <w:pStyle w:val="10"/>
      <w:tabs>
        <w:tab w:val="clear" w:pos="4153"/>
        <w:tab w:val="clear"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5EF2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ALgBX25AQAAmAMAAA4AAAAAAAAAAQAgAAAAHgEAAGRycy9lMm9Eb2MueG1sUEsFBgAAAAAGAAYA&#10;WQEAAEkFAAAAAA==&#10;">
              <v:fill on="f" focussize="0,0"/>
              <v:stroke on="f"/>
              <v:imagedata o:title=""/>
              <o:lock v:ext="edit" aspectratio="f"/>
              <v:textbox inset="0mm,0mm,0mm,0mm" style="mso-fit-shape-to-text:t;">
                <w:txbxContent>
                  <w:p w14:paraId="0F5EF2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04AFC">
    <w:pPr>
      <w:pStyle w:val="10"/>
      <w:tabs>
        <w:tab w:val="clear" w:pos="4153"/>
        <w:tab w:val="clear" w:pos="8306"/>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7D5072">
                          <w:pPr>
                            <w:pStyle w:val="10"/>
                            <w:tabs>
                              <w:tab w:val="clear" w:pos="4153"/>
                              <w:tab w:val="clear" w:pos="8306"/>
                            </w:tabs>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upright="1">
                      <a:spAutoFit/>
                    </wps:bodyPr>
                  </wps:wsp>
                </a:graphicData>
              </a:graphic>
            </wp:anchor>
          </w:drawing>
        </mc:Choice>
        <mc:Fallback>
          <w:pict>
            <v:shape id="Text Box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v1VNbbgBAACYAwAADgAAAAAAAAABACAAAAAeAQAAZHJzL2Uyb0RvYy54bWxQSwUGAAAAAAYABgBZ&#10;AQAASAUAAAAA&#10;">
              <v:fill on="f" focussize="0,0"/>
              <v:stroke on="f"/>
              <v:imagedata o:title=""/>
              <o:lock v:ext="edit" aspectratio="f"/>
              <v:textbox inset="0mm,0mm,0mm,0mm" style="mso-fit-shape-to-text:t;">
                <w:txbxContent>
                  <w:p w14:paraId="7D7D5072">
                    <w:pPr>
                      <w:pStyle w:val="10"/>
                      <w:tabs>
                        <w:tab w:val="clear" w:pos="4153"/>
                        <w:tab w:val="clear" w:pos="8306"/>
                      </w:tabs>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410B">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D766B"/>
    <w:multiLevelType w:val="singleLevel"/>
    <w:tmpl w:val="962D766B"/>
    <w:lvl w:ilvl="0" w:tentative="0">
      <w:start w:val="1"/>
      <w:numFmt w:val="chineseCounting"/>
      <w:suff w:val="nothing"/>
      <w:lvlText w:val="%1、"/>
      <w:lvlJc w:val="left"/>
      <w:rPr>
        <w:rFonts w:hint="eastAsia"/>
      </w:rPr>
    </w:lvl>
  </w:abstractNum>
  <w:abstractNum w:abstractNumId="1">
    <w:nsid w:val="9F68DA72"/>
    <w:multiLevelType w:val="multilevel"/>
    <w:tmpl w:val="9F68DA7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B5FDFD3D"/>
    <w:multiLevelType w:val="multilevel"/>
    <w:tmpl w:val="B5FDFD3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B7FF6FB2"/>
    <w:multiLevelType w:val="singleLevel"/>
    <w:tmpl w:val="B7FF6FB2"/>
    <w:lvl w:ilvl="0" w:tentative="0">
      <w:start w:val="4"/>
      <w:numFmt w:val="chineseCounting"/>
      <w:suff w:val="space"/>
      <w:lvlText w:val="第%1章"/>
      <w:lvlJc w:val="left"/>
      <w:rPr>
        <w:rFonts w:hint="eastAsia"/>
      </w:rPr>
    </w:lvl>
  </w:abstractNum>
  <w:abstractNum w:abstractNumId="4">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39"/>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DBF373F5"/>
    <w:multiLevelType w:val="multilevel"/>
    <w:tmpl w:val="DBF373F5"/>
    <w:lvl w:ilvl="0" w:tentative="0">
      <w:start w:val="1"/>
      <w:numFmt w:val="chineseCounting"/>
      <w:pStyle w:val="37"/>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00000002"/>
    <w:multiLevelType w:val="singleLevel"/>
    <w:tmpl w:val="00000002"/>
    <w:lvl w:ilvl="0" w:tentative="0">
      <w:start w:val="1"/>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CFC034"/>
    <w:multiLevelType w:val="singleLevel"/>
    <w:tmpl w:val="00CFC034"/>
    <w:lvl w:ilvl="0" w:tentative="0">
      <w:start w:val="1"/>
      <w:numFmt w:val="decimal"/>
      <w:lvlText w:val="%1."/>
      <w:lvlJc w:val="left"/>
      <w:pPr>
        <w:tabs>
          <w:tab w:val="left" w:pos="312"/>
        </w:tabs>
      </w:pPr>
    </w:lvl>
  </w:abstractNum>
  <w:abstractNum w:abstractNumId="9">
    <w:nsid w:val="0CE3D4C5"/>
    <w:multiLevelType w:val="multilevel"/>
    <w:tmpl w:val="0CE3D4C5"/>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3AFFC0F8"/>
    <w:multiLevelType w:val="multilevel"/>
    <w:tmpl w:val="3AFFC0F8"/>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space"/>
      <w:lvlText w:val="(%4 )"/>
      <w:lvlJc w:val="left"/>
      <w:pPr>
        <w:tabs>
          <w:tab w:val="left" w:pos="420"/>
        </w:tabs>
        <w:ind w:left="0" w:firstLine="0"/>
      </w:pPr>
      <w:rPr>
        <w:rFonts w:hint="default" w:ascii="宋体" w:hAnsi="宋体" w:eastAsia="宋体" w:cs="宋体"/>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4BBD7475"/>
    <w:multiLevelType w:val="multilevel"/>
    <w:tmpl w:val="4BBD7475"/>
    <w:lvl w:ilvl="0" w:tentative="0">
      <w:start w:val="1"/>
      <w:numFmt w:val="chineseCounting"/>
      <w:pStyle w:val="36"/>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2">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38"/>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3">
    <w:nsid w:val="5FBA3FAF"/>
    <w:multiLevelType w:val="multilevel"/>
    <w:tmpl w:val="5FBA3FAF"/>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11"/>
  </w:num>
  <w:num w:numId="2">
    <w:abstractNumId w:val="5"/>
  </w:num>
  <w:num w:numId="3">
    <w:abstractNumId w:val="12"/>
  </w:num>
  <w:num w:numId="4">
    <w:abstractNumId w:val="4"/>
  </w:num>
  <w:num w:numId="5">
    <w:abstractNumId w:val="3"/>
  </w:num>
  <w:num w:numId="6">
    <w:abstractNumId w:val="0"/>
  </w:num>
  <w:num w:numId="7">
    <w:abstractNumId w:val="8"/>
  </w:num>
  <w:num w:numId="8">
    <w:abstractNumId w:val="6"/>
  </w:num>
  <w:num w:numId="9">
    <w:abstractNumId w:val="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kZjk0YzVhNjFkZmE2ODQzZWI5Y2FiMDRhZGU5MTkifQ=="/>
  </w:docVars>
  <w:rsids>
    <w:rsidRoot w:val="001232E2"/>
    <w:rsid w:val="000469F1"/>
    <w:rsid w:val="001232E2"/>
    <w:rsid w:val="00391A86"/>
    <w:rsid w:val="00AE2C8D"/>
    <w:rsid w:val="00D512F4"/>
    <w:rsid w:val="00E35342"/>
    <w:rsid w:val="02F7493F"/>
    <w:rsid w:val="032375D0"/>
    <w:rsid w:val="04133912"/>
    <w:rsid w:val="06B417B2"/>
    <w:rsid w:val="08D92601"/>
    <w:rsid w:val="0A167AD7"/>
    <w:rsid w:val="0B4F78D3"/>
    <w:rsid w:val="0F8B77EF"/>
    <w:rsid w:val="116A6B7F"/>
    <w:rsid w:val="11D554E1"/>
    <w:rsid w:val="12D13E2D"/>
    <w:rsid w:val="13233052"/>
    <w:rsid w:val="171B5900"/>
    <w:rsid w:val="1C5F48E8"/>
    <w:rsid w:val="1E401825"/>
    <w:rsid w:val="20362BF5"/>
    <w:rsid w:val="21C556E3"/>
    <w:rsid w:val="25182878"/>
    <w:rsid w:val="2780757C"/>
    <w:rsid w:val="2B0E38F9"/>
    <w:rsid w:val="2B9F49EB"/>
    <w:rsid w:val="2BDF5122"/>
    <w:rsid w:val="2CBA5242"/>
    <w:rsid w:val="2D732697"/>
    <w:rsid w:val="30E90710"/>
    <w:rsid w:val="30EB518F"/>
    <w:rsid w:val="32B51238"/>
    <w:rsid w:val="349B121B"/>
    <w:rsid w:val="35E95061"/>
    <w:rsid w:val="365E4D8B"/>
    <w:rsid w:val="36D151EE"/>
    <w:rsid w:val="385775AE"/>
    <w:rsid w:val="3897729A"/>
    <w:rsid w:val="38C94395"/>
    <w:rsid w:val="3BE636D8"/>
    <w:rsid w:val="3C814672"/>
    <w:rsid w:val="40055B42"/>
    <w:rsid w:val="402E5098"/>
    <w:rsid w:val="41E63413"/>
    <w:rsid w:val="42C14ABE"/>
    <w:rsid w:val="46494631"/>
    <w:rsid w:val="484A0DBA"/>
    <w:rsid w:val="485514EB"/>
    <w:rsid w:val="4A0B2A89"/>
    <w:rsid w:val="4BAD1567"/>
    <w:rsid w:val="4F46242A"/>
    <w:rsid w:val="54E94479"/>
    <w:rsid w:val="55CF4A91"/>
    <w:rsid w:val="55F681B3"/>
    <w:rsid w:val="591C5BCE"/>
    <w:rsid w:val="59DF551C"/>
    <w:rsid w:val="5A333C62"/>
    <w:rsid w:val="5A8206AF"/>
    <w:rsid w:val="5C153296"/>
    <w:rsid w:val="5C916A0B"/>
    <w:rsid w:val="5DD26069"/>
    <w:rsid w:val="5E4C4FFC"/>
    <w:rsid w:val="5FB54A36"/>
    <w:rsid w:val="61CF58D0"/>
    <w:rsid w:val="643054C2"/>
    <w:rsid w:val="673B6266"/>
    <w:rsid w:val="683A11F7"/>
    <w:rsid w:val="693303EA"/>
    <w:rsid w:val="69336D45"/>
    <w:rsid w:val="693E0D4D"/>
    <w:rsid w:val="69F2745B"/>
    <w:rsid w:val="6EC04CD2"/>
    <w:rsid w:val="6EC60BB9"/>
    <w:rsid w:val="6F6B5112"/>
    <w:rsid w:val="6FC67518"/>
    <w:rsid w:val="71323E71"/>
    <w:rsid w:val="71944666"/>
    <w:rsid w:val="769E1B15"/>
    <w:rsid w:val="773D3C88"/>
    <w:rsid w:val="77EB1AD8"/>
    <w:rsid w:val="7DBF630E"/>
    <w:rsid w:val="9FDC8DBD"/>
    <w:rsid w:val="BCDDF6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360" w:lineRule="auto"/>
      <w:jc w:val="center"/>
      <w:outlineLvl w:val="0"/>
    </w:pPr>
    <w:rPr>
      <w:b/>
      <w:bCs/>
      <w:kern w:val="44"/>
      <w:sz w:val="32"/>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widowControl/>
      <w:autoSpaceDE/>
      <w:autoSpaceDN/>
      <w:adjustRightInd/>
      <w:snapToGrid/>
      <w:spacing w:line="240" w:lineRule="auto"/>
      <w:ind w:firstLine="0" w:firstLineChars="0"/>
      <w:jc w:val="left"/>
    </w:pPr>
    <w:rPr>
      <w:rFonts w:ascii="Times New Roman" w:hAnsi="Times New Roman" w:eastAsia="宋体" w:cs="Times New Roman"/>
      <w:kern w:val="0"/>
      <w:szCs w:val="20"/>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480" w:lineRule="auto"/>
      <w:jc w:val="left"/>
      <w:textAlignment w:val="baseline"/>
    </w:pPr>
    <w:rPr>
      <w:sz w:val="24"/>
    </w:rPr>
  </w:style>
  <w:style w:type="paragraph" w:styleId="7">
    <w:name w:val="Body Text Indent"/>
    <w:basedOn w:val="1"/>
    <w:qFormat/>
    <w:uiPriority w:val="0"/>
    <w:pPr>
      <w:spacing w:line="600" w:lineRule="exact"/>
      <w:ind w:left="1" w:firstLine="360" w:firstLineChars="150"/>
    </w:pPr>
    <w:rPr>
      <w:rFonts w:ascii="宋体" w:hAnsi="宋体"/>
      <w:sz w:val="24"/>
      <w:szCs w:val="26"/>
    </w:rPr>
  </w:style>
  <w:style w:type="paragraph" w:styleId="8">
    <w:name w:val="Plain Text"/>
    <w:basedOn w:val="1"/>
    <w:qFormat/>
    <w:uiPriority w:val="0"/>
    <w:rPr>
      <w:rFonts w:ascii="宋体" w:hAnsi="Courier New"/>
      <w:szCs w:val="21"/>
    </w:rPr>
  </w:style>
  <w:style w:type="paragraph" w:styleId="9">
    <w:name w:val="Balloon Text"/>
    <w:basedOn w:val="1"/>
    <w:link w:val="28"/>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toc 1"/>
    <w:basedOn w:val="1"/>
    <w:next w:val="1"/>
    <w:qFormat/>
    <w:uiPriority w:val="0"/>
    <w:pPr>
      <w:tabs>
        <w:tab w:val="right" w:leader="dot" w:pos="9431"/>
      </w:tabs>
      <w:spacing w:line="360" w:lineRule="auto"/>
    </w:pPr>
  </w:style>
  <w:style w:type="paragraph" w:styleId="12">
    <w:name w:val="Subtitle"/>
    <w:basedOn w:val="1"/>
    <w:next w:val="1"/>
    <w:qFormat/>
    <w:uiPriority w:val="0"/>
    <w:pPr>
      <w:spacing w:before="240" w:after="60" w:line="312" w:lineRule="auto"/>
      <w:jc w:val="left"/>
      <w:outlineLvl w:val="1"/>
    </w:pPr>
    <w:rPr>
      <w:rFonts w:ascii="Cambria" w:hAnsi="Cambria"/>
      <w:b/>
      <w:bCs/>
      <w:kern w:val="28"/>
      <w:sz w:val="28"/>
      <w:szCs w:val="32"/>
    </w:rPr>
  </w:style>
  <w:style w:type="paragraph" w:styleId="13">
    <w:name w:val="toc 2"/>
    <w:basedOn w:val="1"/>
    <w:next w:val="1"/>
    <w:qFormat/>
    <w:uiPriority w:val="0"/>
    <w:pPr>
      <w:ind w:left="420" w:leftChars="200"/>
    </w:p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olor w:val="000000"/>
      <w:kern w:val="0"/>
      <w:sz w:val="20"/>
    </w:rPr>
  </w:style>
  <w:style w:type="paragraph" w:styleId="15">
    <w:name w:val="Normal (Web)"/>
    <w:basedOn w:val="1"/>
    <w:qFormat/>
    <w:uiPriority w:val="0"/>
    <w:pPr>
      <w:spacing w:before="0" w:beforeAutospacing="0" w:after="150" w:afterAutospacing="0"/>
      <w:ind w:left="0" w:right="0"/>
      <w:jc w:val="left"/>
    </w:pPr>
    <w:rPr>
      <w:kern w:val="0"/>
      <w:sz w:val="24"/>
      <w:lang w:val="en-US" w:eastAsia="zh-CN" w:bidi="ar"/>
    </w:rPr>
  </w:style>
  <w:style w:type="paragraph" w:styleId="16">
    <w:name w:val="Title"/>
    <w:basedOn w:val="1"/>
    <w:qFormat/>
    <w:uiPriority w:val="0"/>
    <w:pPr>
      <w:spacing w:before="240" w:after="60"/>
      <w:jc w:val="center"/>
      <w:outlineLvl w:val="0"/>
    </w:pPr>
    <w:rPr>
      <w:rFonts w:ascii="Calibri Light" w:hAnsi="Calibri Light" w:eastAsia="宋体" w:cs="Times New Roman"/>
      <w:b/>
      <w:bCs/>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rFonts w:ascii="Times New Roman" w:hAnsi="Times New Roman" w:eastAsia="宋体" w:cs="Times New Roman"/>
      <w:b/>
      <w:bCs/>
      <w:sz w:val="28"/>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_Style 5"/>
    <w:basedOn w:val="3"/>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2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Table Paragraph"/>
    <w:basedOn w:val="1"/>
    <w:qFormat/>
    <w:uiPriority w:val="0"/>
  </w:style>
  <w:style w:type="paragraph" w:customStyle="1" w:styleId="27">
    <w:name w:val="正文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批注框文本 Char"/>
    <w:basedOn w:val="19"/>
    <w:link w:val="9"/>
    <w:qFormat/>
    <w:uiPriority w:val="0"/>
    <w:rPr>
      <w:kern w:val="2"/>
      <w:sz w:val="18"/>
      <w:szCs w:val="18"/>
    </w:rPr>
  </w:style>
  <w:style w:type="character" w:customStyle="1" w:styleId="29">
    <w:name w:val="font41"/>
    <w:basedOn w:val="19"/>
    <w:qFormat/>
    <w:uiPriority w:val="0"/>
    <w:rPr>
      <w:rFonts w:hint="eastAsia" w:ascii="宋体" w:hAnsi="宋体" w:eastAsia="宋体" w:cs="宋体"/>
      <w:color w:val="000000"/>
      <w:sz w:val="24"/>
      <w:szCs w:val="24"/>
      <w:u w:val="none"/>
    </w:rPr>
  </w:style>
  <w:style w:type="character" w:customStyle="1" w:styleId="30">
    <w:name w:val="font21"/>
    <w:basedOn w:val="19"/>
    <w:qFormat/>
    <w:uiPriority w:val="0"/>
    <w:rPr>
      <w:rFonts w:hint="eastAsia" w:ascii="宋体" w:hAnsi="宋体" w:eastAsia="宋体" w:cs="宋体"/>
      <w:color w:val="FF0000"/>
      <w:sz w:val="24"/>
      <w:szCs w:val="24"/>
      <w:u w:val="none"/>
    </w:rPr>
  </w:style>
  <w:style w:type="paragraph" w:customStyle="1" w:styleId="31">
    <w:name w:val="_Style 11"/>
    <w:basedOn w:val="1"/>
    <w:next w:val="32"/>
    <w:qFormat/>
    <w:uiPriority w:val="34"/>
    <w:pPr>
      <w:ind w:firstLine="420" w:firstLineChars="200"/>
    </w:pPr>
    <w:rPr>
      <w:rFonts w:ascii="等线" w:hAnsi="等线" w:eastAsia="等线"/>
      <w:sz w:val="21"/>
      <w:szCs w:val="22"/>
    </w:rPr>
  </w:style>
  <w:style w:type="paragraph" w:styleId="32">
    <w:name w:val="List Paragraph"/>
    <w:basedOn w:val="1"/>
    <w:qFormat/>
    <w:uiPriority w:val="0"/>
    <w:pPr>
      <w:ind w:firstLine="420" w:firstLineChars="200"/>
    </w:pPr>
    <w:rPr>
      <w:rFonts w:ascii="Calibri" w:hAnsi="Calibri"/>
      <w:szCs w:val="22"/>
    </w:rPr>
  </w:style>
  <w:style w:type="paragraph" w:customStyle="1" w:styleId="33">
    <w:name w:val="合同大标题"/>
    <w:basedOn w:val="1"/>
    <w:next w:val="1"/>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eastAsia="宋体" w:cs="宋体"/>
      <w:b/>
      <w:snapToGrid w:val="0"/>
      <w:color w:val="000000"/>
      <w:spacing w:val="20"/>
      <w:kern w:val="32"/>
      <w:sz w:val="32"/>
      <w:szCs w:val="22"/>
    </w:rPr>
  </w:style>
  <w:style w:type="paragraph" w:customStyle="1" w:styleId="34">
    <w:name w:val="合同主体"/>
    <w:basedOn w:val="1"/>
    <w:next w:val="1"/>
    <w:qFormat/>
    <w:uiPriority w:val="0"/>
    <w:pPr>
      <w:adjustRightInd w:val="0"/>
      <w:snapToGrid w:val="0"/>
      <w:spacing w:line="360" w:lineRule="auto"/>
      <w:ind w:firstLine="480" w:firstLineChars="200"/>
      <w:jc w:val="left"/>
    </w:pPr>
    <w:rPr>
      <w:rFonts w:hint="eastAsia" w:ascii="Times New Roman" w:hAnsi="Times New Roman" w:eastAsia="宋体" w:cs="宋体"/>
      <w:b/>
      <w:kern w:val="2"/>
      <w:sz w:val="24"/>
      <w:szCs w:val="22"/>
      <w:lang w:eastAsia="zh-TW"/>
    </w:rPr>
  </w:style>
  <w:style w:type="paragraph" w:customStyle="1" w:styleId="35">
    <w:name w:val="合同正文"/>
    <w:basedOn w:val="1"/>
    <w:qFormat/>
    <w:uiPriority w:val="0"/>
    <w:pPr>
      <w:overflowPunct w:val="0"/>
      <w:adjustRightInd w:val="0"/>
      <w:snapToGrid w:val="0"/>
      <w:spacing w:line="360" w:lineRule="auto"/>
      <w:ind w:firstLine="480" w:firstLineChars="200"/>
      <w:jc w:val="left"/>
    </w:pPr>
    <w:rPr>
      <w:rFonts w:ascii="宋体" w:hAnsi="宋体" w:eastAsia="宋体" w:cs="宋体"/>
      <w:snapToGrid w:val="0"/>
      <w:color w:val="000000"/>
      <w:kern w:val="2"/>
      <w:sz w:val="24"/>
      <w:szCs w:val="22"/>
    </w:rPr>
  </w:style>
  <w:style w:type="paragraph" w:customStyle="1" w:styleId="36">
    <w:name w:val="合同一级标题"/>
    <w:basedOn w:val="16"/>
    <w:next w:val="1"/>
    <w:qFormat/>
    <w:uiPriority w:val="0"/>
    <w:pPr>
      <w:keepNext w:val="0"/>
      <w:keepLines w:val="0"/>
      <w:numPr>
        <w:ilvl w:val="0"/>
        <w:numId w:val="1"/>
      </w:numPr>
      <w:spacing w:before="280" w:after="280" w:line="360" w:lineRule="auto"/>
      <w:ind w:firstLine="0" w:firstLineChars="0"/>
      <w:outlineLvl w:val="1"/>
    </w:pPr>
    <w:rPr>
      <w:rFonts w:hint="eastAsia" w:ascii="Arial Bold" w:hAnsi="Arial Bold" w:eastAsia="宋体" w:cs="宋体"/>
      <w:snapToGrid w:val="0"/>
      <w:color w:val="000000"/>
      <w:spacing w:val="20"/>
      <w:kern w:val="44"/>
      <w:sz w:val="28"/>
    </w:rPr>
  </w:style>
  <w:style w:type="paragraph" w:customStyle="1" w:styleId="37">
    <w:name w:val="合同二级标题"/>
    <w:basedOn w:val="1"/>
    <w:next w:val="1"/>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eastAsia="宋体" w:cs="宋体"/>
      <w:color w:val="000000"/>
      <w:kern w:val="2"/>
      <w:sz w:val="24"/>
      <w:szCs w:val="22"/>
    </w:rPr>
  </w:style>
  <w:style w:type="paragraph" w:customStyle="1" w:styleId="38">
    <w:name w:val="合同三级标题"/>
    <w:basedOn w:val="1"/>
    <w:next w:val="35"/>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Calibri" w:hAnsi="Calibri" w:eastAsia="宋体" w:cs="宋体"/>
      <w:snapToGrid w:val="0"/>
      <w:color w:val="000000"/>
      <w:kern w:val="2"/>
      <w:szCs w:val="22"/>
      <w:lang w:eastAsia="en-US"/>
    </w:rPr>
  </w:style>
  <w:style w:type="paragraph" w:customStyle="1" w:styleId="39">
    <w:name w:val="合同四级标题"/>
    <w:basedOn w:val="1"/>
    <w:qFormat/>
    <w:uiPriority w:val="0"/>
    <w:pPr>
      <w:numPr>
        <w:ilvl w:val="3"/>
        <w:numId w:val="4"/>
      </w:numPr>
      <w:overflowPunct/>
      <w:adjustRightInd w:val="0"/>
      <w:snapToGrid w:val="0"/>
      <w:spacing w:line="360" w:lineRule="auto"/>
      <w:ind w:firstLine="480" w:firstLineChars="200"/>
      <w:jc w:val="left"/>
    </w:pPr>
    <w:rPr>
      <w:rFonts w:ascii="Calibri" w:hAnsi="Calibri" w:eastAsia="宋体" w:cs="宋体"/>
      <w:color w:val="000000"/>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4965</Words>
  <Characters>5297</Characters>
  <Lines>123</Lines>
  <Paragraphs>34</Paragraphs>
  <TotalTime>0</TotalTime>
  <ScaleCrop>false</ScaleCrop>
  <LinksUpToDate>false</LinksUpToDate>
  <CharactersWithSpaces>5544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2020-12-09T10:51:00Z</dcterms:created>
  <dc:creator>Administrator</dc:creator>
  <cp:lastModifiedBy>天回</cp:lastModifiedBy>
  <dcterms:modified xsi:type="dcterms:W3CDTF">2025-11-21T11:06:43Z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640592718B5A490E8E3C42013C0BBDBB</vt:lpwstr>
  </property>
  <property fmtid="{D5CDD505-2E9C-101B-9397-08002B2CF9AE}" pid="4" name="KSOTemplateDocerSaveRecord">
    <vt:lpwstr>eyJoZGlkIjoiNDc2ODkxZDBkNjZmMDY5YmU1ZjIwMTI3YTEyMTUxYzEiLCJ1c2VySWQiOiI3ODAzNTA3In0=</vt:lpwstr>
  </property>
</Properties>
</file>