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3B73FE92">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3E27ADD8">
            <w:pPr>
              <w:jc w:val="left"/>
              <w:rPr>
                <w:rFonts w:ascii="宋体" w:hAnsi="宋体" w:cs="宋体"/>
                <w:color w:val="auto"/>
                <w:spacing w:val="20"/>
                <w:sz w:val="72"/>
                <w:szCs w:val="72"/>
                <w:highlight w:val="none"/>
              </w:rPr>
            </w:pPr>
          </w:p>
          <w:p w14:paraId="0CE8FB12">
            <w:pPr>
              <w:pStyle w:val="34"/>
              <w:ind w:firstLine="420"/>
              <w:rPr>
                <w:rFonts w:hAnsi="宋体" w:cs="宋体"/>
                <w:color w:val="auto"/>
                <w:highlight w:val="none"/>
              </w:rPr>
            </w:pPr>
          </w:p>
          <w:p w14:paraId="7B43E29D">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32A78319">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2CEEC132">
            <w:pPr>
              <w:pStyle w:val="13"/>
              <w:ind w:firstLine="833" w:firstLineChars="395"/>
              <w:rPr>
                <w:rFonts w:hAnsi="宋体" w:cs="宋体"/>
                <w:b/>
                <w:color w:val="auto"/>
                <w:highlight w:val="none"/>
              </w:rPr>
            </w:pPr>
          </w:p>
          <w:p w14:paraId="10C118CE">
            <w:pPr>
              <w:pStyle w:val="13"/>
              <w:ind w:firstLine="833" w:firstLineChars="395"/>
              <w:rPr>
                <w:rFonts w:hAnsi="宋体" w:cs="宋体"/>
                <w:b/>
                <w:color w:val="auto"/>
                <w:highlight w:val="none"/>
              </w:rPr>
            </w:pPr>
          </w:p>
          <w:p w14:paraId="52694B35">
            <w:pPr>
              <w:pStyle w:val="13"/>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735"/>
            </w:tblGrid>
            <w:tr w14:paraId="48EFDD00">
              <w:tblPrEx>
                <w:tblCellMar>
                  <w:top w:w="0" w:type="dxa"/>
                  <w:left w:w="108" w:type="dxa"/>
                  <w:bottom w:w="0" w:type="dxa"/>
                  <w:right w:w="108" w:type="dxa"/>
                </w:tblCellMar>
              </w:tblPrEx>
              <w:trPr>
                <w:trHeight w:val="1229" w:hRule="atLeast"/>
                <w:jc w:val="center"/>
              </w:trPr>
              <w:tc>
                <w:tcPr>
                  <w:tcW w:w="1865" w:type="dxa"/>
                  <w:noWrap/>
                  <w:vAlign w:val="center"/>
                </w:tcPr>
                <w:p w14:paraId="1863D346">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6FA2206F">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恩施机场痕量爆炸物检测设备维保服务采购项目</w:t>
                  </w:r>
                </w:p>
              </w:tc>
            </w:tr>
          </w:tbl>
          <w:p w14:paraId="06FA468B">
            <w:pPr>
              <w:pStyle w:val="13"/>
              <w:tabs>
                <w:tab w:val="left" w:pos="703"/>
              </w:tabs>
              <w:ind w:firstLine="480"/>
              <w:rPr>
                <w:rFonts w:hAnsi="宋体" w:cs="宋体"/>
                <w:color w:val="auto"/>
                <w:sz w:val="24"/>
                <w:szCs w:val="24"/>
                <w:highlight w:val="none"/>
              </w:rPr>
            </w:pPr>
          </w:p>
          <w:p w14:paraId="29E26A91">
            <w:pPr>
              <w:pStyle w:val="13"/>
              <w:tabs>
                <w:tab w:val="left" w:pos="703"/>
              </w:tabs>
              <w:ind w:firstLine="480"/>
              <w:rPr>
                <w:rFonts w:hAnsi="宋体" w:cs="宋体"/>
                <w:color w:val="auto"/>
                <w:sz w:val="24"/>
                <w:szCs w:val="24"/>
                <w:highlight w:val="none"/>
              </w:rPr>
            </w:pPr>
          </w:p>
          <w:p w14:paraId="20BE23FC">
            <w:pPr>
              <w:pStyle w:val="13"/>
              <w:tabs>
                <w:tab w:val="left" w:pos="703"/>
              </w:tabs>
              <w:rPr>
                <w:rFonts w:hAnsi="宋体" w:cs="宋体"/>
                <w:color w:val="auto"/>
                <w:sz w:val="24"/>
                <w:szCs w:val="24"/>
                <w:highlight w:val="none"/>
              </w:rPr>
            </w:pPr>
          </w:p>
          <w:p w14:paraId="719859F4">
            <w:pPr>
              <w:pStyle w:val="13"/>
              <w:rPr>
                <w:rFonts w:hAnsi="宋体" w:cs="宋体"/>
                <w:color w:val="auto"/>
                <w:sz w:val="30"/>
                <w:szCs w:val="30"/>
                <w:highlight w:val="none"/>
              </w:rPr>
            </w:pPr>
          </w:p>
          <w:p w14:paraId="4C2CAF0F">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6C320DCC">
              <w:tblPrEx>
                <w:tblCellMar>
                  <w:top w:w="0" w:type="dxa"/>
                  <w:left w:w="108" w:type="dxa"/>
                  <w:bottom w:w="0" w:type="dxa"/>
                  <w:right w:w="108" w:type="dxa"/>
                </w:tblCellMar>
              </w:tblPrEx>
              <w:trPr>
                <w:trHeight w:val="555" w:hRule="atLeast"/>
                <w:jc w:val="center"/>
              </w:trPr>
              <w:tc>
                <w:tcPr>
                  <w:tcW w:w="1906" w:type="dxa"/>
                  <w:noWrap/>
                </w:tcPr>
                <w:p w14:paraId="7DCFC6AA">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18F56CE2">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恩施机场有限责任公司</w:t>
                  </w:r>
                </w:p>
              </w:tc>
            </w:tr>
            <w:tr w14:paraId="042C8D51">
              <w:tblPrEx>
                <w:tblCellMar>
                  <w:top w:w="0" w:type="dxa"/>
                  <w:left w:w="108" w:type="dxa"/>
                  <w:bottom w:w="0" w:type="dxa"/>
                  <w:right w:w="108" w:type="dxa"/>
                </w:tblCellMar>
              </w:tblPrEx>
              <w:trPr>
                <w:trHeight w:val="569" w:hRule="atLeast"/>
                <w:jc w:val="center"/>
              </w:trPr>
              <w:tc>
                <w:tcPr>
                  <w:tcW w:w="1906" w:type="dxa"/>
                  <w:noWrap/>
                </w:tcPr>
                <w:p w14:paraId="5EC01DD0">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12A9ED6F">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12</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12日</w:t>
                  </w:r>
                </w:p>
              </w:tc>
            </w:tr>
          </w:tbl>
          <w:p w14:paraId="54E35C15">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2D980394">
      <w:pPr>
        <w:pStyle w:val="62"/>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35AD8DAD">
      <w:pPr>
        <w:jc w:val="center"/>
        <w:outlineLvl w:val="0"/>
        <w:rPr>
          <w:rFonts w:hint="eastAsia" w:ascii="黑体" w:hAnsi="黑体" w:eastAsia="黑体" w:cs="黑体"/>
          <w:sz w:val="48"/>
          <w:szCs w:val="52"/>
        </w:rPr>
      </w:pPr>
      <w:bookmarkStart w:id="0" w:name="_Toc2691"/>
      <w:bookmarkStart w:id="1" w:name="_Toc19556"/>
      <w:bookmarkStart w:id="2" w:name="_Toc21766"/>
      <w:bookmarkStart w:id="3" w:name="_Toc15581"/>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p>
    <w:p w14:paraId="7BB36D7A">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_Toc27845 </w:instrText>
      </w:r>
      <w:r>
        <w:rPr>
          <w:rFonts w:hint="eastAsia" w:ascii="等线" w:hAnsi="等线" w:eastAsia="等线" w:cs="等线"/>
          <w:sz w:val="28"/>
          <w:szCs w:val="28"/>
        </w:rPr>
        <w:fldChar w:fldCharType="separate"/>
      </w:r>
      <w:r>
        <w:rPr>
          <w:rFonts w:hint="eastAsia" w:ascii="等线" w:hAnsi="等线" w:eastAsia="等线" w:cs="等线"/>
          <w:sz w:val="28"/>
          <w:szCs w:val="28"/>
        </w:rPr>
        <w:t>第一章  询价函</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_Toc27845 \h </w:instrText>
      </w:r>
      <w:r>
        <w:rPr>
          <w:rFonts w:hint="eastAsia" w:ascii="等线" w:hAnsi="等线" w:eastAsia="等线" w:cs="等线"/>
          <w:sz w:val="28"/>
          <w:szCs w:val="28"/>
        </w:rPr>
        <w:fldChar w:fldCharType="separate"/>
      </w:r>
      <w:r>
        <w:rPr>
          <w:rFonts w:hint="eastAsia" w:ascii="等线" w:hAnsi="等线" w:eastAsia="等线" w:cs="等线"/>
          <w:sz w:val="28"/>
          <w:szCs w:val="28"/>
        </w:rPr>
        <w:t>1</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F393EBA">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_Toc10198 </w:instrText>
      </w:r>
      <w:r>
        <w:rPr>
          <w:rFonts w:hint="eastAsia" w:ascii="等线" w:hAnsi="等线" w:eastAsia="等线" w:cs="等线"/>
          <w:sz w:val="28"/>
          <w:szCs w:val="28"/>
        </w:rPr>
        <w:fldChar w:fldCharType="separate"/>
      </w:r>
      <w:r>
        <w:rPr>
          <w:rFonts w:hint="eastAsia" w:ascii="等线" w:hAnsi="等线" w:eastAsia="等线" w:cs="等线"/>
          <w:sz w:val="28"/>
          <w:szCs w:val="28"/>
        </w:rPr>
        <w:t>第</w:t>
      </w:r>
      <w:r>
        <w:rPr>
          <w:rFonts w:hint="eastAsia" w:ascii="等线" w:hAnsi="等线" w:eastAsia="等线" w:cs="等线"/>
          <w:sz w:val="28"/>
          <w:szCs w:val="28"/>
          <w:lang w:val="en-US" w:eastAsia="zh-CN"/>
        </w:rPr>
        <w:t>二</w:t>
      </w:r>
      <w:r>
        <w:rPr>
          <w:rFonts w:hint="eastAsia" w:ascii="等线" w:hAnsi="等线" w:eastAsia="等线" w:cs="等线"/>
          <w:sz w:val="28"/>
          <w:szCs w:val="28"/>
        </w:rPr>
        <w:t>章  询价评议</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_Toc10198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F07A24C">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_Toc14456 </w:instrText>
      </w:r>
      <w:r>
        <w:rPr>
          <w:rFonts w:hint="eastAsia" w:ascii="等线" w:hAnsi="等线" w:eastAsia="等线" w:cs="等线"/>
          <w:sz w:val="28"/>
          <w:szCs w:val="28"/>
        </w:rPr>
        <w:fldChar w:fldCharType="separate"/>
      </w:r>
      <w:r>
        <w:rPr>
          <w:rFonts w:hint="eastAsia" w:ascii="等线" w:hAnsi="等线" w:eastAsia="等线" w:cs="等线"/>
          <w:sz w:val="28"/>
          <w:szCs w:val="28"/>
        </w:rPr>
        <w:t>一、询价方法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_Toc14456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FB44E75">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_Toc15804 </w:instrText>
      </w:r>
      <w:r>
        <w:rPr>
          <w:rFonts w:hint="eastAsia" w:ascii="等线" w:hAnsi="等线" w:eastAsia="等线" w:cs="等线"/>
          <w:sz w:val="28"/>
          <w:szCs w:val="28"/>
        </w:rPr>
        <w:fldChar w:fldCharType="separate"/>
      </w:r>
      <w:r>
        <w:rPr>
          <w:rFonts w:hint="eastAsia" w:ascii="等线" w:hAnsi="等线" w:eastAsia="等线" w:cs="等线"/>
          <w:sz w:val="28"/>
          <w:szCs w:val="28"/>
        </w:rPr>
        <w:t>二、询价步骤</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_Toc15804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CC1EB45">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_Toc21091 </w:instrText>
      </w:r>
      <w:r>
        <w:rPr>
          <w:rFonts w:hint="eastAsia" w:ascii="等线" w:hAnsi="等线" w:eastAsia="等线" w:cs="等线"/>
          <w:sz w:val="28"/>
          <w:szCs w:val="28"/>
        </w:rPr>
        <w:fldChar w:fldCharType="separate"/>
      </w:r>
      <w:r>
        <w:rPr>
          <w:rFonts w:hint="eastAsia" w:ascii="等线" w:hAnsi="等线" w:eastAsia="等线" w:cs="等线"/>
          <w:spacing w:val="2"/>
          <w:sz w:val="28"/>
          <w:szCs w:val="28"/>
        </w:rPr>
        <w:t>三、</w:t>
      </w:r>
      <w:r>
        <w:rPr>
          <w:rFonts w:hint="eastAsia" w:ascii="等线" w:hAnsi="等线" w:eastAsia="等线" w:cs="等线"/>
          <w:sz w:val="28"/>
          <w:szCs w:val="28"/>
        </w:rPr>
        <w:t>确定成交供应商办法（最低价法）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_Toc21091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AA59ED6">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_Toc2374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四．询价响应文件的数量和签署</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_Toc2374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F032802">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_Toc8069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六</w:t>
      </w:r>
      <w:r>
        <w:rPr>
          <w:rFonts w:hint="eastAsia" w:ascii="等线" w:hAnsi="等线" w:eastAsia="等线" w:cs="等线"/>
          <w:sz w:val="28"/>
          <w:szCs w:val="28"/>
        </w:rPr>
        <w:t>、签订合同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_Toc8069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7C92B53">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_Toc8125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七</w:t>
      </w:r>
      <w:r>
        <w:rPr>
          <w:rFonts w:hint="eastAsia" w:ascii="等线" w:hAnsi="等线" w:eastAsia="等线" w:cs="等线"/>
          <w:sz w:val="28"/>
          <w:szCs w:val="28"/>
        </w:rPr>
        <w:t>、询价采购失败条件</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_Toc8125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A5D3C71">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_Toc15144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_Toc15144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DF0D7D8">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_Toc9696 </w:instrText>
      </w:r>
      <w:r>
        <w:rPr>
          <w:rFonts w:hint="eastAsia" w:ascii="等线" w:hAnsi="等线" w:eastAsia="等线" w:cs="等线"/>
          <w:sz w:val="28"/>
          <w:szCs w:val="28"/>
        </w:rPr>
        <w:fldChar w:fldCharType="separate"/>
      </w:r>
      <w:r>
        <w:rPr>
          <w:rFonts w:hint="eastAsia" w:ascii="等线" w:hAnsi="等线" w:eastAsia="等线" w:cs="等线"/>
          <w:kern w:val="2"/>
          <w:sz w:val="28"/>
          <w:szCs w:val="28"/>
        </w:rPr>
        <w:t>第</w:t>
      </w:r>
      <w:r>
        <w:rPr>
          <w:rFonts w:hint="eastAsia" w:ascii="等线" w:hAnsi="等线" w:eastAsia="等线" w:cs="等线"/>
          <w:kern w:val="2"/>
          <w:sz w:val="28"/>
          <w:szCs w:val="28"/>
          <w:lang w:val="en-US" w:eastAsia="zh-CN"/>
        </w:rPr>
        <w:t>三</w:t>
      </w:r>
      <w:r>
        <w:rPr>
          <w:rFonts w:hint="eastAsia" w:ascii="等线" w:hAnsi="等线" w:eastAsia="等线" w:cs="等线"/>
          <w:kern w:val="2"/>
          <w:sz w:val="28"/>
          <w:szCs w:val="28"/>
        </w:rPr>
        <w:t>章  采购项目内容及技术规格要求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_Toc9696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D9E730C">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_Toc15167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一、采购清单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_Toc15167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3DF1263">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_Toc5437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二、定检维保内容</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_Toc5437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FA80DFD">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_Toc10465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三、商务要求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_Toc10465 \h </w:instrText>
      </w:r>
      <w:r>
        <w:rPr>
          <w:rFonts w:hint="eastAsia" w:ascii="等线" w:hAnsi="等线" w:eastAsia="等线" w:cs="等线"/>
          <w:sz w:val="28"/>
          <w:szCs w:val="28"/>
        </w:rPr>
        <w:fldChar w:fldCharType="separate"/>
      </w:r>
      <w:r>
        <w:rPr>
          <w:rFonts w:hint="eastAsia" w:ascii="等线" w:hAnsi="等线" w:eastAsia="等线" w:cs="等线"/>
          <w:sz w:val="28"/>
          <w:szCs w:val="28"/>
        </w:rPr>
        <w:t>19</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3BCD5F9">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_Toc31052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四、附《湖北机场集团有限公司“供应商不良行为”管理办法》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_Toc31052 \h </w:instrText>
      </w:r>
      <w:r>
        <w:rPr>
          <w:rFonts w:hint="eastAsia" w:ascii="等线" w:hAnsi="等线" w:eastAsia="等线" w:cs="等线"/>
          <w:sz w:val="28"/>
          <w:szCs w:val="28"/>
        </w:rPr>
        <w:fldChar w:fldCharType="separate"/>
      </w:r>
      <w:r>
        <w:rPr>
          <w:rFonts w:hint="eastAsia" w:ascii="等线" w:hAnsi="等线" w:eastAsia="等线" w:cs="等线"/>
          <w:sz w:val="28"/>
          <w:szCs w:val="28"/>
        </w:rPr>
        <w:t>20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1E69340">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_Toc21882 </w:instrText>
      </w:r>
      <w:r>
        <w:rPr>
          <w:rFonts w:hint="eastAsia" w:ascii="等线" w:hAnsi="等线" w:eastAsia="等线" w:cs="等线"/>
          <w:sz w:val="28"/>
          <w:szCs w:val="28"/>
        </w:rPr>
        <w:fldChar w:fldCharType="separate"/>
      </w:r>
      <w:r>
        <w:rPr>
          <w:rFonts w:hint="eastAsia" w:ascii="等线" w:hAnsi="等线" w:eastAsia="等线" w:cs="等线"/>
          <w:bCs/>
          <w:sz w:val="28"/>
          <w:szCs w:val="28"/>
        </w:rPr>
        <w:t>第</w:t>
      </w:r>
      <w:r>
        <w:rPr>
          <w:rFonts w:hint="eastAsia" w:ascii="等线" w:hAnsi="等线" w:eastAsia="等线" w:cs="等线"/>
          <w:bCs/>
          <w:sz w:val="28"/>
          <w:szCs w:val="28"/>
          <w:lang w:val="en-US" w:eastAsia="zh-CN"/>
        </w:rPr>
        <w:t>四</w:t>
      </w:r>
      <w:r>
        <w:rPr>
          <w:rFonts w:hint="eastAsia" w:ascii="等线" w:hAnsi="等线" w:eastAsia="等线" w:cs="等线"/>
          <w:bCs/>
          <w:sz w:val="28"/>
          <w:szCs w:val="28"/>
        </w:rPr>
        <w:t>章 询价响应文件格式</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_Toc21882 \h </w:instrText>
      </w:r>
      <w:r>
        <w:rPr>
          <w:rFonts w:hint="eastAsia" w:ascii="等线" w:hAnsi="等线" w:eastAsia="等线" w:cs="等线"/>
          <w:sz w:val="28"/>
          <w:szCs w:val="28"/>
        </w:rPr>
        <w:fldChar w:fldCharType="separate"/>
      </w:r>
      <w:r>
        <w:rPr>
          <w:rFonts w:hint="eastAsia" w:ascii="等线" w:hAnsi="等线" w:eastAsia="等线" w:cs="等线"/>
          <w:sz w:val="28"/>
          <w:szCs w:val="28"/>
        </w:rPr>
        <w:t>23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C7DD063">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_Toc19021 </w:instrText>
      </w:r>
      <w:r>
        <w:rPr>
          <w:rFonts w:hint="eastAsia" w:ascii="等线" w:hAnsi="等线" w:eastAsia="等线" w:cs="等线"/>
          <w:sz w:val="28"/>
          <w:szCs w:val="28"/>
        </w:rPr>
        <w:fldChar w:fldCharType="separate"/>
      </w:r>
      <w:r>
        <w:rPr>
          <w:rFonts w:hint="eastAsia" w:ascii="等线" w:hAnsi="等线" w:eastAsia="等线" w:cs="等线"/>
          <w:bCs/>
          <w:sz w:val="28"/>
          <w:szCs w:val="28"/>
          <w:lang w:val="en-US" w:eastAsia="zh-CN"/>
        </w:rPr>
        <w:t>第五章</w:t>
      </w:r>
      <w:r>
        <w:rPr>
          <w:rFonts w:hint="eastAsia" w:ascii="等线" w:hAnsi="等线" w:eastAsia="等线" w:cs="等线"/>
          <w:bCs/>
          <w:sz w:val="28"/>
          <w:szCs w:val="28"/>
        </w:rPr>
        <w:t xml:space="preserve"> 采购合同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_Toc19021 \h </w:instrText>
      </w:r>
      <w:r>
        <w:rPr>
          <w:rFonts w:hint="eastAsia" w:ascii="等线" w:hAnsi="等线" w:eastAsia="等线" w:cs="等线"/>
          <w:sz w:val="28"/>
          <w:szCs w:val="28"/>
        </w:rPr>
        <w:fldChar w:fldCharType="separate"/>
      </w:r>
      <w:r>
        <w:rPr>
          <w:rFonts w:hint="eastAsia" w:ascii="等线" w:hAnsi="等线" w:eastAsia="等线" w:cs="等线"/>
          <w:sz w:val="28"/>
          <w:szCs w:val="28"/>
        </w:rPr>
        <w:t>30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51AF72F">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64D450F2">
      <w:pPr>
        <w:pStyle w:val="3"/>
        <w:rPr>
          <w:rFonts w:ascii="宋体" w:hAnsi="宋体" w:cs="宋体"/>
          <w:sz w:val="28"/>
          <w:szCs w:val="28"/>
        </w:rPr>
      </w:pPr>
      <w:bookmarkStart w:id="4" w:name="_Toc12290"/>
      <w:bookmarkStart w:id="5" w:name="_Toc27845"/>
      <w:r>
        <w:rPr>
          <w:rFonts w:hint="eastAsia" w:ascii="宋体" w:hAnsi="宋体" w:cs="宋体"/>
          <w:szCs w:val="32"/>
        </w:rPr>
        <w:t>第一章  询价函</w:t>
      </w:r>
      <w:bookmarkEnd w:id="4"/>
      <w:bookmarkEnd w:id="5"/>
    </w:p>
    <w:p w14:paraId="6FAFBB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恩施机场痕量爆炸物检测设备维保服务采购项目</w:t>
      </w:r>
      <w:r>
        <w:rPr>
          <w:rFonts w:hint="eastAsia" w:ascii="宋体" w:hAnsi="宋体" w:cs="宋体"/>
          <w:kern w:val="0"/>
          <w:sz w:val="24"/>
          <w:szCs w:val="24"/>
          <w:highlight w:val="none"/>
        </w:rPr>
        <w:t>”进行询价采购，欢迎符合资格条件的供应商参与询价。</w:t>
      </w:r>
    </w:p>
    <w:p w14:paraId="2A6883BC">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bookmarkStart w:id="46" w:name="_GoBack"/>
      <w:bookmarkEnd w:id="46"/>
    </w:p>
    <w:p w14:paraId="16771E2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恩施机场痕量爆炸物检测设备维保服务采购项目</w:t>
      </w:r>
    </w:p>
    <w:p w14:paraId="7E5ED42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3D26C38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完成恩施机场两台同方威视型号为TR2000DC TFNBZ-XIV-170129、TR2000DC TFNBZ-XIV-170131痕量爆炸物检测设备的深度维保，以确保通过一年两次设备定检工作。</w:t>
      </w:r>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1262"/>
        <w:gridCol w:w="3760"/>
      </w:tblGrid>
      <w:tr w14:paraId="0E92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4640CDEF">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序号</w:t>
            </w:r>
          </w:p>
        </w:tc>
        <w:tc>
          <w:tcPr>
            <w:tcW w:w="2299" w:type="dxa"/>
            <w:vAlign w:val="center"/>
          </w:tcPr>
          <w:p w14:paraId="7C95FEA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设备类型</w:t>
            </w:r>
          </w:p>
        </w:tc>
        <w:tc>
          <w:tcPr>
            <w:tcW w:w="1385" w:type="dxa"/>
            <w:vAlign w:val="center"/>
          </w:tcPr>
          <w:p w14:paraId="12A104A5">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设备编号</w:t>
            </w:r>
          </w:p>
        </w:tc>
        <w:tc>
          <w:tcPr>
            <w:tcW w:w="1262" w:type="dxa"/>
            <w:vAlign w:val="center"/>
          </w:tcPr>
          <w:p w14:paraId="0AD07128">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服务方式</w:t>
            </w:r>
          </w:p>
        </w:tc>
        <w:tc>
          <w:tcPr>
            <w:tcW w:w="3760" w:type="dxa"/>
            <w:vAlign w:val="center"/>
          </w:tcPr>
          <w:p w14:paraId="7861D19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服务或维保内容</w:t>
            </w:r>
          </w:p>
        </w:tc>
      </w:tr>
      <w:tr w14:paraId="25FE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4CEC5827">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2299" w:type="dxa"/>
            <w:vAlign w:val="center"/>
          </w:tcPr>
          <w:p w14:paraId="4E3737A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TR2000DC</w:t>
            </w:r>
          </w:p>
        </w:tc>
        <w:tc>
          <w:tcPr>
            <w:tcW w:w="1385" w:type="dxa"/>
            <w:vAlign w:val="center"/>
          </w:tcPr>
          <w:p w14:paraId="70A03CB2">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rPr>
              <w:t>TFNBZ-XIV-170129</w:t>
            </w:r>
          </w:p>
        </w:tc>
        <w:tc>
          <w:tcPr>
            <w:tcW w:w="1262" w:type="dxa"/>
            <w:vAlign w:val="center"/>
          </w:tcPr>
          <w:p w14:paraId="45D67FB6">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维保</w:t>
            </w:r>
          </w:p>
        </w:tc>
        <w:tc>
          <w:tcPr>
            <w:tcW w:w="3760" w:type="dxa"/>
            <w:vAlign w:val="center"/>
          </w:tcPr>
          <w:p w14:paraId="7833E4F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提供1年四次设备</w:t>
            </w:r>
            <w:r>
              <w:rPr>
                <w:rFonts w:hint="eastAsia" w:ascii="宋体" w:hAnsi="宋体" w:cs="宋体"/>
                <w:kern w:val="0"/>
                <w:sz w:val="24"/>
                <w:szCs w:val="24"/>
                <w:highlight w:val="none"/>
                <w:lang w:eastAsia="zh-CN"/>
              </w:rPr>
              <w:t>维保</w:t>
            </w:r>
            <w:r>
              <w:rPr>
                <w:rFonts w:hint="eastAsia" w:ascii="宋体" w:hAnsi="宋体" w:cs="宋体"/>
                <w:kern w:val="0"/>
                <w:sz w:val="24"/>
                <w:szCs w:val="24"/>
                <w:highlight w:val="none"/>
                <w:lang w:val="en-US" w:eastAsia="zh-CN"/>
              </w:rPr>
              <w:t>及</w:t>
            </w:r>
            <w:r>
              <w:rPr>
                <w:rFonts w:hint="eastAsia" w:ascii="宋体" w:hAnsi="宋体" w:cs="宋体"/>
                <w:kern w:val="0"/>
                <w:sz w:val="24"/>
                <w:szCs w:val="24"/>
                <w:highlight w:val="none"/>
              </w:rPr>
              <w:t>需要的备件</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不包含耗材</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确保使用方一年内通过2次设备定检。</w:t>
            </w:r>
          </w:p>
        </w:tc>
      </w:tr>
      <w:tr w14:paraId="19C4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48D91B51">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299" w:type="dxa"/>
            <w:vAlign w:val="center"/>
          </w:tcPr>
          <w:p w14:paraId="0653D0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TR2000DC</w:t>
            </w:r>
          </w:p>
        </w:tc>
        <w:tc>
          <w:tcPr>
            <w:tcW w:w="1385" w:type="dxa"/>
            <w:vAlign w:val="center"/>
          </w:tcPr>
          <w:p w14:paraId="2828484D">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TFNBZ-XIV-170131</w:t>
            </w:r>
          </w:p>
        </w:tc>
        <w:tc>
          <w:tcPr>
            <w:tcW w:w="1262" w:type="dxa"/>
            <w:vAlign w:val="center"/>
          </w:tcPr>
          <w:p w14:paraId="68FD0005">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维保</w:t>
            </w:r>
          </w:p>
        </w:tc>
        <w:tc>
          <w:tcPr>
            <w:tcW w:w="3760" w:type="dxa"/>
            <w:vAlign w:val="center"/>
          </w:tcPr>
          <w:p w14:paraId="11D5C19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提供1年四次设备维保及需要的备件（不包含耗材），确保使用方一年内通过2次设备定检。</w:t>
            </w:r>
          </w:p>
        </w:tc>
      </w:tr>
    </w:tbl>
    <w:p w14:paraId="31A074A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24E408F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79B7A1B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201896A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、供应商近三年（2022年1月1日至本次响应时间截止之日止，以合同签订时间为准）至少完成过一项</w:t>
      </w:r>
      <w:r>
        <w:rPr>
          <w:rFonts w:hint="eastAsia" w:ascii="宋体" w:hAnsi="宋体" w:cs="宋体"/>
          <w:kern w:val="0"/>
          <w:sz w:val="24"/>
          <w:szCs w:val="24"/>
          <w:highlight w:val="none"/>
          <w:lang w:val="en-US" w:eastAsia="zh-CN"/>
        </w:rPr>
        <w:t>痕量爆炸物检测设备维保服务</w:t>
      </w:r>
      <w:r>
        <w:rPr>
          <w:rFonts w:hint="eastAsia" w:ascii="宋体" w:hAnsi="宋体" w:cs="宋体"/>
          <w:color w:val="auto"/>
          <w:kern w:val="0"/>
          <w:sz w:val="24"/>
          <w:szCs w:val="24"/>
          <w:highlight w:val="none"/>
          <w:lang w:val="en-US" w:eastAsia="zh-CN"/>
        </w:rPr>
        <w:t>项目业绩</w:t>
      </w:r>
      <w:r>
        <w:rPr>
          <w:rFonts w:hint="eastAsia" w:ascii="宋体" w:hAnsi="宋体" w:cs="宋体"/>
          <w:color w:val="auto"/>
          <w:kern w:val="0"/>
          <w:sz w:val="24"/>
          <w:szCs w:val="24"/>
          <w:highlight w:val="none"/>
        </w:rPr>
        <w:t>，须同时提供①合同（含封面页、合同内容页、签章页等关键页）、②项目发票（发票二维码清晰可查并提供税务局发票查询截图，发票开具时间须在本项目询价公告发布之日前）；</w:t>
      </w:r>
    </w:p>
    <w:p w14:paraId="00D4452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供应商需提供设备厂家同方威视出具的服务支持承诺函或技术支持承诺书。</w:t>
      </w:r>
    </w:p>
    <w:p w14:paraId="38E3163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30C36BD3">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652714C0">
      <w:pPr>
        <w:pStyle w:val="34"/>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6</w:t>
      </w:r>
      <w:r>
        <w:rPr>
          <w:rFonts w:hint="eastAsia" w:ascii="宋体" w:hAnsi="宋体" w:eastAsia="宋体" w:cs="宋体"/>
          <w:kern w:val="0"/>
          <w:sz w:val="24"/>
          <w:szCs w:val="24"/>
          <w:lang w:val="en-US" w:eastAsia="zh-CN"/>
        </w:rPr>
        <w:t>、本项目不接受联合体响应。</w:t>
      </w:r>
    </w:p>
    <w:p w14:paraId="29694874">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2DE6D0F6">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lang w:val="en-US" w:eastAsia="zh-CN"/>
        </w:rPr>
      </w:pPr>
      <w:r>
        <w:rPr>
          <w:rFonts w:hint="eastAsia" w:ascii="宋体" w:hAnsi="宋体" w:cs="宋体"/>
          <w:b/>
          <w:kern w:val="0"/>
          <w:sz w:val="24"/>
          <w:szCs w:val="24"/>
        </w:rPr>
        <w:t>三、询价文件</w:t>
      </w:r>
      <w:r>
        <w:rPr>
          <w:rFonts w:hint="eastAsia" w:ascii="宋体" w:hAnsi="宋体" w:cs="宋体"/>
          <w:b/>
          <w:kern w:val="0"/>
          <w:sz w:val="24"/>
          <w:szCs w:val="24"/>
          <w:lang w:val="en-US" w:eastAsia="zh-CN"/>
        </w:rPr>
        <w:t>获取地点、</w:t>
      </w:r>
      <w:r>
        <w:rPr>
          <w:rFonts w:hint="eastAsia" w:ascii="宋体" w:hAnsi="宋体" w:cs="宋体"/>
          <w:b/>
          <w:kern w:val="0"/>
          <w:sz w:val="24"/>
          <w:szCs w:val="24"/>
        </w:rPr>
        <w:t>响应递交截止时间</w:t>
      </w:r>
      <w:r>
        <w:rPr>
          <w:rFonts w:hint="eastAsia" w:ascii="宋体" w:hAnsi="宋体" w:cs="宋体"/>
          <w:b/>
          <w:kern w:val="0"/>
          <w:sz w:val="24"/>
          <w:szCs w:val="24"/>
          <w:lang w:val="en-US" w:eastAsia="zh-CN"/>
        </w:rPr>
        <w:t>及地点</w:t>
      </w:r>
    </w:p>
    <w:p w14:paraId="6F0031EC">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140821A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时间</w:t>
      </w:r>
      <w:r>
        <w:rPr>
          <w:rFonts w:hint="eastAsia" w:ascii="宋体" w:hAnsi="宋体" w:cs="宋体"/>
          <w:sz w:val="24"/>
          <w:szCs w:val="24"/>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12</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18</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w:t>
      </w:r>
      <w:r>
        <w:rPr>
          <w:rFonts w:hint="eastAsia" w:ascii="宋体" w:hAnsi="宋体" w:cs="宋体"/>
          <w:sz w:val="24"/>
          <w:szCs w:val="24"/>
        </w:rPr>
        <w:t>北京时间，法定节假日除外）。</w:t>
      </w:r>
    </w:p>
    <w:p w14:paraId="3093E82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航站楼安检站办公室</w:t>
      </w:r>
      <w:r>
        <w:rPr>
          <w:rFonts w:hint="eastAsia" w:ascii="宋体" w:hAnsi="宋体" w:cs="宋体"/>
          <w:kern w:val="0"/>
          <w:sz w:val="24"/>
          <w:szCs w:val="24"/>
          <w:highlight w:val="none"/>
          <w:lang w:val="en-US" w:eastAsia="zh-CN"/>
        </w:rPr>
        <w:t>。</w:t>
      </w:r>
    </w:p>
    <w:p w14:paraId="0D5B7B3F">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1FEDA79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77DF50A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4515DE7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刘佳</w:t>
      </w:r>
    </w:p>
    <w:p w14:paraId="78EB813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联 系 电 话：</w:t>
      </w:r>
      <w:r>
        <w:rPr>
          <w:rFonts w:hint="eastAsia" w:ascii="宋体" w:hAnsi="宋体" w:cs="宋体"/>
          <w:sz w:val="24"/>
          <w:szCs w:val="24"/>
          <w:highlight w:val="none"/>
          <w:u w:val="none"/>
          <w:lang w:val="en-US" w:eastAsia="zh-CN"/>
        </w:rPr>
        <w:t>17688998363</w:t>
      </w:r>
    </w:p>
    <w:p w14:paraId="66809D0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yellow"/>
        </w:rPr>
      </w:pP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、信息发布媒体 </w:t>
      </w:r>
    </w:p>
    <w:p w14:paraId="0F830E08">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03F63FD3">
      <w:pPr>
        <w:pStyle w:val="34"/>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rPr>
      </w:pPr>
    </w:p>
    <w:p w14:paraId="239F93FA">
      <w:pPr>
        <w:keepNext w:val="0"/>
        <w:keepLines w:val="0"/>
        <w:pageBreakBefore w:val="0"/>
        <w:kinsoku/>
        <w:wordWrap/>
        <w:overflowPunct/>
        <w:topLinePunct w:val="0"/>
        <w:bidi w:val="0"/>
        <w:adjustRightInd/>
        <w:snapToGrid/>
        <w:spacing w:line="360" w:lineRule="auto"/>
        <w:textAlignment w:val="auto"/>
        <w:rPr>
          <w:rFonts w:ascii="宋体" w:hAnsi="宋体" w:cs="宋体"/>
        </w:rPr>
      </w:pPr>
    </w:p>
    <w:p w14:paraId="5BBF0799">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p>
    <w:p w14:paraId="17EACA10">
      <w:pPr>
        <w:pStyle w:val="10"/>
        <w:keepNext w:val="0"/>
        <w:keepLines w:val="0"/>
        <w:pageBreakBefore w:val="0"/>
        <w:kinsoku/>
        <w:wordWrap/>
        <w:overflowPunct/>
        <w:topLinePunct w:val="0"/>
        <w:bidi w:val="0"/>
        <w:adjustRightInd/>
        <w:snapToGrid/>
        <w:spacing w:line="360" w:lineRule="auto"/>
        <w:jc w:val="center"/>
        <w:textAlignment w:val="auto"/>
        <w:rPr>
          <w:rFonts w:ascii="宋体" w:hAnsi="宋体" w:cs="宋体"/>
          <w:bCs/>
          <w:kern w:val="0"/>
          <w:szCs w:val="24"/>
        </w:rPr>
      </w:pPr>
      <w:r>
        <w:rPr>
          <w:rFonts w:hint="eastAsia" w:ascii="宋体" w:hAnsi="宋体" w:cs="宋体"/>
          <w:sz w:val="24"/>
          <w:szCs w:val="24"/>
          <w:highlight w:val="none"/>
          <w:u w:val="none"/>
          <w:lang w:val="en-US" w:eastAsia="zh-CN"/>
        </w:rPr>
        <w:t xml:space="preserve">                                            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12</w:t>
      </w:r>
      <w:r>
        <w:rPr>
          <w:rFonts w:hint="eastAsia" w:ascii="宋体" w:hAnsi="宋体" w:cs="宋体"/>
          <w:bCs/>
          <w:kern w:val="0"/>
          <w:szCs w:val="24"/>
        </w:rPr>
        <w:t>月</w:t>
      </w:r>
      <w:r>
        <w:rPr>
          <w:rFonts w:hint="eastAsia" w:ascii="宋体" w:hAnsi="宋体" w:cs="宋体"/>
          <w:sz w:val="24"/>
          <w:szCs w:val="24"/>
          <w:highlight w:val="none"/>
          <w:u w:val="none"/>
          <w:lang w:val="en-US" w:eastAsia="zh-CN"/>
        </w:rPr>
        <w:t>12</w:t>
      </w:r>
      <w:r>
        <w:rPr>
          <w:rFonts w:hint="eastAsia" w:ascii="宋体" w:hAnsi="宋体" w:cs="宋体"/>
          <w:bCs/>
          <w:kern w:val="0"/>
          <w:szCs w:val="24"/>
        </w:rPr>
        <w:t>日</w:t>
      </w:r>
    </w:p>
    <w:p w14:paraId="06B07333">
      <w:pPr>
        <w:rPr>
          <w:rFonts w:ascii="宋体" w:hAnsi="宋体" w:cs="宋体"/>
        </w:rPr>
      </w:pPr>
    </w:p>
    <w:p w14:paraId="54975FF2">
      <w:pPr>
        <w:pStyle w:val="10"/>
        <w:jc w:val="right"/>
        <w:rPr>
          <w:rFonts w:ascii="宋体" w:hAnsi="宋体" w:cs="宋体"/>
          <w:bCs/>
          <w:kern w:val="0"/>
          <w:szCs w:val="24"/>
        </w:rPr>
      </w:pPr>
    </w:p>
    <w:p w14:paraId="6F69D0FF">
      <w:pPr>
        <w:spacing w:line="360" w:lineRule="auto"/>
        <w:ind w:firstLine="420" w:firstLineChars="200"/>
        <w:rPr>
          <w:rFonts w:ascii="宋体" w:hAnsi="宋体" w:cs="宋体"/>
          <w:sz w:val="24"/>
          <w:szCs w:val="24"/>
        </w:rPr>
      </w:pPr>
      <w:r>
        <w:rPr>
          <w:rFonts w:hint="eastAsia" w:ascii="宋体" w:hAnsi="宋体" w:cs="宋体"/>
          <w:szCs w:val="32"/>
        </w:rPr>
        <w:br w:type="page"/>
      </w:r>
    </w:p>
    <w:p w14:paraId="1E1D2FF2">
      <w:pPr>
        <w:pStyle w:val="3"/>
        <w:rPr>
          <w:rFonts w:ascii="宋体" w:hAnsi="宋体" w:cs="宋体"/>
          <w:sz w:val="24"/>
          <w:szCs w:val="24"/>
        </w:rPr>
      </w:pPr>
      <w:bookmarkStart w:id="6" w:name="_Toc10198"/>
      <w:bookmarkStart w:id="7" w:name="_Toc20496"/>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6"/>
      <w:bookmarkEnd w:id="7"/>
    </w:p>
    <w:p w14:paraId="0B5FF691">
      <w:pPr>
        <w:pStyle w:val="19"/>
        <w:spacing w:before="0" w:after="0" w:line="360" w:lineRule="auto"/>
        <w:rPr>
          <w:rFonts w:ascii="宋体" w:hAnsi="宋体" w:cs="宋体"/>
          <w:sz w:val="24"/>
          <w:szCs w:val="24"/>
        </w:rPr>
      </w:pPr>
      <w:bookmarkStart w:id="8" w:name="_Toc4102"/>
      <w:bookmarkStart w:id="9" w:name="_Toc14456"/>
      <w:bookmarkStart w:id="10" w:name="_Toc3367"/>
      <w:r>
        <w:rPr>
          <w:rFonts w:hint="eastAsia" w:ascii="宋体" w:hAnsi="宋体" w:cs="宋体"/>
          <w:sz w:val="24"/>
          <w:szCs w:val="24"/>
        </w:rPr>
        <w:t>一、询价方法</w:t>
      </w:r>
      <w:bookmarkEnd w:id="8"/>
      <w:bookmarkEnd w:id="9"/>
      <w:bookmarkEnd w:id="10"/>
    </w:p>
    <w:p w14:paraId="7F684A5B">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08DAE181">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1C7A7FF4">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73A2F994">
      <w:pPr>
        <w:pStyle w:val="19"/>
        <w:spacing w:before="0" w:after="0" w:line="360" w:lineRule="auto"/>
        <w:rPr>
          <w:rFonts w:ascii="宋体" w:hAnsi="宋体" w:cs="宋体"/>
          <w:sz w:val="24"/>
          <w:szCs w:val="24"/>
        </w:rPr>
      </w:pPr>
      <w:bookmarkStart w:id="11" w:name="_Toc19261"/>
      <w:bookmarkStart w:id="12" w:name="_Toc15804"/>
      <w:bookmarkStart w:id="13" w:name="_Toc5176"/>
      <w:r>
        <w:rPr>
          <w:rFonts w:hint="eastAsia" w:ascii="宋体" w:hAnsi="宋体" w:cs="宋体"/>
          <w:sz w:val="24"/>
          <w:szCs w:val="24"/>
        </w:rPr>
        <w:t>二、询价步骤</w:t>
      </w:r>
      <w:bookmarkEnd w:id="11"/>
      <w:bookmarkEnd w:id="12"/>
      <w:bookmarkEnd w:id="13"/>
    </w:p>
    <w:p w14:paraId="1015E12B">
      <w:pPr>
        <w:spacing w:line="360" w:lineRule="auto"/>
        <w:ind w:firstLine="480" w:firstLineChars="200"/>
        <w:rPr>
          <w:rFonts w:ascii="宋体" w:hAnsi="宋体" w:cs="宋体"/>
          <w:spacing w:val="2"/>
          <w:sz w:val="24"/>
          <w:szCs w:val="24"/>
        </w:rPr>
      </w:pPr>
      <w:bookmarkStart w:id="14"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2E84C7C2">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w:t>
      </w:r>
      <w:r>
        <w:rPr>
          <w:rFonts w:hint="eastAsia" w:ascii="宋体" w:hAnsi="宋体" w:cs="宋体"/>
          <w:b/>
          <w:bCs/>
          <w:spacing w:val="2"/>
          <w:sz w:val="24"/>
          <w:szCs w:val="24"/>
          <w:lang w:val="en-US" w:eastAsia="zh-CN"/>
        </w:rPr>
        <w:t>只需在响应文件递交截止时间前递交响应文件，递交签到后即可离开</w:t>
      </w:r>
      <w:r>
        <w:rPr>
          <w:rFonts w:hint="eastAsia" w:ascii="宋体" w:hAnsi="宋体" w:cs="宋体"/>
          <w:spacing w:val="2"/>
          <w:sz w:val="24"/>
          <w:szCs w:val="24"/>
        </w:rPr>
        <w:t>。</w:t>
      </w:r>
    </w:p>
    <w:p w14:paraId="2E5CC3FE">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794EFA35">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06E94BC8">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5FAD7C17">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24786F3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068CD3B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7AB4402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1A45A9C8">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4B85CB3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401DF2C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5292C511">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3939F2C2">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5BC1FFEF">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3FFCC11B">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6AD92F82">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120CDDDA">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7882D589">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2C23987D">
      <w:pPr>
        <w:pStyle w:val="19"/>
        <w:spacing w:before="0" w:after="0" w:line="360" w:lineRule="auto"/>
        <w:rPr>
          <w:rFonts w:ascii="宋体" w:hAnsi="宋体" w:cs="宋体"/>
          <w:spacing w:val="2"/>
          <w:sz w:val="24"/>
          <w:szCs w:val="24"/>
        </w:rPr>
      </w:pPr>
      <w:bookmarkStart w:id="15" w:name="_Toc21091"/>
      <w:bookmarkStart w:id="16" w:name="_Toc3603"/>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4"/>
      <w:bookmarkEnd w:id="15"/>
      <w:bookmarkEnd w:id="16"/>
    </w:p>
    <w:p w14:paraId="4A0B1650">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593CDF44">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6596E981">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5FC71DC9">
      <w:pPr>
        <w:pStyle w:val="19"/>
        <w:spacing w:before="0" w:after="0" w:line="360" w:lineRule="auto"/>
        <w:rPr>
          <w:rFonts w:hint="eastAsia" w:ascii="宋体" w:hAnsi="宋体" w:eastAsia="宋体" w:cs="宋体"/>
          <w:sz w:val="24"/>
          <w:szCs w:val="24"/>
          <w:lang w:val="en-US" w:eastAsia="zh-CN"/>
        </w:rPr>
      </w:pPr>
      <w:bookmarkStart w:id="17" w:name="_Toc2374"/>
      <w:r>
        <w:rPr>
          <w:rFonts w:hint="eastAsia" w:ascii="宋体" w:hAnsi="宋体" w:eastAsia="宋体" w:cs="宋体"/>
          <w:sz w:val="24"/>
          <w:szCs w:val="24"/>
          <w:lang w:val="en-US" w:eastAsia="zh-CN"/>
        </w:rPr>
        <w:t>四．询价响应文件的数量和签署</w:t>
      </w:r>
      <w:bookmarkEnd w:id="17"/>
    </w:p>
    <w:p w14:paraId="1136B5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59A2E1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1841CA4B">
      <w:pPr>
        <w:pStyle w:val="19"/>
        <w:spacing w:before="0" w:after="0" w:line="360" w:lineRule="auto"/>
        <w:rPr>
          <w:rFonts w:hint="eastAsia" w:ascii="宋体" w:hAnsi="宋体" w:eastAsia="宋体" w:cs="宋体"/>
          <w:sz w:val="24"/>
          <w:szCs w:val="24"/>
          <w:lang w:val="en-US" w:eastAsia="zh-CN"/>
        </w:rPr>
      </w:pPr>
      <w:bookmarkStart w:id="18" w:name="_Toc24885"/>
      <w:bookmarkStart w:id="19" w:name="_Toc25158"/>
      <w:r>
        <w:rPr>
          <w:rFonts w:hint="eastAsia" w:ascii="宋体" w:hAnsi="宋体" w:eastAsia="宋体" w:cs="宋体"/>
          <w:sz w:val="24"/>
          <w:szCs w:val="24"/>
          <w:lang w:val="en-US" w:eastAsia="zh-CN"/>
        </w:rPr>
        <w:t>五、响应文件的递交</w:t>
      </w:r>
      <w:bookmarkEnd w:id="18"/>
      <w:bookmarkEnd w:id="19"/>
    </w:p>
    <w:p w14:paraId="491EFC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.1为方便</w:t>
      </w:r>
      <w:r>
        <w:rPr>
          <w:rFonts w:hint="eastAsia" w:ascii="宋体" w:hAnsi="宋体" w:cs="宋体"/>
          <w:sz w:val="24"/>
          <w:szCs w:val="24"/>
          <w:lang w:val="en-US" w:eastAsia="zh-CN"/>
        </w:rPr>
        <w:t>授权代表身份核验</w:t>
      </w:r>
      <w:r>
        <w:rPr>
          <w:rFonts w:hint="eastAsia" w:ascii="宋体" w:hAnsi="宋体" w:cs="宋体"/>
          <w:sz w:val="24"/>
          <w:szCs w:val="24"/>
          <w:lang w:eastAsia="zh-CN"/>
        </w:rPr>
        <w:t>，</w:t>
      </w:r>
      <w:r>
        <w:rPr>
          <w:rFonts w:hint="eastAsia" w:ascii="宋体" w:hAnsi="宋体" w:eastAsia="宋体" w:cs="宋体"/>
          <w:sz w:val="24"/>
          <w:szCs w:val="24"/>
        </w:rPr>
        <w:t>《法定代表人授权书》</w:t>
      </w:r>
      <w:r>
        <w:rPr>
          <w:rFonts w:hint="eastAsia" w:ascii="宋体" w:hAnsi="宋体" w:eastAsia="宋体" w:cs="宋体"/>
          <w:sz w:val="24"/>
          <w:szCs w:val="24"/>
          <w:lang w:val="en-US" w:eastAsia="zh-CN"/>
        </w:rPr>
        <w:t>除在询价响应文件中提供之外，另需</w:t>
      </w:r>
      <w:r>
        <w:rPr>
          <w:rFonts w:hint="eastAsia" w:ascii="宋体" w:hAnsi="宋体" w:eastAsia="宋体" w:cs="宋体"/>
          <w:sz w:val="24"/>
          <w:szCs w:val="24"/>
        </w:rPr>
        <w:t>单独</w:t>
      </w:r>
      <w:r>
        <w:rPr>
          <w:rFonts w:hint="eastAsia" w:ascii="宋体" w:hAnsi="宋体" w:eastAsia="宋体" w:cs="宋体"/>
          <w:sz w:val="24"/>
          <w:szCs w:val="24"/>
          <w:lang w:val="en-US" w:eastAsia="zh-CN"/>
        </w:rPr>
        <w:t>准备一份</w:t>
      </w:r>
      <w:r>
        <w:rPr>
          <w:rFonts w:hint="eastAsia" w:ascii="宋体" w:hAnsi="宋体" w:eastAsia="宋体" w:cs="宋体"/>
          <w:sz w:val="24"/>
          <w:szCs w:val="24"/>
        </w:rPr>
        <w:t>，</w:t>
      </w:r>
      <w:r>
        <w:rPr>
          <w:rFonts w:hint="eastAsia" w:ascii="宋体" w:hAnsi="宋体" w:cs="宋体"/>
          <w:sz w:val="24"/>
          <w:szCs w:val="24"/>
          <w:lang w:val="en-US" w:eastAsia="zh-CN"/>
        </w:rPr>
        <w:t>无需密封，便于在递交响应文件</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手持</w:t>
      </w:r>
      <w:r>
        <w:rPr>
          <w:rFonts w:hint="eastAsia" w:ascii="宋体" w:hAnsi="宋体" w:eastAsia="宋体" w:cs="宋体"/>
          <w:sz w:val="24"/>
          <w:szCs w:val="24"/>
          <w:lang w:val="en-US" w:eastAsia="zh-CN"/>
        </w:rPr>
        <w:t>验证身份（同时需准备身份证原件或电子身份证）</w:t>
      </w:r>
      <w:r>
        <w:rPr>
          <w:rFonts w:hint="eastAsia" w:ascii="宋体" w:hAnsi="宋体" w:eastAsia="宋体" w:cs="宋体"/>
          <w:sz w:val="24"/>
          <w:szCs w:val="24"/>
        </w:rPr>
        <w:t>。</w:t>
      </w:r>
    </w:p>
    <w:p w14:paraId="2BD4E8B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37009B6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5798826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24BA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2F22449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4C04C304">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1BC88DC0">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380B0B0F">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00A34ED0">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2EE77E96">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cs="宋体"/>
          <w:bCs/>
          <w:sz w:val="24"/>
          <w:szCs w:val="24"/>
        </w:rPr>
        <w:t>未按要求密封和标记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2495176D">
      <w:pPr>
        <w:pStyle w:val="19"/>
        <w:spacing w:before="0" w:after="0" w:line="360" w:lineRule="auto"/>
        <w:rPr>
          <w:rFonts w:ascii="宋体" w:hAnsi="宋体" w:cs="宋体"/>
          <w:sz w:val="24"/>
          <w:szCs w:val="24"/>
        </w:rPr>
      </w:pPr>
      <w:bookmarkStart w:id="21" w:name="_Toc8069"/>
      <w:bookmarkStart w:id="22" w:name="_Toc22322"/>
      <w:bookmarkStart w:id="23" w:name="_Toc21790"/>
      <w:r>
        <w:rPr>
          <w:rFonts w:hint="eastAsia" w:ascii="宋体" w:hAnsi="宋体" w:cs="宋体"/>
          <w:sz w:val="24"/>
          <w:szCs w:val="24"/>
          <w:lang w:val="en-US" w:eastAsia="zh-CN"/>
        </w:rPr>
        <w:t>六</w:t>
      </w:r>
      <w:r>
        <w:rPr>
          <w:rFonts w:hint="eastAsia" w:ascii="宋体" w:hAnsi="宋体" w:cs="宋体"/>
          <w:sz w:val="24"/>
          <w:szCs w:val="24"/>
        </w:rPr>
        <w:t>、签订合同</w:t>
      </w:r>
      <w:bookmarkEnd w:id="21"/>
      <w:bookmarkEnd w:id="22"/>
      <w:bookmarkEnd w:id="23"/>
    </w:p>
    <w:p w14:paraId="2070DB2E">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6494FDF0">
      <w:pPr>
        <w:pStyle w:val="19"/>
        <w:spacing w:before="0" w:after="0" w:line="360" w:lineRule="auto"/>
        <w:rPr>
          <w:rFonts w:ascii="宋体" w:hAnsi="宋体" w:cs="宋体"/>
          <w:sz w:val="24"/>
          <w:szCs w:val="24"/>
        </w:rPr>
      </w:pPr>
      <w:bookmarkStart w:id="24" w:name="_Toc8125"/>
      <w:bookmarkStart w:id="25" w:name="_Toc2499"/>
      <w:bookmarkStart w:id="26" w:name="_Toc19032"/>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4"/>
      <w:bookmarkEnd w:id="25"/>
      <w:bookmarkEnd w:id="26"/>
    </w:p>
    <w:p w14:paraId="706AB07F">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02031555">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13F22C1E">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p>
    <w:p w14:paraId="68253C90">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51437B36">
      <w:pPr>
        <w:pStyle w:val="19"/>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7"/>
    </w:p>
    <w:p w14:paraId="7F924069">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102089EB">
      <w:pPr>
        <w:pStyle w:val="3"/>
        <w:rPr>
          <w:rFonts w:hint="eastAsia" w:ascii="宋体" w:hAnsi="宋体" w:cs="宋体"/>
          <w:kern w:val="2"/>
          <w:sz w:val="24"/>
          <w:szCs w:val="24"/>
        </w:rPr>
      </w:pPr>
      <w:r>
        <w:rPr>
          <w:rFonts w:hint="eastAsia" w:ascii="宋体" w:hAnsi="宋体" w:cs="宋体"/>
        </w:rPr>
        <w:br w:type="page"/>
      </w:r>
      <w:bookmarkStart w:id="28" w:name="_Toc4874"/>
      <w:bookmarkStart w:id="29" w:name="_Toc9696"/>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w:t>
      </w:r>
      <w:r>
        <w:rPr>
          <w:rFonts w:hint="eastAsia" w:ascii="宋体" w:hAnsi="宋体" w:cs="宋体"/>
          <w:kern w:val="2"/>
          <w:sz w:val="24"/>
          <w:szCs w:val="24"/>
          <w:lang w:val="en-US" w:eastAsia="zh-CN"/>
        </w:rPr>
        <w:t>清单</w:t>
      </w:r>
      <w:r>
        <w:rPr>
          <w:rFonts w:hint="eastAsia" w:ascii="宋体" w:hAnsi="宋体" w:cs="宋体"/>
          <w:kern w:val="2"/>
          <w:sz w:val="24"/>
          <w:szCs w:val="24"/>
        </w:rPr>
        <w:t>及</w:t>
      </w:r>
      <w:r>
        <w:rPr>
          <w:rFonts w:hint="eastAsia" w:ascii="宋体" w:hAnsi="宋体" w:cs="宋体"/>
          <w:kern w:val="2"/>
          <w:sz w:val="24"/>
          <w:szCs w:val="24"/>
          <w:lang w:val="en-US" w:eastAsia="zh-CN"/>
        </w:rPr>
        <w:t>维保服务内容</w:t>
      </w:r>
      <w:bookmarkEnd w:id="28"/>
      <w:bookmarkEnd w:id="29"/>
    </w:p>
    <w:p w14:paraId="07A92A60">
      <w:pPr>
        <w:pStyle w:val="4"/>
        <w:rPr>
          <w:rStyle w:val="49"/>
          <w:rFonts w:hint="eastAsia" w:ascii="宋体" w:hAnsi="宋体" w:eastAsia="宋体" w:cs="宋体"/>
          <w:sz w:val="24"/>
          <w:szCs w:val="24"/>
          <w:lang w:val="en-US" w:eastAsia="zh-CN"/>
        </w:rPr>
      </w:pPr>
      <w:bookmarkStart w:id="30" w:name="_Toc27014"/>
      <w:bookmarkStart w:id="31" w:name="_Toc16525"/>
      <w:bookmarkStart w:id="32" w:name="_Toc15167"/>
      <w:r>
        <w:rPr>
          <w:rStyle w:val="49"/>
          <w:rFonts w:hint="eastAsia" w:ascii="宋体" w:hAnsi="宋体" w:eastAsia="宋体" w:cs="宋体"/>
          <w:sz w:val="24"/>
          <w:szCs w:val="24"/>
          <w:lang w:val="en-US" w:eastAsia="zh-CN"/>
        </w:rPr>
        <w:t>一、</w:t>
      </w:r>
      <w:bookmarkEnd w:id="30"/>
      <w:bookmarkEnd w:id="31"/>
      <w:r>
        <w:rPr>
          <w:rStyle w:val="49"/>
          <w:rFonts w:hint="eastAsia" w:ascii="宋体" w:hAnsi="宋体" w:eastAsia="宋体" w:cs="宋体"/>
          <w:sz w:val="24"/>
          <w:szCs w:val="24"/>
          <w:lang w:val="en-US" w:eastAsia="zh-CN"/>
        </w:rPr>
        <w:t>采购</w:t>
      </w:r>
      <w:bookmarkEnd w:id="32"/>
      <w:r>
        <w:rPr>
          <w:rStyle w:val="49"/>
          <w:rFonts w:hint="eastAsia" w:ascii="宋体" w:hAnsi="宋体" w:eastAsia="宋体" w:cs="宋体"/>
          <w:sz w:val="24"/>
          <w:szCs w:val="24"/>
          <w:lang w:val="en-US" w:eastAsia="zh-CN"/>
        </w:rPr>
        <w:t>清单</w:t>
      </w:r>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6AE9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7EDF6D53">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0B58FC33">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0CCBC0B0">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4F50D3C4">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504BF474">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3AE52985">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6BC5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41CCCF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54E2C856">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w:t>
            </w:r>
            <w:r>
              <w:rPr>
                <w:rFonts w:hint="eastAsia" w:ascii="宋体" w:hAnsi="宋体" w:cs="宋体"/>
                <w:sz w:val="24"/>
                <w:szCs w:val="24"/>
                <w:highlight w:val="none"/>
                <w:lang w:val="en-US" w:eastAsia="zh-CN"/>
              </w:rPr>
              <w:t>痕量爆炸物检测设备</w:t>
            </w:r>
            <w:r>
              <w:rPr>
                <w:rFonts w:hint="eastAsia" w:ascii="宋体" w:hAnsi="宋体" w:eastAsia="宋体" w:cs="宋体"/>
                <w:sz w:val="24"/>
                <w:szCs w:val="24"/>
                <w:highlight w:val="none"/>
                <w:lang w:val="en-US" w:eastAsia="zh-CN"/>
              </w:rPr>
              <w:t>维保服务采购项目</w:t>
            </w:r>
          </w:p>
        </w:tc>
        <w:tc>
          <w:tcPr>
            <w:tcW w:w="1650" w:type="dxa"/>
            <w:vAlign w:val="center"/>
          </w:tcPr>
          <w:p w14:paraId="18FC6603">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3988A6C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1863" w:type="dxa"/>
            <w:vAlign w:val="center"/>
          </w:tcPr>
          <w:p w14:paraId="5319ABA8">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7DDBE414">
            <w:pPr>
              <w:jc w:val="center"/>
              <w:rPr>
                <w:rFonts w:ascii="宋体" w:hAnsi="宋体" w:cs="宋体"/>
                <w:sz w:val="24"/>
                <w:szCs w:val="24"/>
                <w:highlight w:val="none"/>
              </w:rPr>
            </w:pPr>
          </w:p>
        </w:tc>
      </w:tr>
    </w:tbl>
    <w:p w14:paraId="2F530C6E">
      <w:pPr>
        <w:rPr>
          <w:rFonts w:hint="default"/>
          <w:lang w:val="en-US" w:eastAsia="zh-CN"/>
        </w:rPr>
      </w:pPr>
    </w:p>
    <w:p w14:paraId="6B881F2C">
      <w:pPr>
        <w:pStyle w:val="4"/>
        <w:pageBreakBefore w:val="0"/>
        <w:widowControl w:val="0"/>
        <w:kinsoku/>
        <w:wordWrap/>
        <w:overflowPunct/>
        <w:topLinePunct w:val="0"/>
        <w:autoSpaceDE/>
        <w:autoSpaceDN/>
        <w:bidi w:val="0"/>
        <w:adjustRightInd/>
        <w:snapToGrid/>
        <w:spacing w:line="360" w:lineRule="auto"/>
        <w:textAlignment w:val="auto"/>
        <w:rPr>
          <w:rStyle w:val="49"/>
          <w:rFonts w:hint="default" w:ascii="宋体" w:hAnsi="宋体" w:eastAsia="宋体" w:cs="宋体"/>
          <w:sz w:val="24"/>
          <w:szCs w:val="24"/>
          <w:lang w:val="en-US" w:eastAsia="zh-CN"/>
        </w:rPr>
      </w:pPr>
      <w:bookmarkStart w:id="33" w:name="_Toc5437"/>
      <w:r>
        <w:rPr>
          <w:rStyle w:val="49"/>
          <w:rFonts w:hint="eastAsia" w:ascii="宋体" w:hAnsi="宋体" w:eastAsia="宋体" w:cs="宋体"/>
          <w:sz w:val="24"/>
          <w:szCs w:val="24"/>
          <w:lang w:val="en-US" w:eastAsia="zh-CN"/>
        </w:rPr>
        <w:t>二、服务期限：1年</w:t>
      </w:r>
    </w:p>
    <w:p w14:paraId="4812A64B">
      <w:pPr>
        <w:pStyle w:val="4"/>
        <w:pageBreakBefore w:val="0"/>
        <w:widowControl w:val="0"/>
        <w:kinsoku/>
        <w:wordWrap/>
        <w:overflowPunct/>
        <w:topLinePunct w:val="0"/>
        <w:autoSpaceDE/>
        <w:autoSpaceDN/>
        <w:bidi w:val="0"/>
        <w:adjustRightInd/>
        <w:snapToGrid/>
        <w:spacing w:line="360" w:lineRule="auto"/>
        <w:textAlignment w:val="auto"/>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三、</w:t>
      </w:r>
      <w:bookmarkEnd w:id="33"/>
      <w:r>
        <w:rPr>
          <w:rStyle w:val="49"/>
          <w:rFonts w:hint="eastAsia" w:ascii="宋体" w:hAnsi="宋体" w:eastAsia="宋体" w:cs="宋体"/>
          <w:sz w:val="24"/>
          <w:szCs w:val="24"/>
          <w:lang w:val="en-US" w:eastAsia="zh-CN"/>
        </w:rPr>
        <w:t>维保服务内容</w:t>
      </w:r>
    </w:p>
    <w:p w14:paraId="70FFF299">
      <w:pPr>
        <w:snapToGrid w:val="0"/>
        <w:spacing w:line="360" w:lineRule="auto"/>
        <w:ind w:firstLine="480" w:firstLineChars="200"/>
        <w:jc w:val="both"/>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完成恩施机场两台同方威视型号为TR2000DC TFNBZ-XIV-170129、TR2000DC TFNBZ-XIV-170131的痕量爆炸物检测设备的深度维保，以确保通过一年两次设备定检工作。</w:t>
      </w:r>
    </w:p>
    <w:p w14:paraId="2A6F6206">
      <w:pPr>
        <w:rPr>
          <w:rFonts w:hint="eastAsia"/>
          <w:lang w:val="en-US" w:eastAsia="zh-CN"/>
        </w:rPr>
      </w:pPr>
    </w:p>
    <w:p w14:paraId="56DC5B9B">
      <w:pPr>
        <w:snapToGrid w:val="0"/>
        <w:spacing w:line="360" w:lineRule="auto"/>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1.维保频次</w:t>
      </w:r>
    </w:p>
    <w:p w14:paraId="76D0B25D">
      <w:pPr>
        <w:snapToGrid w:val="0"/>
        <w:spacing w:line="360" w:lineRule="auto"/>
        <w:ind w:firstLine="480" w:firstLineChars="200"/>
        <w:jc w:val="both"/>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每季度提供一次维保服务，首次维保应在合同生效后第90日内完成，一年共计四次。</w:t>
      </w:r>
    </w:p>
    <w:p w14:paraId="06A1D20F">
      <w:pPr>
        <w:snapToGrid w:val="0"/>
        <w:spacing w:line="360" w:lineRule="auto"/>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2.维保服务内容</w:t>
      </w:r>
    </w:p>
    <w:p w14:paraId="12E81634">
      <w:pPr>
        <w:snapToGrid w:val="0"/>
        <w:spacing w:line="360" w:lineRule="auto"/>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color w:val="auto"/>
          <w:spacing w:val="0"/>
          <w:kern w:val="0"/>
          <w:sz w:val="24"/>
          <w:szCs w:val="22"/>
          <w:highlight w:val="none"/>
          <w:lang w:val="en-US" w:eastAsia="zh-CN" w:bidi="ar-SA"/>
        </w:rPr>
        <w:t>（1）具体的维保内容</w:t>
      </w:r>
    </w:p>
    <w:p w14:paraId="1A7A5A8A">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滤料检查：</w:t>
      </w:r>
      <w:r>
        <w:rPr>
          <w:rFonts w:hint="eastAsia" w:asciiTheme="minorEastAsia" w:hAnsiTheme="minorEastAsia" w:eastAsiaTheme="minorEastAsia" w:cstheme="minorEastAsia"/>
          <w:color w:val="auto"/>
          <w:spacing w:val="0"/>
          <w:kern w:val="0"/>
          <w:sz w:val="24"/>
          <w:szCs w:val="22"/>
          <w:highlight w:val="none"/>
          <w:lang w:val="en-US" w:eastAsia="zh-CN" w:bidi="ar-SA"/>
        </w:rPr>
        <w:t>确认滤料更换时间，并测试是否失效：对失效的滤料提醒用户及时更换。</w:t>
      </w:r>
    </w:p>
    <w:p w14:paraId="0C7A9243">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标定笔检查：</w:t>
      </w:r>
      <w:r>
        <w:rPr>
          <w:rFonts w:hint="eastAsia" w:asciiTheme="minorEastAsia" w:hAnsiTheme="minorEastAsia" w:eastAsiaTheme="minorEastAsia" w:cstheme="minorEastAsia"/>
          <w:color w:val="auto"/>
          <w:spacing w:val="0"/>
          <w:kern w:val="0"/>
          <w:sz w:val="24"/>
          <w:szCs w:val="22"/>
          <w:highlight w:val="none"/>
          <w:lang w:val="en-US" w:eastAsia="zh-CN" w:bidi="ar-SA"/>
        </w:rPr>
        <w:t>确认标定笔更换时间，并测试是否失效：对失效的标定笔提醒用户及时更换。</w:t>
      </w:r>
    </w:p>
    <w:p w14:paraId="4BC620A3">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整机外观及配件检查</w:t>
      </w:r>
      <w:r>
        <w:rPr>
          <w:rFonts w:hint="eastAsia" w:asciiTheme="minorEastAsia" w:hAnsiTheme="minorEastAsia" w:eastAsiaTheme="minorEastAsia" w:cstheme="minorEastAsia"/>
          <w:color w:val="auto"/>
          <w:spacing w:val="0"/>
          <w:kern w:val="0"/>
          <w:sz w:val="24"/>
          <w:szCs w:val="22"/>
          <w:highlight w:val="none"/>
          <w:lang w:val="en-US" w:eastAsia="zh-CN" w:bidi="ar-SA"/>
        </w:rPr>
        <w:t>：目视检查设备整机外观有无破损，配件是否缺失</w:t>
      </w:r>
    </w:p>
    <w:p w14:paraId="754902EF">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开机检查</w:t>
      </w:r>
      <w:r>
        <w:rPr>
          <w:rFonts w:hint="eastAsia" w:asciiTheme="minorEastAsia" w:hAnsiTheme="minorEastAsia" w:eastAsiaTheme="minorEastAsia" w:cstheme="minorEastAsia"/>
          <w:color w:val="auto"/>
          <w:spacing w:val="0"/>
          <w:kern w:val="0"/>
          <w:sz w:val="24"/>
          <w:szCs w:val="22"/>
          <w:highlight w:val="none"/>
          <w:lang w:val="en-US" w:eastAsia="zh-CN" w:bidi="ar-SA"/>
        </w:rPr>
        <w:t>：给主机上电，检查主机是否正常启动、指示灯显示状态是否正常。</w:t>
      </w:r>
    </w:p>
    <w:p w14:paraId="5F37A3D5">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系统运行状态检查</w:t>
      </w:r>
      <w:r>
        <w:rPr>
          <w:rFonts w:hint="eastAsia" w:asciiTheme="minorEastAsia" w:hAnsiTheme="minorEastAsia" w:eastAsiaTheme="minorEastAsia" w:cstheme="minorEastAsia"/>
          <w:color w:val="auto"/>
          <w:spacing w:val="0"/>
          <w:kern w:val="0"/>
          <w:sz w:val="24"/>
          <w:szCs w:val="22"/>
          <w:highlight w:val="none"/>
          <w:lang w:val="en-US" w:eastAsia="zh-CN" w:bidi="ar-SA"/>
        </w:rPr>
        <w:t>：系统启动后，输入用户名密码，检查是否能正常登陆，自检状态是否正常。</w:t>
      </w:r>
    </w:p>
    <w:p w14:paraId="2365CC2C">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预热状态检查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：检查主机是否25分钟内完成预热。</w:t>
      </w:r>
    </w:p>
    <w:p w14:paraId="117B4B87">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进样口指示灯检查：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检查进样口指示灯是否根据系统处于不同状态显示不同的颜色。</w:t>
      </w:r>
    </w:p>
    <w:p w14:paraId="6FF1637F">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曲线检查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：检查设备实时曲线是否正常。</w:t>
      </w:r>
    </w:p>
    <w:p w14:paraId="32BED253">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标定和验证检查：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检查设备标定和验证是否正常。</w:t>
      </w:r>
    </w:p>
    <w:p w14:paraId="381ECB33">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风扇检查：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检查主机散热风扇工作是否正常。</w:t>
      </w:r>
    </w:p>
    <w:p w14:paraId="2BFB2BFD">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扬声器检查：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检查报警时，扬声器是否工作正常。</w:t>
      </w:r>
    </w:p>
    <w:p w14:paraId="3920586C">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电池供电系统检查（仅限含电池版设备）:</w:t>
      </w:r>
      <w:r>
        <w:rPr>
          <w:rFonts w:hint="eastAsia" w:asciiTheme="minorEastAsia" w:hAnsiTheme="minorEastAsia" w:eastAsiaTheme="minorEastAsia" w:cstheme="minorEastAsia"/>
          <w:color w:val="auto"/>
          <w:spacing w:val="0"/>
          <w:kern w:val="0"/>
          <w:sz w:val="24"/>
          <w:szCs w:val="22"/>
          <w:highlight w:val="none"/>
          <w:lang w:val="en-US" w:eastAsia="zh-CN" w:bidi="ar-SA"/>
        </w:rPr>
        <w:t>检查电池充电及供电是否正常。</w:t>
      </w:r>
    </w:p>
    <w:p w14:paraId="1B8C9A41">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进样口光耦清洁:用酒精棉签清洁进样口光耦.</w:t>
      </w:r>
    </w:p>
    <w:p w14:paraId="57267E44">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风扇清洁</w:t>
      </w:r>
      <w:r>
        <w:rPr>
          <w:rFonts w:hint="eastAsia" w:asciiTheme="minorEastAsia" w:hAnsiTheme="minorEastAsia" w:eastAsiaTheme="minorEastAsia" w:cstheme="minorEastAsia"/>
          <w:color w:val="auto"/>
          <w:spacing w:val="0"/>
          <w:kern w:val="0"/>
          <w:sz w:val="24"/>
          <w:szCs w:val="22"/>
          <w:highlight w:val="none"/>
          <w:lang w:val="en-US" w:eastAsia="zh-CN" w:bidi="ar-SA"/>
        </w:rPr>
        <w:t>:清洁主机散热风扇。</w:t>
      </w:r>
    </w:p>
    <w:p w14:paraId="60E34C05">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半透膜更换</w:t>
      </w:r>
      <w:r>
        <w:rPr>
          <w:rFonts w:hint="eastAsia" w:asciiTheme="minorEastAsia" w:hAnsiTheme="minorEastAsia" w:eastAsiaTheme="minorEastAsia" w:cstheme="minorEastAsia"/>
          <w:color w:val="auto"/>
          <w:spacing w:val="0"/>
          <w:kern w:val="0"/>
          <w:sz w:val="24"/>
          <w:szCs w:val="22"/>
          <w:highlight w:val="none"/>
          <w:lang w:val="en-US" w:eastAsia="zh-CN" w:bidi="ar-SA"/>
        </w:rPr>
        <w:t>：做半年度、年度维保保养时清洁或更换半透膜。</w:t>
      </w:r>
    </w:p>
    <w:p w14:paraId="5E161125">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存储数据清理（半年一次）</w:t>
      </w:r>
    </w:p>
    <w:p w14:paraId="2DC0AF8D">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在征得用户同意的情况下，将早于6个月前的存储数据进行清除</w:t>
      </w:r>
      <w:r>
        <w:rPr>
          <w:rFonts w:hint="eastAsia" w:asciiTheme="minorEastAsia" w:hAnsiTheme="minorEastAsia" w:eastAsiaTheme="minorEastAsia" w:cstheme="minorEastAsia"/>
          <w:color w:val="auto"/>
          <w:spacing w:val="0"/>
          <w:kern w:val="0"/>
          <w:sz w:val="24"/>
          <w:szCs w:val="22"/>
          <w:highlight w:val="none"/>
          <w:lang w:val="en-US" w:eastAsia="zh-CN" w:bidi="ar-SA"/>
        </w:rPr>
        <w:t>。</w:t>
      </w:r>
    </w:p>
    <w:p w14:paraId="399206F3">
      <w:pPr>
        <w:widowControl w:val="0"/>
        <w:numPr>
          <w:ilvl w:val="0"/>
          <w:numId w:val="0"/>
        </w:numPr>
        <w:spacing w:line="520" w:lineRule="exact"/>
        <w:ind w:leftChars="200"/>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b/>
          <w:bCs/>
          <w:color w:val="000000"/>
          <w:spacing w:val="0"/>
          <w:kern w:val="0"/>
          <w:sz w:val="24"/>
          <w:szCs w:val="22"/>
          <w:highlight w:val="none"/>
          <w:lang w:val="en-US" w:eastAsia="zh-CN" w:bidi="ar-SA"/>
        </w:rPr>
        <w:t>（2）服务要求：</w:t>
      </w:r>
    </w:p>
    <w:p w14:paraId="5E3D0C41">
      <w:pPr>
        <w:pStyle w:val="2"/>
        <w:rPr>
          <w:rFonts w:hint="eastAsia"/>
          <w:lang w:val="en-US" w:eastAsia="zh-CN"/>
        </w:rPr>
      </w:pPr>
    </w:p>
    <w:p w14:paraId="0986A6F6">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中标人需确保招标人通过服务期内2次设备定检工作。</w:t>
      </w:r>
    </w:p>
    <w:p w14:paraId="70348E69">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中标人提供电话供招标人报修故障，此电话保持 7×24小时响应。</w:t>
      </w:r>
    </w:p>
    <w:p w14:paraId="5BFBB578">
      <w:pPr>
        <w:widowControl w:val="0"/>
        <w:numPr>
          <w:ilvl w:val="0"/>
          <w:numId w:val="6"/>
        </w:numPr>
        <w:spacing w:line="520" w:lineRule="exact"/>
        <w:ind w:left="0" w:leftChars="0" w:firstLine="480" w:firstLineChars="200"/>
        <w:jc w:val="both"/>
        <w:rPr>
          <w:rFonts w:hint="eastAsia"/>
          <w:color w:val="auto"/>
          <w:highlight w:val="none"/>
          <w:lang w:val="en-US" w:eastAsia="zh-CN"/>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中标人保证</w:t>
      </w:r>
      <w:r>
        <w:rPr>
          <w:rFonts w:hint="eastAsia" w:asciiTheme="minorEastAsia" w:hAnsiTheme="minorEastAsia" w:eastAsiaTheme="minorEastAsia" w:cstheme="minorEastAsia"/>
          <w:color w:val="auto"/>
          <w:spacing w:val="0"/>
          <w:kern w:val="0"/>
          <w:sz w:val="24"/>
          <w:szCs w:val="22"/>
          <w:highlight w:val="none"/>
          <w:lang w:val="en-US" w:eastAsia="zh-CN" w:bidi="ar-SA"/>
        </w:rPr>
        <w:t>接到</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报修后，工程师 2小时内响应，优先给予电话指导。如电话指导无法解决，工程师将在 24 小时内到达现场，并保证持续维保直到设备完全修复。如因特殊天气及其他不可抗力的条件导致</w:t>
      </w:r>
      <w:r>
        <w:rPr>
          <w:rFonts w:hint="eastAsia" w:asciiTheme="minorEastAsia" w:hAnsiTheme="minorEastAsia" w:eastAsiaTheme="minorEastAsia" w:cstheme="minorEastAsia"/>
          <w:color w:val="000000"/>
          <w:spacing w:val="0"/>
          <w:kern w:val="0"/>
          <w:sz w:val="24"/>
          <w:szCs w:val="22"/>
          <w:highlight w:val="none"/>
          <w:lang w:val="en-US" w:eastAsia="zh-CN" w:bidi="ar-SA"/>
        </w:rPr>
        <w:t>中标人维保</w:t>
      </w:r>
      <w:r>
        <w:rPr>
          <w:rFonts w:hint="eastAsia" w:asciiTheme="minorEastAsia" w:hAnsiTheme="minorEastAsia" w:eastAsiaTheme="minorEastAsia" w:cstheme="minorEastAsia"/>
          <w:color w:val="auto"/>
          <w:spacing w:val="0"/>
          <w:kern w:val="0"/>
          <w:sz w:val="24"/>
          <w:szCs w:val="22"/>
          <w:highlight w:val="none"/>
          <w:lang w:val="en-US" w:eastAsia="zh-CN" w:bidi="ar-SA"/>
        </w:rPr>
        <w:t>人员未能及时到达故障设备现场的除外。</w:t>
      </w:r>
    </w:p>
    <w:p w14:paraId="6296BE02">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auto"/>
          <w:spacing w:val="0"/>
          <w:kern w:val="0"/>
          <w:sz w:val="24"/>
          <w:szCs w:val="22"/>
          <w:highlight w:val="none"/>
          <w:lang w:val="en-US" w:eastAsia="zh-CN" w:bidi="ar-SA"/>
        </w:rPr>
        <w:t>在完成故障排除后，</w:t>
      </w:r>
      <w:r>
        <w:rPr>
          <w:rFonts w:hint="eastAsia" w:asciiTheme="minorEastAsia" w:hAnsiTheme="minorEastAsia" w:eastAsiaTheme="minorEastAsia" w:cstheme="minorEastAsia"/>
          <w:color w:val="000000"/>
          <w:spacing w:val="0"/>
          <w:kern w:val="0"/>
          <w:sz w:val="24"/>
          <w:szCs w:val="22"/>
          <w:highlight w:val="none"/>
          <w:lang w:val="en-US" w:eastAsia="zh-CN" w:bidi="ar-SA"/>
        </w:rPr>
        <w:t>中标人</w:t>
      </w:r>
      <w:r>
        <w:rPr>
          <w:rFonts w:hint="eastAsia" w:asciiTheme="minorEastAsia" w:hAnsiTheme="minorEastAsia" w:eastAsiaTheme="minorEastAsia" w:cstheme="minorEastAsia"/>
          <w:color w:val="auto"/>
          <w:spacing w:val="0"/>
          <w:kern w:val="0"/>
          <w:sz w:val="24"/>
          <w:szCs w:val="22"/>
          <w:highlight w:val="none"/>
          <w:lang w:val="en-US" w:eastAsia="zh-CN" w:bidi="ar-SA"/>
        </w:rPr>
        <w:t>及时向</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指定人员提交故障报告，明确故障接报时间、处理人员到场时间、故障现象、故障原因、故障排除过程、后续防范措施等。</w:t>
      </w:r>
    </w:p>
    <w:p w14:paraId="673FCF6D">
      <w:pPr>
        <w:widowControl w:val="0"/>
        <w:numPr>
          <w:ilvl w:val="0"/>
          <w:numId w:val="6"/>
        </w:numPr>
        <w:spacing w:line="520" w:lineRule="exact"/>
        <w:ind w:left="0" w:leftChars="0" w:firstLine="480" w:firstLineChars="200"/>
        <w:jc w:val="both"/>
        <w:rPr>
          <w:rFonts w:hint="eastAsia" w:asciiTheme="minorEastAsia" w:hAnsi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在维保服务期间，中标人可为招标人提供有关设备使用和简单维保技能的培训服务。</w:t>
      </w:r>
    </w:p>
    <w:p w14:paraId="7F3091CC">
      <w:pPr>
        <w:pStyle w:val="2"/>
        <w:rPr>
          <w:rFonts w:hint="default"/>
          <w:lang w:val="en-US" w:eastAsia="zh-CN"/>
        </w:rPr>
      </w:pPr>
    </w:p>
    <w:p w14:paraId="31B89123">
      <w:pPr>
        <w:widowControl w:val="0"/>
        <w:numPr>
          <w:ilvl w:val="0"/>
          <w:numId w:val="0"/>
        </w:numPr>
        <w:spacing w:line="520" w:lineRule="exact"/>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cstheme="minorEastAsia"/>
          <w:b/>
          <w:bCs/>
          <w:color w:val="000000"/>
          <w:spacing w:val="0"/>
          <w:kern w:val="0"/>
          <w:sz w:val="24"/>
          <w:szCs w:val="22"/>
          <w:highlight w:val="none"/>
          <w:lang w:val="en-US" w:eastAsia="zh-CN" w:bidi="ar-SA"/>
        </w:rPr>
        <w:t>3.</w:t>
      </w:r>
      <w:r>
        <w:rPr>
          <w:rFonts w:hint="eastAsia" w:asciiTheme="minorEastAsia" w:hAnsiTheme="minorEastAsia" w:eastAsiaTheme="minorEastAsia" w:cstheme="minorEastAsia"/>
          <w:b/>
          <w:bCs/>
          <w:color w:val="000000"/>
          <w:spacing w:val="0"/>
          <w:kern w:val="0"/>
          <w:sz w:val="24"/>
          <w:szCs w:val="22"/>
          <w:highlight w:val="none"/>
          <w:lang w:val="en-US" w:eastAsia="zh-CN" w:bidi="ar-SA"/>
        </w:rPr>
        <w:t>维保的材料清单</w:t>
      </w:r>
    </w:p>
    <w:p w14:paraId="43CAB566">
      <w:pPr>
        <w:widowControl w:val="0"/>
        <w:numPr>
          <w:ilvl w:val="0"/>
          <w:numId w:val="0"/>
        </w:numPr>
        <w:spacing w:line="520" w:lineRule="exact"/>
        <w:ind w:firstLine="240" w:firstLineChars="1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维保的备品备件由中标人提供，包括不限于以下清单内容：</w:t>
      </w:r>
    </w:p>
    <w:p w14:paraId="721F657C">
      <w:pPr>
        <w:pStyle w:val="2"/>
        <w:rPr>
          <w:rFonts w:hint="eastAsia" w:asciiTheme="minorEastAsia" w:hAnsiTheme="minorEastAsia" w:cstheme="minorEastAsia"/>
          <w:color w:val="000000"/>
          <w:spacing w:val="0"/>
          <w:kern w:val="0"/>
          <w:sz w:val="24"/>
          <w:szCs w:val="22"/>
          <w:highlight w:val="yellow"/>
          <w:lang w:val="en-US" w:eastAsia="zh-CN" w:bidi="ar-SA"/>
        </w:rPr>
      </w:pPr>
    </w:p>
    <w:p w14:paraId="44D31021">
      <w:pPr>
        <w:pStyle w:val="2"/>
        <w:jc w:val="center"/>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备品备件清单</w:t>
      </w:r>
    </w:p>
    <w:p w14:paraId="32413D50">
      <w:pPr>
        <w:spacing w:line="250" w:lineRule="exact"/>
        <w:rPr>
          <w:rFonts w:hint="eastAsia" w:ascii="宋体" w:hAnsi="宋体"/>
          <w:color w:val="000000"/>
          <w:szCs w:val="22"/>
          <w:lang w:val="en-US" w:eastAsia="zh-CN"/>
        </w:rPr>
      </w:pPr>
      <w:r>
        <w:rPr>
          <w:rFonts w:hint="eastAsia" w:ascii="宋体" w:hAnsi="宋体"/>
          <w:color w:val="000000"/>
          <w:szCs w:val="22"/>
          <w:lang w:val="en-US" w:eastAsia="zh-CN"/>
        </w:rPr>
        <w:t xml:space="preserve">                                </w:t>
      </w:r>
    </w:p>
    <w:tbl>
      <w:tblPr>
        <w:tblStyle w:val="25"/>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
        <w:gridCol w:w="3621"/>
        <w:gridCol w:w="2922"/>
        <w:gridCol w:w="1114"/>
        <w:gridCol w:w="1234"/>
      </w:tblGrid>
      <w:tr w14:paraId="6746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7158D">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FA0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物料名称</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A3C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79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ABE0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4828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68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1E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E4D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BZA207000-XIV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292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C5105">
            <w:pPr>
              <w:jc w:val="center"/>
              <w:rPr>
                <w:rFonts w:hint="eastAsia" w:ascii="微软雅黑" w:hAnsi="微软雅黑" w:eastAsia="微软雅黑" w:cs="微软雅黑"/>
                <w:i w:val="0"/>
                <w:iCs w:val="0"/>
                <w:color w:val="000000"/>
                <w:sz w:val="22"/>
                <w:szCs w:val="22"/>
                <w:u w:val="none"/>
              </w:rPr>
            </w:pPr>
          </w:p>
        </w:tc>
      </w:tr>
      <w:tr w14:paraId="5FEB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62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2AA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工控机转接板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D6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BZOA0203400-XIV</w:t>
            </w:r>
          </w:p>
        </w:tc>
        <w:tc>
          <w:tcPr>
            <w:tcW w:w="591" w:type="pct"/>
            <w:tcBorders>
              <w:top w:val="nil"/>
              <w:left w:val="nil"/>
              <w:bottom w:val="nil"/>
              <w:right w:val="nil"/>
            </w:tcBorders>
            <w:shd w:val="clear" w:color="auto" w:fill="auto"/>
            <w:noWrap/>
            <w:vAlign w:val="bottom"/>
          </w:tcPr>
          <w:p w14:paraId="60F89DE8">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nil"/>
              <w:right w:val="single" w:color="000000" w:sz="4" w:space="0"/>
            </w:tcBorders>
            <w:shd w:val="clear" w:color="auto" w:fill="FFFFFF"/>
            <w:noWrap/>
            <w:vAlign w:val="center"/>
          </w:tcPr>
          <w:p w14:paraId="02A297FC">
            <w:pPr>
              <w:jc w:val="center"/>
              <w:rPr>
                <w:rFonts w:hint="eastAsia" w:ascii="微软雅黑" w:hAnsi="微软雅黑" w:eastAsia="微软雅黑" w:cs="微软雅黑"/>
                <w:i w:val="0"/>
                <w:iCs w:val="0"/>
                <w:color w:val="000000"/>
                <w:sz w:val="22"/>
                <w:szCs w:val="22"/>
                <w:u w:val="none"/>
              </w:rPr>
            </w:pPr>
          </w:p>
        </w:tc>
      </w:tr>
      <w:tr w14:paraId="25F3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72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6F1EDA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CDIMS正模式综合板组件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F9E66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BZOA0302300-XIV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6146E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9A4C175">
            <w:pPr>
              <w:jc w:val="center"/>
              <w:rPr>
                <w:rFonts w:hint="eastAsia" w:ascii="微软雅黑" w:hAnsi="微软雅黑" w:eastAsia="微软雅黑" w:cs="微软雅黑"/>
                <w:i w:val="0"/>
                <w:iCs w:val="0"/>
                <w:color w:val="000000"/>
                <w:sz w:val="22"/>
                <w:szCs w:val="22"/>
                <w:u w:val="none"/>
              </w:rPr>
            </w:pPr>
          </w:p>
        </w:tc>
      </w:tr>
      <w:tr w14:paraId="5382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1C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53945E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CDIMS负模式综合板组件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1869C1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BZOA0302400-XIV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8B01E5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F45358">
            <w:pPr>
              <w:jc w:val="center"/>
              <w:rPr>
                <w:rFonts w:hint="eastAsia" w:ascii="微软雅黑" w:hAnsi="微软雅黑" w:eastAsia="微软雅黑" w:cs="微软雅黑"/>
                <w:i w:val="0"/>
                <w:iCs w:val="0"/>
                <w:color w:val="000000"/>
                <w:sz w:val="22"/>
                <w:szCs w:val="22"/>
                <w:u w:val="none"/>
              </w:rPr>
            </w:pPr>
          </w:p>
        </w:tc>
      </w:tr>
      <w:tr w14:paraId="4E48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72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2773A2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TR2000DC探测器</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537607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BZOA0400000-XIV</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9C58C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54B62A5C">
            <w:pPr>
              <w:jc w:val="center"/>
              <w:rPr>
                <w:rFonts w:hint="eastAsia" w:ascii="微软雅黑" w:hAnsi="微软雅黑" w:eastAsia="微软雅黑" w:cs="微软雅黑"/>
                <w:i w:val="0"/>
                <w:iCs w:val="0"/>
                <w:color w:val="000000"/>
                <w:sz w:val="22"/>
                <w:szCs w:val="22"/>
                <w:u w:val="none"/>
              </w:rPr>
            </w:pPr>
          </w:p>
        </w:tc>
      </w:tr>
      <w:tr w14:paraId="6C9B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42A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2E9FB2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迁移气泵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4A811B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BZA208020-XIV-01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2F400F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1B6D4D5">
            <w:pPr>
              <w:jc w:val="center"/>
              <w:rPr>
                <w:rFonts w:hint="eastAsia" w:ascii="微软雅黑" w:hAnsi="微软雅黑" w:eastAsia="微软雅黑" w:cs="微软雅黑"/>
                <w:i w:val="0"/>
                <w:iCs w:val="0"/>
                <w:color w:val="000000"/>
                <w:sz w:val="22"/>
                <w:szCs w:val="22"/>
                <w:u w:val="none"/>
              </w:rPr>
            </w:pPr>
          </w:p>
        </w:tc>
      </w:tr>
      <w:tr w14:paraId="0BE0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F975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2D7D53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进样气泵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651950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BZA208030-XIV-01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FA1B1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7CEB444">
            <w:pPr>
              <w:jc w:val="center"/>
              <w:rPr>
                <w:rFonts w:hint="eastAsia" w:ascii="微软雅黑" w:hAnsi="微软雅黑" w:eastAsia="微软雅黑" w:cs="微软雅黑"/>
                <w:i w:val="0"/>
                <w:iCs w:val="0"/>
                <w:color w:val="000000"/>
                <w:sz w:val="22"/>
                <w:szCs w:val="22"/>
                <w:u w:val="none"/>
              </w:rPr>
            </w:pPr>
          </w:p>
        </w:tc>
      </w:tr>
      <w:tr w14:paraId="638E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B79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85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反吹气泵</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6E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BZA208010-XIV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33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6E53D">
            <w:pPr>
              <w:jc w:val="center"/>
              <w:rPr>
                <w:rFonts w:hint="eastAsia" w:ascii="微软雅黑" w:hAnsi="微软雅黑" w:eastAsia="微软雅黑" w:cs="微软雅黑"/>
                <w:i w:val="0"/>
                <w:iCs w:val="0"/>
                <w:color w:val="000000"/>
                <w:sz w:val="22"/>
                <w:szCs w:val="22"/>
                <w:u w:val="none"/>
              </w:rPr>
            </w:pPr>
          </w:p>
        </w:tc>
      </w:tr>
      <w:tr w14:paraId="1EA4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B8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1119DB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标定电磁阀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88C05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BZA209010-XIV-01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5A7C3E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79C843F9">
            <w:pPr>
              <w:jc w:val="center"/>
              <w:rPr>
                <w:rFonts w:hint="eastAsia" w:ascii="微软雅黑" w:hAnsi="微软雅黑" w:eastAsia="微软雅黑" w:cs="微软雅黑"/>
                <w:i w:val="0"/>
                <w:iCs w:val="0"/>
                <w:color w:val="000000"/>
                <w:sz w:val="22"/>
                <w:szCs w:val="22"/>
                <w:u w:val="none"/>
              </w:rPr>
            </w:pPr>
          </w:p>
        </w:tc>
      </w:tr>
      <w:tr w14:paraId="2DC6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CD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491FE8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768EB0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BZA209020-XIV-01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4E87B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74DF11D6">
            <w:pPr>
              <w:jc w:val="center"/>
              <w:rPr>
                <w:rFonts w:hint="eastAsia" w:ascii="微软雅黑" w:hAnsi="微软雅黑" w:eastAsia="微软雅黑" w:cs="微软雅黑"/>
                <w:i w:val="0"/>
                <w:iCs w:val="0"/>
                <w:color w:val="000000"/>
                <w:sz w:val="22"/>
                <w:szCs w:val="22"/>
                <w:u w:val="none"/>
              </w:rPr>
            </w:pPr>
          </w:p>
        </w:tc>
      </w:tr>
      <w:tr w14:paraId="62BF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86E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6156F9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掺杂截止电磁阀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61C9D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BZA209030-XIV-02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00F4F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7F5181A">
            <w:pPr>
              <w:jc w:val="center"/>
              <w:rPr>
                <w:rFonts w:hint="eastAsia" w:ascii="微软雅黑" w:hAnsi="微软雅黑" w:eastAsia="微软雅黑" w:cs="微软雅黑"/>
                <w:i w:val="0"/>
                <w:iCs w:val="0"/>
                <w:color w:val="000000"/>
                <w:sz w:val="22"/>
                <w:szCs w:val="22"/>
                <w:u w:val="none"/>
              </w:rPr>
            </w:pPr>
          </w:p>
        </w:tc>
      </w:tr>
      <w:tr w14:paraId="0DE0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300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07C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环境模块套件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1F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BZA213000-XIV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16F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93C37">
            <w:pPr>
              <w:jc w:val="center"/>
              <w:rPr>
                <w:rFonts w:hint="eastAsia" w:ascii="微软雅黑" w:hAnsi="微软雅黑" w:eastAsia="微软雅黑" w:cs="微软雅黑"/>
                <w:i w:val="0"/>
                <w:iCs w:val="0"/>
                <w:color w:val="000000"/>
                <w:sz w:val="22"/>
                <w:szCs w:val="22"/>
                <w:u w:val="none"/>
              </w:rPr>
            </w:pPr>
          </w:p>
        </w:tc>
      </w:tr>
      <w:tr w14:paraId="10A4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A4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3F2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AC/DC电源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649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SP-240-24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978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7302">
            <w:pPr>
              <w:jc w:val="center"/>
              <w:rPr>
                <w:rFonts w:hint="eastAsia" w:ascii="微软雅黑" w:hAnsi="微软雅黑" w:eastAsia="微软雅黑" w:cs="微软雅黑"/>
                <w:i w:val="0"/>
                <w:iCs w:val="0"/>
                <w:color w:val="000000"/>
                <w:sz w:val="22"/>
                <w:szCs w:val="22"/>
                <w:u w:val="none"/>
              </w:rPr>
            </w:pPr>
          </w:p>
        </w:tc>
      </w:tr>
      <w:tr w14:paraId="2457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FC8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50F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开关滤波器模块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24F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BZA204000-XIV </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E2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98636">
            <w:pPr>
              <w:jc w:val="center"/>
              <w:rPr>
                <w:rFonts w:hint="eastAsia" w:ascii="微软雅黑" w:hAnsi="微软雅黑" w:eastAsia="微软雅黑" w:cs="微软雅黑"/>
                <w:i w:val="0"/>
                <w:iCs w:val="0"/>
                <w:color w:val="000000"/>
                <w:sz w:val="22"/>
                <w:szCs w:val="22"/>
                <w:u w:val="none"/>
              </w:rPr>
            </w:pPr>
          </w:p>
        </w:tc>
      </w:tr>
      <w:tr w14:paraId="71CD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22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DF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电源管理板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65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F62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0EEC3">
            <w:pPr>
              <w:jc w:val="center"/>
              <w:rPr>
                <w:rFonts w:hint="eastAsia" w:ascii="微软雅黑" w:hAnsi="微软雅黑" w:eastAsia="微软雅黑" w:cs="微软雅黑"/>
                <w:i w:val="0"/>
                <w:iCs w:val="0"/>
                <w:color w:val="000000"/>
                <w:sz w:val="22"/>
                <w:szCs w:val="22"/>
                <w:u w:val="none"/>
              </w:rPr>
            </w:pPr>
          </w:p>
        </w:tc>
      </w:tr>
      <w:tr w14:paraId="3E14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A0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449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CDIMS控制板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BD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BZOA0403400-XIV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C1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FE3D">
            <w:pPr>
              <w:jc w:val="center"/>
              <w:rPr>
                <w:rFonts w:hint="eastAsia" w:ascii="微软雅黑" w:hAnsi="微软雅黑" w:eastAsia="微软雅黑" w:cs="微软雅黑"/>
                <w:i w:val="0"/>
                <w:iCs w:val="0"/>
                <w:color w:val="000000"/>
                <w:sz w:val="22"/>
                <w:szCs w:val="22"/>
                <w:u w:val="none"/>
              </w:rPr>
            </w:pPr>
          </w:p>
        </w:tc>
      </w:tr>
      <w:tr w14:paraId="6CB8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2F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971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CDIMS高压板组件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CEB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BZOA0404000-XIV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F45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C43C0">
            <w:pPr>
              <w:jc w:val="center"/>
              <w:rPr>
                <w:rFonts w:hint="eastAsia" w:ascii="微软雅黑" w:hAnsi="微软雅黑" w:eastAsia="微软雅黑" w:cs="微软雅黑"/>
                <w:i w:val="0"/>
                <w:iCs w:val="0"/>
                <w:color w:val="000000"/>
                <w:sz w:val="22"/>
                <w:szCs w:val="22"/>
                <w:u w:val="none"/>
              </w:rPr>
            </w:pPr>
          </w:p>
        </w:tc>
      </w:tr>
      <w:tr w14:paraId="39A9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B3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8A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TR2000DC整机电缆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FF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D9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11FF">
            <w:pPr>
              <w:jc w:val="center"/>
              <w:rPr>
                <w:rFonts w:hint="eastAsia" w:ascii="微软雅黑" w:hAnsi="微软雅黑" w:eastAsia="微软雅黑" w:cs="微软雅黑"/>
                <w:i w:val="0"/>
                <w:iCs w:val="0"/>
                <w:color w:val="000000"/>
                <w:sz w:val="22"/>
                <w:szCs w:val="22"/>
                <w:u w:val="none"/>
              </w:rPr>
            </w:pPr>
          </w:p>
        </w:tc>
      </w:tr>
      <w:tr w14:paraId="5C3A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F3C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DF5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进样检测指示板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EB8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BZOA0405100-Ⅷ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97A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AFD45">
            <w:pPr>
              <w:jc w:val="center"/>
              <w:rPr>
                <w:rFonts w:hint="eastAsia" w:ascii="微软雅黑" w:hAnsi="微软雅黑" w:eastAsia="微软雅黑" w:cs="微软雅黑"/>
                <w:i w:val="0"/>
                <w:iCs w:val="0"/>
                <w:color w:val="000000"/>
                <w:sz w:val="22"/>
                <w:szCs w:val="22"/>
                <w:u w:val="none"/>
              </w:rPr>
            </w:pPr>
          </w:p>
        </w:tc>
      </w:tr>
      <w:tr w14:paraId="2D8E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7D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44B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进样指示FPC线缆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613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BZOA0800012-VI</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CA0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53BE">
            <w:pPr>
              <w:jc w:val="center"/>
              <w:rPr>
                <w:rFonts w:hint="eastAsia" w:ascii="微软雅黑" w:hAnsi="微软雅黑" w:eastAsia="微软雅黑" w:cs="微软雅黑"/>
                <w:i w:val="0"/>
                <w:iCs w:val="0"/>
                <w:color w:val="000000"/>
                <w:sz w:val="22"/>
                <w:szCs w:val="22"/>
                <w:u w:val="none"/>
              </w:rPr>
            </w:pPr>
          </w:p>
        </w:tc>
      </w:tr>
      <w:tr w14:paraId="4556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6B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45C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TR2000DC触摸液晶屏</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04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BZA201000-XIV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9A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FA74">
            <w:pPr>
              <w:jc w:val="center"/>
              <w:rPr>
                <w:rFonts w:hint="eastAsia" w:ascii="微软雅黑" w:hAnsi="微软雅黑" w:eastAsia="微软雅黑" w:cs="微软雅黑"/>
                <w:i w:val="0"/>
                <w:iCs w:val="0"/>
                <w:color w:val="000000"/>
                <w:sz w:val="22"/>
                <w:szCs w:val="22"/>
                <w:u w:val="none"/>
              </w:rPr>
            </w:pPr>
          </w:p>
        </w:tc>
      </w:tr>
      <w:tr w14:paraId="46BB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6AF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77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风扇</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15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F2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F02B">
            <w:pPr>
              <w:jc w:val="center"/>
              <w:rPr>
                <w:rFonts w:hint="eastAsia" w:ascii="微软雅黑" w:hAnsi="微软雅黑" w:eastAsia="微软雅黑" w:cs="微软雅黑"/>
                <w:i w:val="0"/>
                <w:iCs w:val="0"/>
                <w:color w:val="000000"/>
                <w:sz w:val="22"/>
                <w:szCs w:val="22"/>
                <w:u w:val="none"/>
              </w:rPr>
            </w:pPr>
          </w:p>
        </w:tc>
      </w:tr>
      <w:tr w14:paraId="4E72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510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08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扬声器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CC0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BZA205000-XIV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47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33974">
            <w:pPr>
              <w:jc w:val="center"/>
              <w:rPr>
                <w:rFonts w:hint="eastAsia" w:ascii="微软雅黑" w:hAnsi="微软雅黑" w:eastAsia="微软雅黑" w:cs="微软雅黑"/>
                <w:i w:val="0"/>
                <w:iCs w:val="0"/>
                <w:color w:val="000000"/>
                <w:sz w:val="22"/>
                <w:szCs w:val="22"/>
                <w:u w:val="none"/>
              </w:rPr>
            </w:pPr>
          </w:p>
        </w:tc>
      </w:tr>
      <w:tr w14:paraId="1BD8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E9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49C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打印机</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5F2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RD-EM32-S</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C88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1916C">
            <w:pPr>
              <w:jc w:val="center"/>
              <w:rPr>
                <w:rFonts w:hint="eastAsia" w:ascii="微软雅黑" w:hAnsi="微软雅黑" w:eastAsia="微软雅黑" w:cs="微软雅黑"/>
                <w:i w:val="0"/>
                <w:iCs w:val="0"/>
                <w:color w:val="000000"/>
                <w:sz w:val="22"/>
                <w:szCs w:val="22"/>
                <w:u w:val="none"/>
              </w:rPr>
            </w:pPr>
          </w:p>
        </w:tc>
      </w:tr>
      <w:tr w14:paraId="5FD8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B7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310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塑料滤料罐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A36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BZA202000-XIV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BD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19A9">
            <w:pPr>
              <w:jc w:val="center"/>
              <w:rPr>
                <w:rFonts w:hint="eastAsia" w:ascii="微软雅黑" w:hAnsi="微软雅黑" w:eastAsia="微软雅黑" w:cs="微软雅黑"/>
                <w:i w:val="0"/>
                <w:iCs w:val="0"/>
                <w:color w:val="000000"/>
                <w:sz w:val="22"/>
                <w:szCs w:val="22"/>
                <w:u w:val="none"/>
              </w:rPr>
            </w:pPr>
          </w:p>
        </w:tc>
      </w:tr>
      <w:tr w14:paraId="2A45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68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4E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主机机壳组件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E46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522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4B8D5">
            <w:pPr>
              <w:jc w:val="center"/>
              <w:rPr>
                <w:rFonts w:hint="eastAsia" w:ascii="微软雅黑" w:hAnsi="微软雅黑" w:eastAsia="微软雅黑" w:cs="微软雅黑"/>
                <w:i w:val="0"/>
                <w:iCs w:val="0"/>
                <w:color w:val="000000"/>
                <w:sz w:val="22"/>
                <w:szCs w:val="22"/>
                <w:u w:val="none"/>
              </w:rPr>
            </w:pPr>
          </w:p>
        </w:tc>
      </w:tr>
      <w:tr w14:paraId="0D24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1C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1AB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专用工具套件-01A</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A28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BZA500000-01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237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D1DE8">
            <w:pPr>
              <w:jc w:val="center"/>
              <w:rPr>
                <w:rFonts w:hint="eastAsia" w:ascii="微软雅黑" w:hAnsi="微软雅黑" w:eastAsia="微软雅黑" w:cs="微软雅黑"/>
                <w:i w:val="0"/>
                <w:iCs w:val="0"/>
                <w:color w:val="000000"/>
                <w:sz w:val="22"/>
                <w:szCs w:val="22"/>
                <w:u w:val="none"/>
              </w:rPr>
            </w:pPr>
          </w:p>
        </w:tc>
      </w:tr>
      <w:tr w14:paraId="52FB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93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4CD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擦拭取样器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2BE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BZOA0200100-01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B97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22A33">
            <w:pPr>
              <w:jc w:val="center"/>
              <w:rPr>
                <w:rFonts w:hint="eastAsia" w:ascii="微软雅黑" w:hAnsi="微软雅黑" w:eastAsia="微软雅黑" w:cs="微软雅黑"/>
                <w:i w:val="0"/>
                <w:iCs w:val="0"/>
                <w:color w:val="000000"/>
                <w:sz w:val="22"/>
                <w:szCs w:val="22"/>
                <w:u w:val="none"/>
              </w:rPr>
            </w:pPr>
          </w:p>
        </w:tc>
      </w:tr>
      <w:tr w14:paraId="63A2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E9D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FBD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拭纸烘焙器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07D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BZA800000-02</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FAD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CCD4">
            <w:pPr>
              <w:jc w:val="center"/>
              <w:rPr>
                <w:rFonts w:hint="eastAsia" w:ascii="微软雅黑" w:hAnsi="微软雅黑" w:eastAsia="微软雅黑" w:cs="微软雅黑"/>
                <w:i w:val="0"/>
                <w:iCs w:val="0"/>
                <w:color w:val="000000"/>
                <w:sz w:val="22"/>
                <w:szCs w:val="22"/>
                <w:u w:val="none"/>
              </w:rPr>
            </w:pPr>
          </w:p>
        </w:tc>
      </w:tr>
      <w:tr w14:paraId="59A5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D41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EB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TR2000DC包装箱</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99A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BZOA0600000-XIV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CB0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61715">
            <w:pPr>
              <w:jc w:val="center"/>
              <w:rPr>
                <w:rFonts w:hint="eastAsia" w:ascii="微软雅黑" w:hAnsi="微软雅黑" w:eastAsia="微软雅黑" w:cs="微软雅黑"/>
                <w:i w:val="0"/>
                <w:iCs w:val="0"/>
                <w:color w:val="000000"/>
                <w:sz w:val="22"/>
                <w:szCs w:val="22"/>
                <w:u w:val="none"/>
              </w:rPr>
            </w:pPr>
          </w:p>
        </w:tc>
      </w:tr>
      <w:tr w14:paraId="60ED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840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922" w:type="pct"/>
            <w:tcBorders>
              <w:top w:val="single" w:color="000000" w:sz="4" w:space="0"/>
              <w:left w:val="single" w:color="000000" w:sz="4" w:space="0"/>
              <w:bottom w:val="nil"/>
              <w:right w:val="single" w:color="000000" w:sz="4" w:space="0"/>
            </w:tcBorders>
            <w:shd w:val="clear" w:color="auto" w:fill="FFFFFF"/>
            <w:noWrap w:val="0"/>
            <w:vAlign w:val="center"/>
          </w:tcPr>
          <w:p w14:paraId="2D9D1A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国标交流电源线</w:t>
            </w:r>
          </w:p>
        </w:tc>
        <w:tc>
          <w:tcPr>
            <w:tcW w:w="1551" w:type="pct"/>
            <w:tcBorders>
              <w:top w:val="single" w:color="000000" w:sz="4" w:space="0"/>
              <w:left w:val="single" w:color="000000" w:sz="4" w:space="0"/>
              <w:bottom w:val="nil"/>
              <w:right w:val="single" w:color="000000" w:sz="4" w:space="0"/>
            </w:tcBorders>
            <w:shd w:val="clear" w:color="auto" w:fill="FFFFFF"/>
            <w:noWrap w:val="0"/>
            <w:vAlign w:val="center"/>
          </w:tcPr>
          <w:p w14:paraId="347A3E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EP3C-03</w:t>
            </w:r>
          </w:p>
        </w:tc>
        <w:tc>
          <w:tcPr>
            <w:tcW w:w="591" w:type="pct"/>
            <w:tcBorders>
              <w:top w:val="single" w:color="000000" w:sz="4" w:space="0"/>
              <w:left w:val="single" w:color="000000" w:sz="4" w:space="0"/>
              <w:bottom w:val="nil"/>
              <w:right w:val="single" w:color="000000" w:sz="4" w:space="0"/>
            </w:tcBorders>
            <w:shd w:val="clear" w:color="auto" w:fill="FFFFFF"/>
            <w:noWrap w:val="0"/>
            <w:vAlign w:val="center"/>
          </w:tcPr>
          <w:p w14:paraId="6EF1E9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D043A">
            <w:pPr>
              <w:jc w:val="center"/>
              <w:rPr>
                <w:rFonts w:hint="eastAsia" w:ascii="微软雅黑" w:hAnsi="微软雅黑" w:eastAsia="微软雅黑" w:cs="微软雅黑"/>
                <w:i w:val="0"/>
                <w:iCs w:val="0"/>
                <w:color w:val="000000"/>
                <w:sz w:val="22"/>
                <w:szCs w:val="22"/>
                <w:u w:val="none"/>
              </w:rPr>
            </w:pPr>
          </w:p>
        </w:tc>
      </w:tr>
      <w:tr w14:paraId="3534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20A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44C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进样器保温上块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8CD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BZOA0400130-XIV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52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4C6D3">
            <w:pPr>
              <w:jc w:val="center"/>
              <w:rPr>
                <w:rFonts w:hint="eastAsia" w:ascii="微软雅黑" w:hAnsi="微软雅黑" w:eastAsia="微软雅黑" w:cs="微软雅黑"/>
                <w:i w:val="0"/>
                <w:iCs w:val="0"/>
                <w:color w:val="000000"/>
                <w:sz w:val="22"/>
                <w:szCs w:val="22"/>
                <w:u w:val="none"/>
              </w:rPr>
            </w:pPr>
          </w:p>
        </w:tc>
      </w:tr>
      <w:tr w14:paraId="603F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E13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FC9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探测器电源盒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88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BZA206000-XIV</w:t>
            </w:r>
          </w:p>
        </w:tc>
        <w:tc>
          <w:tcPr>
            <w:tcW w:w="591" w:type="pct"/>
            <w:tcBorders>
              <w:top w:val="nil"/>
              <w:left w:val="single" w:color="000000" w:sz="4" w:space="0"/>
              <w:bottom w:val="single" w:color="000000" w:sz="4" w:space="0"/>
              <w:right w:val="single" w:color="000000" w:sz="4" w:space="0"/>
            </w:tcBorders>
            <w:shd w:val="clear" w:color="auto" w:fill="FFFFFF"/>
            <w:noWrap/>
            <w:vAlign w:val="center"/>
          </w:tcPr>
          <w:p w14:paraId="6E00E5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37DE">
            <w:pPr>
              <w:jc w:val="center"/>
              <w:rPr>
                <w:rFonts w:hint="eastAsia" w:ascii="微软雅黑" w:hAnsi="微软雅黑" w:eastAsia="微软雅黑" w:cs="微软雅黑"/>
                <w:i w:val="0"/>
                <w:iCs w:val="0"/>
                <w:color w:val="000000"/>
                <w:sz w:val="22"/>
                <w:szCs w:val="22"/>
                <w:u w:val="none"/>
              </w:rPr>
            </w:pPr>
          </w:p>
        </w:tc>
      </w:tr>
      <w:tr w14:paraId="61F6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529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ACE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高压线压头</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D50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BZOA0400504-XIV</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904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FAE6F">
            <w:pPr>
              <w:jc w:val="center"/>
              <w:rPr>
                <w:rFonts w:hint="eastAsia" w:ascii="微软雅黑" w:hAnsi="微软雅黑" w:eastAsia="微软雅黑" w:cs="微软雅黑"/>
                <w:i w:val="0"/>
                <w:iCs w:val="0"/>
                <w:color w:val="000000"/>
                <w:sz w:val="22"/>
                <w:szCs w:val="22"/>
                <w:u w:val="none"/>
              </w:rPr>
            </w:pPr>
          </w:p>
        </w:tc>
      </w:tr>
      <w:tr w14:paraId="77B8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6D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62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CFast卡</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EEB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DECFA-16GD09BW1SC</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FAD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9FAB">
            <w:pPr>
              <w:jc w:val="center"/>
              <w:rPr>
                <w:rFonts w:hint="eastAsia" w:ascii="微软雅黑" w:hAnsi="微软雅黑" w:eastAsia="微软雅黑" w:cs="微软雅黑"/>
                <w:i w:val="0"/>
                <w:iCs w:val="0"/>
                <w:color w:val="000000"/>
                <w:sz w:val="22"/>
                <w:szCs w:val="22"/>
                <w:u w:val="none"/>
              </w:rPr>
            </w:pPr>
          </w:p>
        </w:tc>
      </w:tr>
      <w:tr w14:paraId="717B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9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57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滤料再生装置</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F5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BZOA1600000-01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99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noWrap/>
            <w:vAlign w:val="bottom"/>
          </w:tcPr>
          <w:p w14:paraId="5055D9DC">
            <w:pPr>
              <w:rPr>
                <w:rFonts w:hint="eastAsia" w:ascii="等线" w:hAnsi="等线" w:eastAsia="等线" w:cs="等线"/>
                <w:i w:val="0"/>
                <w:iCs w:val="0"/>
                <w:color w:val="000000"/>
                <w:sz w:val="22"/>
                <w:szCs w:val="22"/>
                <w:u w:val="none"/>
              </w:rPr>
            </w:pPr>
          </w:p>
        </w:tc>
      </w:tr>
    </w:tbl>
    <w:p w14:paraId="3F2A5FE1">
      <w:pPr>
        <w:pStyle w:val="4"/>
        <w:rPr>
          <w:rStyle w:val="49"/>
          <w:rFonts w:hint="eastAsia" w:ascii="宋体" w:hAnsi="宋体" w:eastAsia="宋体" w:cs="宋体"/>
          <w:sz w:val="24"/>
          <w:szCs w:val="24"/>
          <w:lang w:val="en-US" w:eastAsia="zh-CN"/>
        </w:rPr>
      </w:pPr>
    </w:p>
    <w:p w14:paraId="782E566A">
      <w:pPr>
        <w:rPr>
          <w:rStyle w:val="49"/>
          <w:rFonts w:hint="eastAsia" w:ascii="宋体" w:hAnsi="宋体" w:eastAsia="宋体" w:cs="宋体"/>
          <w:sz w:val="24"/>
          <w:szCs w:val="24"/>
          <w:lang w:val="en-US" w:eastAsia="zh-CN"/>
        </w:rPr>
      </w:pPr>
    </w:p>
    <w:p w14:paraId="1D45B559">
      <w:pPr>
        <w:pStyle w:val="2"/>
        <w:rPr>
          <w:rStyle w:val="49"/>
          <w:rFonts w:hint="eastAsia" w:ascii="宋体" w:hAnsi="宋体" w:eastAsia="宋体" w:cs="宋体"/>
          <w:sz w:val="24"/>
          <w:szCs w:val="24"/>
          <w:lang w:val="en-US" w:eastAsia="zh-CN"/>
        </w:rPr>
      </w:pPr>
    </w:p>
    <w:p w14:paraId="725A8BBF">
      <w:pPr>
        <w:pStyle w:val="2"/>
        <w:rPr>
          <w:rStyle w:val="49"/>
          <w:rFonts w:hint="eastAsia" w:ascii="宋体" w:hAnsi="宋体" w:eastAsia="宋体" w:cs="宋体"/>
          <w:sz w:val="24"/>
          <w:szCs w:val="24"/>
          <w:lang w:val="en-US" w:eastAsia="zh-CN"/>
        </w:rPr>
      </w:pPr>
    </w:p>
    <w:p w14:paraId="5ED6BF7C">
      <w:pPr>
        <w:pStyle w:val="2"/>
        <w:rPr>
          <w:rFonts w:hint="eastAsia"/>
          <w:lang w:val="en-US" w:eastAsia="zh-CN"/>
        </w:rPr>
      </w:pPr>
    </w:p>
    <w:p w14:paraId="27F8E6A3">
      <w:pPr>
        <w:pStyle w:val="4"/>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四、商务要求</w:t>
      </w:r>
    </w:p>
    <w:tbl>
      <w:tblPr>
        <w:tblStyle w:val="25"/>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19FD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7C1332E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3D2BD92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676BAEA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6EB43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043919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89" w:type="dxa"/>
            <w:tcBorders>
              <w:tl2br w:val="nil"/>
              <w:tr2bl w:val="nil"/>
            </w:tcBorders>
            <w:shd w:val="clear" w:color="auto" w:fill="auto"/>
            <w:vAlign w:val="center"/>
          </w:tcPr>
          <w:p w14:paraId="66F4F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w:t>
            </w:r>
          </w:p>
        </w:tc>
        <w:tc>
          <w:tcPr>
            <w:tcW w:w="6979" w:type="dxa"/>
            <w:tcBorders>
              <w:tl2br w:val="nil"/>
              <w:tr2bl w:val="nil"/>
            </w:tcBorders>
            <w:shd w:val="clear" w:color="auto" w:fill="auto"/>
            <w:vAlign w:val="center"/>
          </w:tcPr>
          <w:p w14:paraId="37404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（1）本项目报价币种为人民币，供应商报价不得超过限价，否则按无效响应处理</w:t>
            </w:r>
            <w:r>
              <w:rPr>
                <w:rFonts w:hint="eastAsia" w:ascii="宋体" w:hAnsi="宋体" w:eastAsia="宋体" w:cs="宋体"/>
                <w:kern w:val="0"/>
                <w:sz w:val="24"/>
                <w:szCs w:val="24"/>
                <w:highlight w:val="none"/>
                <w:lang w:val="en-US" w:eastAsia="zh-CN"/>
              </w:rPr>
              <w:t>；</w:t>
            </w:r>
          </w:p>
          <w:p w14:paraId="5BC4E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（2）供应商的</w:t>
            </w: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报价是指供应商完成本项目要求的全部工作内容的价格体现</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包括</w:t>
            </w:r>
            <w:r>
              <w:rPr>
                <w:rFonts w:hint="eastAsia" w:ascii="宋体" w:hAnsi="宋体" w:eastAsia="宋体" w:cs="宋体"/>
                <w:kern w:val="0"/>
                <w:sz w:val="24"/>
                <w:szCs w:val="24"/>
                <w:highlight w:val="none"/>
                <w:lang w:val="en-US" w:eastAsia="zh-CN"/>
              </w:rPr>
              <w:t>但不限于服务人员的</w:t>
            </w:r>
            <w:r>
              <w:rPr>
                <w:rFonts w:hint="eastAsia" w:ascii="宋体" w:hAnsi="宋体" w:cs="宋体"/>
                <w:kern w:val="0"/>
                <w:sz w:val="24"/>
                <w:szCs w:val="24"/>
                <w:highlight w:val="none"/>
                <w:lang w:val="en-US" w:eastAsia="zh-CN"/>
              </w:rPr>
              <w:t>人工成本，如</w:t>
            </w:r>
            <w:r>
              <w:rPr>
                <w:rFonts w:hint="eastAsia" w:ascii="宋体" w:hAnsi="宋体" w:eastAsia="宋体" w:cs="宋体"/>
                <w:kern w:val="0"/>
                <w:sz w:val="24"/>
                <w:szCs w:val="24"/>
                <w:highlight w:val="none"/>
                <w:lang w:val="en-US" w:eastAsia="zh-CN"/>
              </w:rPr>
              <w:t>工资、五险一金、保险、劳保福利</w:t>
            </w:r>
            <w:r>
              <w:rPr>
                <w:rFonts w:hint="eastAsia" w:ascii="宋体" w:hAnsi="宋体" w:cs="宋体"/>
                <w:kern w:val="0"/>
                <w:sz w:val="24"/>
                <w:szCs w:val="24"/>
                <w:highlight w:val="none"/>
                <w:lang w:val="en-US" w:eastAsia="zh-CN"/>
              </w:rPr>
              <w:t>等以及维保所需备品备件</w:t>
            </w:r>
            <w:r>
              <w:rPr>
                <w:rFonts w:hint="default" w:ascii="宋体" w:hAnsi="宋体" w:eastAsia="宋体" w:cs="宋体"/>
                <w:kern w:val="0"/>
                <w:sz w:val="24"/>
                <w:szCs w:val="24"/>
                <w:highlight w:val="none"/>
                <w:lang w:val="en-US" w:eastAsia="zh-CN"/>
              </w:rPr>
              <w:t>等合同义务所有款项，不受任何调价因素的影响，在整个履行合同期间有效，采购人不另外支付</w:t>
            </w:r>
            <w:r>
              <w:rPr>
                <w:rFonts w:hint="eastAsia" w:ascii="宋体" w:hAnsi="宋体" w:eastAsia="宋体" w:cs="宋体"/>
                <w:kern w:val="0"/>
                <w:sz w:val="24"/>
                <w:szCs w:val="24"/>
                <w:highlight w:val="none"/>
                <w:lang w:val="en-US" w:eastAsia="zh-CN"/>
              </w:rPr>
              <w:t>。</w:t>
            </w:r>
          </w:p>
        </w:tc>
      </w:tr>
      <w:tr w14:paraId="01C96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29CF68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1789" w:type="dxa"/>
            <w:tcBorders>
              <w:tl2br w:val="nil"/>
              <w:tr2bl w:val="nil"/>
            </w:tcBorders>
            <w:shd w:val="clear" w:color="auto" w:fill="auto"/>
            <w:vAlign w:val="center"/>
          </w:tcPr>
          <w:p w14:paraId="7191D6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付款方式</w:t>
            </w:r>
          </w:p>
        </w:tc>
        <w:tc>
          <w:tcPr>
            <w:tcW w:w="6979" w:type="dxa"/>
            <w:tcBorders>
              <w:tl2br w:val="nil"/>
              <w:tr2bl w:val="nil"/>
            </w:tcBorders>
            <w:shd w:val="clear" w:color="auto" w:fill="auto"/>
            <w:vAlign w:val="center"/>
          </w:tcPr>
          <w:p w14:paraId="7D720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中标人</w:t>
            </w:r>
            <w:r>
              <w:rPr>
                <w:rFonts w:hint="default" w:ascii="宋体" w:hAnsi="宋体" w:eastAsia="宋体" w:cs="宋体"/>
                <w:kern w:val="0"/>
                <w:sz w:val="24"/>
                <w:szCs w:val="24"/>
                <w:highlight w:val="none"/>
                <w:lang w:val="en-US" w:eastAsia="zh-CN"/>
              </w:rPr>
              <w:t>在完成全部维保工作并经</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验收合格，且向</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方开具合法有效的增值税专用发票后，</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应于收到发票之日起</w:t>
            </w:r>
            <w:r>
              <w:rPr>
                <w:rFonts w:hint="eastAsia" w:ascii="宋体" w:hAnsi="宋体" w:eastAsia="宋体" w:cs="宋体"/>
                <w:kern w:val="0"/>
                <w:sz w:val="24"/>
                <w:szCs w:val="24"/>
                <w:highlight w:val="none"/>
                <w:lang w:val="en-US" w:eastAsia="zh-CN"/>
              </w:rPr>
              <w:t>30</w:t>
            </w:r>
            <w:r>
              <w:rPr>
                <w:rFonts w:hint="default" w:ascii="宋体" w:hAnsi="宋体" w:eastAsia="宋体" w:cs="宋体"/>
                <w:kern w:val="0"/>
                <w:sz w:val="24"/>
                <w:szCs w:val="24"/>
                <w:highlight w:val="none"/>
                <w:lang w:val="en-US" w:eastAsia="zh-CN"/>
              </w:rPr>
              <w:t>个工作日内，向</w:t>
            </w:r>
            <w:r>
              <w:rPr>
                <w:rFonts w:hint="eastAsia" w:ascii="宋体" w:hAnsi="宋体" w:cs="宋体"/>
                <w:kern w:val="0"/>
                <w:sz w:val="24"/>
                <w:szCs w:val="24"/>
                <w:highlight w:val="none"/>
                <w:lang w:val="en-US" w:eastAsia="zh-CN"/>
              </w:rPr>
              <w:t>中标人</w:t>
            </w:r>
            <w:r>
              <w:rPr>
                <w:rFonts w:hint="default" w:ascii="宋体" w:hAnsi="宋体" w:eastAsia="宋体" w:cs="宋体"/>
                <w:kern w:val="0"/>
                <w:sz w:val="24"/>
                <w:szCs w:val="24"/>
                <w:highlight w:val="none"/>
                <w:lang w:val="en-US" w:eastAsia="zh-CN"/>
              </w:rPr>
              <w:t>一次性支付全部服务费。</w:t>
            </w:r>
          </w:p>
        </w:tc>
      </w:tr>
      <w:tr w14:paraId="0CA04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06E5F8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1789" w:type="dxa"/>
            <w:tcBorders>
              <w:tl2br w:val="nil"/>
              <w:tr2bl w:val="nil"/>
            </w:tcBorders>
            <w:shd w:val="clear" w:color="auto" w:fill="auto"/>
            <w:vAlign w:val="center"/>
          </w:tcPr>
          <w:p w14:paraId="656BD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6979" w:type="dxa"/>
            <w:tcBorders>
              <w:tl2br w:val="nil"/>
              <w:tr2bl w:val="nil"/>
            </w:tcBorders>
            <w:shd w:val="clear" w:color="auto" w:fill="auto"/>
            <w:vAlign w:val="center"/>
          </w:tcPr>
          <w:p w14:paraId="3C57B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kern w:val="0"/>
                <w:sz w:val="24"/>
                <w:szCs w:val="24"/>
                <w:highlight w:val="none"/>
                <w:lang w:val="en-US" w:eastAsia="zh-CN"/>
              </w:rPr>
              <w:t>恩施</w:t>
            </w:r>
            <w:r>
              <w:rPr>
                <w:rFonts w:hint="eastAsia" w:ascii="宋体" w:hAnsi="宋体" w:cs="宋体"/>
                <w:kern w:val="0"/>
                <w:sz w:val="24"/>
                <w:szCs w:val="24"/>
                <w:highlight w:val="none"/>
                <w:lang w:val="en-US" w:eastAsia="zh-CN"/>
              </w:rPr>
              <w:t>许家坪国际</w:t>
            </w:r>
            <w:r>
              <w:rPr>
                <w:rFonts w:hint="eastAsia" w:ascii="宋体" w:hAnsi="宋体" w:eastAsia="宋体" w:cs="宋体"/>
                <w:kern w:val="0"/>
                <w:sz w:val="24"/>
                <w:szCs w:val="24"/>
                <w:highlight w:val="none"/>
                <w:lang w:val="en-US" w:eastAsia="zh-CN"/>
              </w:rPr>
              <w:t>机场</w:t>
            </w:r>
            <w:r>
              <w:rPr>
                <w:rFonts w:hint="eastAsia" w:ascii="宋体" w:hAnsi="宋体" w:cs="宋体"/>
                <w:kern w:val="0"/>
                <w:sz w:val="24"/>
                <w:szCs w:val="24"/>
                <w:highlight w:val="none"/>
                <w:lang w:val="en-US" w:eastAsia="zh-CN"/>
              </w:rPr>
              <w:t>安全检查站</w:t>
            </w:r>
          </w:p>
        </w:tc>
      </w:tr>
    </w:tbl>
    <w:p w14:paraId="4356041D">
      <w:pPr>
        <w:pStyle w:val="34"/>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1241AB59">
      <w:pPr>
        <w:rPr>
          <w:rStyle w:val="49"/>
          <w:rFonts w:hint="eastAsia" w:ascii="宋体" w:hAnsi="宋体" w:eastAsia="宋体" w:cs="宋体"/>
          <w:sz w:val="24"/>
          <w:szCs w:val="24"/>
          <w:lang w:val="en-US" w:eastAsia="zh-CN"/>
        </w:rPr>
      </w:pPr>
      <w:bookmarkStart w:id="34" w:name="_Toc31052"/>
      <w:bookmarkStart w:id="35" w:name="_Toc4696"/>
      <w:r>
        <w:rPr>
          <w:rStyle w:val="49"/>
          <w:rFonts w:hint="eastAsia" w:ascii="宋体" w:hAnsi="宋体" w:eastAsia="宋体" w:cs="宋体"/>
          <w:sz w:val="24"/>
          <w:szCs w:val="24"/>
          <w:lang w:val="en-US" w:eastAsia="zh-CN"/>
        </w:rPr>
        <w:t>四、附《湖北机场集团有限公司“供应商不良行为”管理办法》</w:t>
      </w:r>
      <w:bookmarkEnd w:id="34"/>
    </w:p>
    <w:p w14:paraId="4838A6ED">
      <w:pPr>
        <w:pStyle w:val="6"/>
        <w:spacing w:after="0" w:line="360" w:lineRule="auto"/>
        <w:ind w:left="440"/>
        <w:rPr>
          <w:rFonts w:ascii="宋体" w:hAnsi="宋体" w:cs="宋体"/>
          <w:sz w:val="21"/>
          <w:szCs w:val="21"/>
        </w:rPr>
      </w:pPr>
    </w:p>
    <w:p w14:paraId="37A0F35B">
      <w:pPr>
        <w:pStyle w:val="57"/>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2D16509E">
      <w:pPr>
        <w:pStyle w:val="57"/>
        <w:spacing w:line="276" w:lineRule="auto"/>
        <w:ind w:firstLine="480" w:firstLineChars="200"/>
        <w:rPr>
          <w:sz w:val="24"/>
          <w:szCs w:val="24"/>
        </w:rPr>
      </w:pPr>
    </w:p>
    <w:p w14:paraId="793A4BB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1FB63B4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6775F57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5ED1415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B9B05A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0714376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2F8FCE5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14BA0FB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598F747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55ACDCA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655DB1F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1F9BC78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1154B4C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7B3BDE4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071FF4D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169C559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340C0AA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341589B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7578026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1686615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3BB8534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5E8499C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2EBDDE4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27EEFBA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41EB5DB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609C417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24B8E8A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618D605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26B91CA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70BA991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2ACE5C4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4A45C2B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59F6F54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2A0870E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113D4C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39CC71F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3C05A38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1B2997F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43C9FFC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905A99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5150B5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4C6D3052">
      <w:pPr>
        <w:spacing w:line="500" w:lineRule="exact"/>
        <w:jc w:val="center"/>
        <w:outlineLvl w:val="0"/>
        <w:rPr>
          <w:rFonts w:ascii="宋体" w:hAnsi="宋体" w:cs="宋体"/>
        </w:rPr>
      </w:pPr>
      <w:bookmarkStart w:id="36" w:name="_Toc21882"/>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5"/>
      <w:bookmarkEnd w:id="36"/>
    </w:p>
    <w:p w14:paraId="5D74DD97">
      <w:pPr>
        <w:spacing w:line="500" w:lineRule="exact"/>
        <w:rPr>
          <w:rFonts w:ascii="宋体" w:hAnsi="宋体" w:cs="宋体"/>
          <w:spacing w:val="2"/>
          <w:sz w:val="28"/>
          <w:szCs w:val="28"/>
        </w:rPr>
      </w:pPr>
    </w:p>
    <w:p w14:paraId="05858741">
      <w:pPr>
        <w:spacing w:line="500" w:lineRule="exact"/>
        <w:rPr>
          <w:rFonts w:ascii="宋体" w:hAnsi="宋体" w:cs="宋体"/>
          <w:spacing w:val="2"/>
          <w:sz w:val="28"/>
          <w:szCs w:val="28"/>
        </w:rPr>
      </w:pPr>
    </w:p>
    <w:p w14:paraId="084CA0A6">
      <w:pPr>
        <w:spacing w:line="500" w:lineRule="exact"/>
        <w:rPr>
          <w:rFonts w:ascii="宋体" w:hAnsi="宋体" w:cs="宋体"/>
          <w:spacing w:val="2"/>
          <w:sz w:val="28"/>
          <w:szCs w:val="28"/>
        </w:rPr>
      </w:pPr>
      <w:r>
        <w:rPr>
          <w:rFonts w:hint="eastAsia" w:ascii="宋体" w:hAnsi="宋体" w:cs="宋体"/>
          <w:spacing w:val="2"/>
          <w:sz w:val="28"/>
          <w:szCs w:val="28"/>
        </w:rPr>
        <w:t>封面：</w:t>
      </w:r>
    </w:p>
    <w:p w14:paraId="31E127FA">
      <w:pPr>
        <w:spacing w:line="500" w:lineRule="exact"/>
        <w:rPr>
          <w:rFonts w:ascii="宋体" w:hAnsi="宋体" w:cs="宋体"/>
          <w:sz w:val="28"/>
          <w:szCs w:val="28"/>
        </w:rPr>
      </w:pPr>
    </w:p>
    <w:p w14:paraId="68B4D3A6">
      <w:pPr>
        <w:spacing w:line="800" w:lineRule="exact"/>
        <w:jc w:val="center"/>
        <w:rPr>
          <w:rFonts w:ascii="宋体" w:hAnsi="宋体" w:cs="宋体"/>
          <w:b/>
          <w:bCs/>
          <w:sz w:val="36"/>
          <w:szCs w:val="36"/>
        </w:rPr>
      </w:pPr>
    </w:p>
    <w:p w14:paraId="3C28F555">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3EE280EC">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19E72483">
      <w:pPr>
        <w:spacing w:line="500" w:lineRule="exact"/>
        <w:jc w:val="center"/>
        <w:rPr>
          <w:rFonts w:ascii="宋体" w:hAnsi="宋体" w:cs="宋体"/>
          <w:sz w:val="28"/>
          <w:szCs w:val="28"/>
        </w:rPr>
      </w:pPr>
    </w:p>
    <w:p w14:paraId="4553F55F">
      <w:pPr>
        <w:spacing w:line="500" w:lineRule="exact"/>
        <w:jc w:val="center"/>
        <w:rPr>
          <w:rFonts w:ascii="宋体" w:hAnsi="宋体" w:cs="宋体"/>
          <w:sz w:val="28"/>
          <w:szCs w:val="28"/>
        </w:rPr>
      </w:pPr>
    </w:p>
    <w:p w14:paraId="2941FD4E">
      <w:pPr>
        <w:spacing w:line="500" w:lineRule="exact"/>
        <w:jc w:val="center"/>
        <w:rPr>
          <w:rFonts w:ascii="宋体" w:hAnsi="宋体" w:cs="宋体"/>
          <w:sz w:val="28"/>
          <w:szCs w:val="28"/>
        </w:rPr>
      </w:pPr>
    </w:p>
    <w:p w14:paraId="01529732">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43DA88A0">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43A5851F">
      <w:pPr>
        <w:tabs>
          <w:tab w:val="left" w:pos="2625"/>
        </w:tabs>
        <w:spacing w:line="500" w:lineRule="exact"/>
        <w:jc w:val="center"/>
        <w:rPr>
          <w:rFonts w:ascii="宋体" w:hAnsi="宋体" w:cs="宋体"/>
          <w:b/>
          <w:bCs/>
          <w:sz w:val="28"/>
          <w:szCs w:val="28"/>
        </w:rPr>
      </w:pPr>
    </w:p>
    <w:p w14:paraId="1C112566">
      <w:pPr>
        <w:tabs>
          <w:tab w:val="left" w:pos="2625"/>
        </w:tabs>
        <w:spacing w:line="500" w:lineRule="exact"/>
        <w:jc w:val="center"/>
        <w:rPr>
          <w:rFonts w:ascii="宋体" w:hAnsi="宋体" w:cs="宋体"/>
          <w:sz w:val="28"/>
          <w:szCs w:val="28"/>
        </w:rPr>
      </w:pPr>
    </w:p>
    <w:p w14:paraId="0137600E">
      <w:pPr>
        <w:tabs>
          <w:tab w:val="left" w:pos="2625"/>
        </w:tabs>
        <w:spacing w:line="500" w:lineRule="exact"/>
        <w:jc w:val="center"/>
        <w:rPr>
          <w:rFonts w:ascii="宋体" w:hAnsi="宋体" w:cs="宋体"/>
          <w:sz w:val="28"/>
          <w:szCs w:val="28"/>
        </w:rPr>
      </w:pPr>
    </w:p>
    <w:p w14:paraId="730639F4">
      <w:pPr>
        <w:tabs>
          <w:tab w:val="left" w:pos="2625"/>
        </w:tabs>
        <w:spacing w:line="500" w:lineRule="exact"/>
        <w:jc w:val="center"/>
        <w:rPr>
          <w:rFonts w:ascii="宋体" w:hAnsi="宋体" w:cs="宋体"/>
          <w:sz w:val="28"/>
          <w:szCs w:val="28"/>
        </w:rPr>
      </w:pPr>
    </w:p>
    <w:p w14:paraId="6B8FD5A7">
      <w:pPr>
        <w:tabs>
          <w:tab w:val="left" w:pos="2625"/>
        </w:tabs>
        <w:spacing w:line="500" w:lineRule="exact"/>
        <w:jc w:val="center"/>
        <w:rPr>
          <w:rFonts w:ascii="宋体" w:hAnsi="宋体" w:cs="宋体"/>
          <w:sz w:val="28"/>
          <w:szCs w:val="28"/>
        </w:rPr>
      </w:pPr>
    </w:p>
    <w:p w14:paraId="5BE96CC8">
      <w:pPr>
        <w:tabs>
          <w:tab w:val="left" w:pos="2625"/>
        </w:tabs>
        <w:spacing w:line="500" w:lineRule="exact"/>
        <w:jc w:val="center"/>
        <w:rPr>
          <w:rFonts w:ascii="宋体" w:hAnsi="宋体" w:cs="宋体"/>
          <w:sz w:val="28"/>
          <w:szCs w:val="28"/>
        </w:rPr>
      </w:pPr>
    </w:p>
    <w:p w14:paraId="33051319">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6C637B3C">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661DD72">
      <w:pPr>
        <w:spacing w:line="500" w:lineRule="exact"/>
        <w:jc w:val="center"/>
        <w:rPr>
          <w:rFonts w:ascii="宋体" w:hAnsi="宋体" w:cs="宋体"/>
          <w:b/>
          <w:sz w:val="28"/>
          <w:szCs w:val="28"/>
        </w:rPr>
      </w:pPr>
    </w:p>
    <w:p w14:paraId="3522DC18">
      <w:pPr>
        <w:outlineLvl w:val="1"/>
        <w:rPr>
          <w:rStyle w:val="28"/>
          <w:rFonts w:ascii="宋体" w:hAnsi="宋体" w:cs="宋体"/>
        </w:rPr>
      </w:pPr>
      <w:r>
        <w:rPr>
          <w:rStyle w:val="28"/>
          <w:rFonts w:hint="eastAsia" w:ascii="宋体" w:hAnsi="宋体" w:cs="宋体"/>
        </w:rPr>
        <w:br w:type="page"/>
      </w:r>
      <w:r>
        <w:rPr>
          <w:rStyle w:val="28"/>
          <w:rFonts w:hint="eastAsia" w:ascii="宋体" w:hAnsi="宋体" w:cs="宋体"/>
        </w:rPr>
        <w:t>附件一：</w:t>
      </w:r>
    </w:p>
    <w:p w14:paraId="1F3311BB">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64D9B728">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36B8DF90">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04345F3B">
      <w:pPr>
        <w:pStyle w:val="13"/>
        <w:numPr>
          <w:ilvl w:val="0"/>
          <w:numId w:val="7"/>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1D674DD9">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0D362262">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1057586C">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7A7E0EE1">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01CF872E">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5BFFBF5F">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4DD29813">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222C1279">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4290CDFB">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55E839FE">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50F06855">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0349EA08">
      <w:pPr>
        <w:adjustRightInd w:val="0"/>
        <w:snapToGrid w:val="0"/>
        <w:spacing w:line="460" w:lineRule="exact"/>
        <w:rPr>
          <w:rFonts w:ascii="宋体" w:hAnsi="宋体" w:cs="宋体"/>
          <w:sz w:val="24"/>
          <w:szCs w:val="24"/>
        </w:rPr>
      </w:pPr>
    </w:p>
    <w:p w14:paraId="5FFF0332">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6EF702A9">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0DD83267">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3E8C6428">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232C3EE2">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4BE47D78">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7D890B83">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29E9FE3F">
      <w:pPr>
        <w:spacing w:line="560" w:lineRule="exact"/>
        <w:rPr>
          <w:rStyle w:val="28"/>
          <w:rFonts w:ascii="宋体" w:hAnsi="宋体" w:cs="宋体"/>
          <w:szCs w:val="28"/>
        </w:rPr>
      </w:pPr>
    </w:p>
    <w:p w14:paraId="4284BD38">
      <w:pPr>
        <w:spacing w:line="560" w:lineRule="exact"/>
        <w:rPr>
          <w:rStyle w:val="28"/>
          <w:rFonts w:ascii="宋体" w:hAnsi="宋体" w:cs="宋体"/>
          <w:szCs w:val="28"/>
        </w:rPr>
      </w:pPr>
    </w:p>
    <w:p w14:paraId="4D87A26D">
      <w:pPr>
        <w:pStyle w:val="10"/>
        <w:rPr>
          <w:rFonts w:ascii="宋体" w:hAnsi="宋体" w:cs="宋体"/>
        </w:rPr>
      </w:pPr>
    </w:p>
    <w:p w14:paraId="1CC01D69">
      <w:pPr>
        <w:spacing w:line="560" w:lineRule="exact"/>
        <w:outlineLvl w:val="1"/>
        <w:rPr>
          <w:rStyle w:val="28"/>
          <w:rFonts w:ascii="宋体" w:hAnsi="宋体" w:cs="宋体"/>
          <w:szCs w:val="28"/>
        </w:rPr>
      </w:pPr>
      <w:r>
        <w:rPr>
          <w:rStyle w:val="28"/>
          <w:rFonts w:hint="eastAsia" w:ascii="宋体" w:hAnsi="宋体" w:cs="宋体"/>
          <w:szCs w:val="28"/>
        </w:rPr>
        <w:t>附件二：</w:t>
      </w:r>
    </w:p>
    <w:p w14:paraId="0F34B2C9">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41FBAB3C">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073D30C3">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0F9A3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42FB77ED">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供应商名称</w:t>
            </w:r>
          </w:p>
        </w:tc>
        <w:tc>
          <w:tcPr>
            <w:tcW w:w="6732" w:type="dxa"/>
            <w:tcBorders>
              <w:tl2br w:val="nil"/>
              <w:tr2bl w:val="nil"/>
            </w:tcBorders>
            <w:vAlign w:val="center"/>
          </w:tcPr>
          <w:p w14:paraId="746F468B">
            <w:pPr>
              <w:jc w:val="center"/>
              <w:rPr>
                <w:rFonts w:ascii="宋体" w:hAnsi="宋体" w:cs="宋体"/>
                <w:szCs w:val="21"/>
              </w:rPr>
            </w:pPr>
          </w:p>
        </w:tc>
      </w:tr>
      <w:tr w14:paraId="4694A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12A08ACA">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供应商地址</w:t>
            </w:r>
          </w:p>
        </w:tc>
        <w:tc>
          <w:tcPr>
            <w:tcW w:w="6732" w:type="dxa"/>
            <w:tcBorders>
              <w:tl2br w:val="nil"/>
              <w:tr2bl w:val="nil"/>
            </w:tcBorders>
            <w:vAlign w:val="center"/>
          </w:tcPr>
          <w:p w14:paraId="1F818BB1">
            <w:pPr>
              <w:jc w:val="center"/>
              <w:rPr>
                <w:rFonts w:ascii="宋体" w:hAnsi="宋体" w:cs="宋体"/>
                <w:szCs w:val="21"/>
              </w:rPr>
            </w:pPr>
          </w:p>
        </w:tc>
      </w:tr>
      <w:tr w14:paraId="38C5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418E4CB8">
            <w:pPr>
              <w:jc w:val="center"/>
              <w:rPr>
                <w:rFonts w:hint="eastAsia" w:ascii="宋体" w:hAnsi="宋体" w:cs="宋体"/>
                <w:sz w:val="24"/>
                <w:szCs w:val="24"/>
                <w:lang w:val="en-US" w:eastAsia="zh-CN"/>
              </w:rPr>
            </w:pPr>
            <w:r>
              <w:rPr>
                <w:rFonts w:hint="eastAsia" w:ascii="宋体" w:hAnsi="宋体" w:cs="宋体"/>
                <w:sz w:val="24"/>
                <w:szCs w:val="24"/>
                <w:lang w:val="en-US" w:eastAsia="zh-CN"/>
              </w:rPr>
              <w:t>项目名称</w:t>
            </w:r>
          </w:p>
        </w:tc>
        <w:tc>
          <w:tcPr>
            <w:tcW w:w="6732" w:type="dxa"/>
            <w:tcBorders>
              <w:tl2br w:val="nil"/>
              <w:tr2bl w:val="nil"/>
            </w:tcBorders>
            <w:vAlign w:val="center"/>
          </w:tcPr>
          <w:p w14:paraId="1C3BB2C8">
            <w:pPr>
              <w:jc w:val="center"/>
              <w:rPr>
                <w:rFonts w:ascii="宋体" w:hAnsi="宋体" w:cs="宋体"/>
                <w:szCs w:val="21"/>
              </w:rPr>
            </w:pPr>
          </w:p>
        </w:tc>
      </w:tr>
      <w:tr w14:paraId="5900B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7CF5F10A">
            <w:pPr>
              <w:jc w:val="center"/>
              <w:rPr>
                <w:rFonts w:hint="eastAsia" w:ascii="宋体" w:hAnsi="宋体" w:cs="宋体"/>
                <w:sz w:val="24"/>
                <w:szCs w:val="24"/>
                <w:lang w:val="en-US" w:eastAsia="zh-CN"/>
              </w:rPr>
            </w:pPr>
            <w:r>
              <w:rPr>
                <w:rFonts w:hint="eastAsia" w:ascii="宋体" w:hAnsi="宋体" w:cs="宋体"/>
                <w:sz w:val="24"/>
                <w:szCs w:val="24"/>
                <w:lang w:val="en-US" w:eastAsia="zh-CN"/>
              </w:rPr>
              <w:t>总报价（元）</w:t>
            </w:r>
          </w:p>
        </w:tc>
        <w:tc>
          <w:tcPr>
            <w:tcW w:w="6732" w:type="dxa"/>
            <w:tcBorders>
              <w:tl2br w:val="nil"/>
              <w:tr2bl w:val="nil"/>
            </w:tcBorders>
            <w:vAlign w:val="center"/>
          </w:tcPr>
          <w:p w14:paraId="35907C99">
            <w:pPr>
              <w:jc w:val="center"/>
              <w:rPr>
                <w:rFonts w:ascii="宋体" w:hAnsi="宋体" w:cs="宋体"/>
                <w:szCs w:val="21"/>
              </w:rPr>
            </w:pPr>
          </w:p>
        </w:tc>
      </w:tr>
      <w:tr w14:paraId="51D1C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0B064CE">
            <w:pPr>
              <w:jc w:val="center"/>
              <w:rPr>
                <w:rFonts w:hint="eastAsia" w:ascii="宋体" w:hAnsi="宋体" w:cs="宋体"/>
                <w:sz w:val="24"/>
                <w:szCs w:val="24"/>
                <w:lang w:val="en-US" w:eastAsia="zh-CN"/>
              </w:rPr>
            </w:pPr>
            <w:r>
              <w:rPr>
                <w:rFonts w:hint="eastAsia" w:ascii="宋体" w:hAnsi="宋体" w:cs="宋体"/>
                <w:sz w:val="24"/>
                <w:szCs w:val="24"/>
                <w:lang w:val="en-US" w:eastAsia="zh-CN"/>
              </w:rPr>
              <w:t>服务地点</w:t>
            </w:r>
          </w:p>
        </w:tc>
        <w:tc>
          <w:tcPr>
            <w:tcW w:w="6732" w:type="dxa"/>
            <w:tcBorders>
              <w:tl2br w:val="nil"/>
              <w:tr2bl w:val="nil"/>
            </w:tcBorders>
            <w:vAlign w:val="center"/>
          </w:tcPr>
          <w:p w14:paraId="7CFAA42A">
            <w:pPr>
              <w:jc w:val="center"/>
              <w:rPr>
                <w:rFonts w:ascii="宋体" w:hAnsi="宋体" w:cs="宋体"/>
                <w:szCs w:val="21"/>
              </w:rPr>
            </w:pPr>
          </w:p>
        </w:tc>
      </w:tr>
      <w:tr w14:paraId="44DBF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62AA4869">
            <w:pPr>
              <w:jc w:val="center"/>
              <w:rPr>
                <w:rFonts w:hint="eastAsia" w:ascii="宋体" w:hAnsi="宋体" w:cs="宋体"/>
                <w:sz w:val="24"/>
                <w:szCs w:val="24"/>
                <w:lang w:val="en-US" w:eastAsia="zh-CN"/>
              </w:rPr>
            </w:pPr>
            <w:r>
              <w:rPr>
                <w:rFonts w:hint="eastAsia" w:ascii="宋体" w:hAnsi="宋体" w:cs="宋体"/>
                <w:sz w:val="24"/>
                <w:szCs w:val="24"/>
                <w:lang w:val="en-US" w:eastAsia="zh-CN"/>
              </w:rPr>
              <w:t>备注</w:t>
            </w:r>
          </w:p>
        </w:tc>
        <w:tc>
          <w:tcPr>
            <w:tcW w:w="6732" w:type="dxa"/>
            <w:tcBorders>
              <w:tl2br w:val="nil"/>
              <w:tr2bl w:val="nil"/>
            </w:tcBorders>
            <w:vAlign w:val="center"/>
          </w:tcPr>
          <w:p w14:paraId="1B513DC0">
            <w:pPr>
              <w:jc w:val="center"/>
              <w:rPr>
                <w:rFonts w:ascii="宋体" w:hAnsi="宋体" w:cs="宋体"/>
                <w:szCs w:val="21"/>
              </w:rPr>
            </w:pPr>
          </w:p>
        </w:tc>
      </w:tr>
    </w:tbl>
    <w:p w14:paraId="3A38344B">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3F390001">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12540BFF">
      <w:pPr>
        <w:adjustRightInd w:val="0"/>
        <w:snapToGrid w:val="0"/>
        <w:spacing w:line="360" w:lineRule="auto"/>
        <w:rPr>
          <w:rFonts w:ascii="宋体" w:hAnsi="宋体" w:cs="宋体"/>
          <w:sz w:val="24"/>
          <w:szCs w:val="24"/>
        </w:rPr>
      </w:pPr>
    </w:p>
    <w:p w14:paraId="57DFC4A7">
      <w:pPr>
        <w:adjustRightInd w:val="0"/>
        <w:snapToGrid w:val="0"/>
        <w:spacing w:line="360" w:lineRule="auto"/>
        <w:rPr>
          <w:rFonts w:ascii="宋体" w:hAnsi="宋体" w:cs="宋体"/>
          <w:sz w:val="24"/>
          <w:szCs w:val="24"/>
        </w:rPr>
      </w:pPr>
    </w:p>
    <w:p w14:paraId="4B84DD57">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6AED86AB">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6C7E1897">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EF219CD">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37" w:name="_Toc476239623"/>
      <w:bookmarkStart w:id="38" w:name="_Toc114772006"/>
    </w:p>
    <w:p w14:paraId="61C01248">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37"/>
      <w:bookmarkEnd w:id="38"/>
    </w:p>
    <w:p w14:paraId="2020AD2E">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08A303A9">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52A55B1C">
      <w:pPr>
        <w:pStyle w:val="34"/>
        <w:ind w:firstLine="420"/>
        <w:rPr>
          <w:rFonts w:ascii="Tahoma" w:hAnsi="Tahoma"/>
          <w:sz w:val="21"/>
        </w:rPr>
      </w:pP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442C6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4B6E65EE">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75A9DD52">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2BB67632">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5A522FE2">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7EED5B62">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7F8D1C1B">
            <w:pPr>
              <w:jc w:val="center"/>
              <w:rPr>
                <w:rFonts w:ascii="宋体" w:hAnsi="宋体" w:cs="宋体"/>
                <w:b/>
                <w:bCs/>
                <w:sz w:val="22"/>
                <w:szCs w:val="18"/>
              </w:rPr>
            </w:pPr>
            <w:r>
              <w:rPr>
                <w:rFonts w:hint="eastAsia" w:ascii="宋体" w:hAnsi="宋体" w:cs="宋体"/>
                <w:b/>
                <w:bCs/>
                <w:sz w:val="22"/>
                <w:szCs w:val="18"/>
              </w:rPr>
              <w:t>备注</w:t>
            </w:r>
          </w:p>
        </w:tc>
      </w:tr>
      <w:tr w14:paraId="690E7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6175570B">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41BCBF94">
            <w:pPr>
              <w:jc w:val="center"/>
              <w:rPr>
                <w:rFonts w:ascii="宋体" w:hAnsi="宋体" w:cs="宋体"/>
                <w:sz w:val="22"/>
                <w:szCs w:val="18"/>
              </w:rPr>
            </w:pPr>
          </w:p>
        </w:tc>
        <w:tc>
          <w:tcPr>
            <w:tcW w:w="1572" w:type="dxa"/>
            <w:tcBorders>
              <w:tl2br w:val="nil"/>
              <w:tr2bl w:val="nil"/>
            </w:tcBorders>
            <w:vAlign w:val="center"/>
          </w:tcPr>
          <w:p w14:paraId="0B9D2279">
            <w:pPr>
              <w:jc w:val="center"/>
              <w:rPr>
                <w:rFonts w:ascii="宋体" w:hAnsi="宋体" w:cs="宋体"/>
                <w:sz w:val="22"/>
                <w:szCs w:val="18"/>
              </w:rPr>
            </w:pPr>
          </w:p>
        </w:tc>
        <w:tc>
          <w:tcPr>
            <w:tcW w:w="1650" w:type="dxa"/>
            <w:tcBorders>
              <w:tl2br w:val="nil"/>
              <w:tr2bl w:val="nil"/>
            </w:tcBorders>
            <w:vAlign w:val="center"/>
          </w:tcPr>
          <w:p w14:paraId="1958E9F6">
            <w:pPr>
              <w:jc w:val="center"/>
              <w:rPr>
                <w:rFonts w:ascii="宋体" w:hAnsi="宋体" w:cs="宋体"/>
                <w:sz w:val="22"/>
                <w:szCs w:val="18"/>
              </w:rPr>
            </w:pPr>
          </w:p>
        </w:tc>
        <w:tc>
          <w:tcPr>
            <w:tcW w:w="1470" w:type="dxa"/>
            <w:tcBorders>
              <w:tl2br w:val="nil"/>
              <w:tr2bl w:val="nil"/>
            </w:tcBorders>
            <w:vAlign w:val="center"/>
          </w:tcPr>
          <w:p w14:paraId="3B1DAAC4">
            <w:pPr>
              <w:jc w:val="center"/>
              <w:rPr>
                <w:rFonts w:ascii="宋体" w:hAnsi="宋体" w:cs="宋体"/>
                <w:sz w:val="22"/>
                <w:szCs w:val="18"/>
              </w:rPr>
            </w:pPr>
          </w:p>
        </w:tc>
        <w:tc>
          <w:tcPr>
            <w:tcW w:w="1245" w:type="dxa"/>
            <w:tcBorders>
              <w:tl2br w:val="nil"/>
              <w:tr2bl w:val="nil"/>
            </w:tcBorders>
            <w:vAlign w:val="center"/>
          </w:tcPr>
          <w:p w14:paraId="4AE85AAA">
            <w:pPr>
              <w:jc w:val="center"/>
              <w:rPr>
                <w:rFonts w:ascii="宋体" w:hAnsi="宋体" w:cs="宋体"/>
                <w:sz w:val="22"/>
                <w:szCs w:val="18"/>
              </w:rPr>
            </w:pPr>
          </w:p>
        </w:tc>
      </w:tr>
      <w:tr w14:paraId="5FDF9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EA27E60">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5ADBCB96">
            <w:pPr>
              <w:jc w:val="center"/>
              <w:rPr>
                <w:rFonts w:ascii="宋体" w:hAnsi="宋体" w:cs="宋体"/>
                <w:sz w:val="22"/>
                <w:szCs w:val="18"/>
              </w:rPr>
            </w:pPr>
          </w:p>
        </w:tc>
        <w:tc>
          <w:tcPr>
            <w:tcW w:w="1572" w:type="dxa"/>
            <w:tcBorders>
              <w:tl2br w:val="nil"/>
              <w:tr2bl w:val="nil"/>
            </w:tcBorders>
            <w:vAlign w:val="center"/>
          </w:tcPr>
          <w:p w14:paraId="53D4A9D0">
            <w:pPr>
              <w:jc w:val="center"/>
              <w:rPr>
                <w:rFonts w:ascii="宋体" w:hAnsi="宋体" w:cs="宋体"/>
                <w:sz w:val="22"/>
                <w:szCs w:val="18"/>
              </w:rPr>
            </w:pPr>
          </w:p>
        </w:tc>
        <w:tc>
          <w:tcPr>
            <w:tcW w:w="1650" w:type="dxa"/>
            <w:tcBorders>
              <w:tl2br w:val="nil"/>
              <w:tr2bl w:val="nil"/>
            </w:tcBorders>
            <w:vAlign w:val="center"/>
          </w:tcPr>
          <w:p w14:paraId="297EEE29">
            <w:pPr>
              <w:jc w:val="center"/>
              <w:rPr>
                <w:rFonts w:ascii="宋体" w:hAnsi="宋体" w:cs="宋体"/>
                <w:sz w:val="22"/>
                <w:szCs w:val="18"/>
              </w:rPr>
            </w:pPr>
          </w:p>
        </w:tc>
        <w:tc>
          <w:tcPr>
            <w:tcW w:w="1470" w:type="dxa"/>
            <w:tcBorders>
              <w:tl2br w:val="nil"/>
              <w:tr2bl w:val="nil"/>
            </w:tcBorders>
            <w:vAlign w:val="center"/>
          </w:tcPr>
          <w:p w14:paraId="4A0BB25D">
            <w:pPr>
              <w:jc w:val="center"/>
              <w:rPr>
                <w:rFonts w:ascii="宋体" w:hAnsi="宋体" w:cs="宋体"/>
                <w:sz w:val="22"/>
                <w:szCs w:val="18"/>
              </w:rPr>
            </w:pPr>
          </w:p>
        </w:tc>
        <w:tc>
          <w:tcPr>
            <w:tcW w:w="1245" w:type="dxa"/>
            <w:tcBorders>
              <w:tl2br w:val="nil"/>
              <w:tr2bl w:val="nil"/>
            </w:tcBorders>
            <w:vAlign w:val="center"/>
          </w:tcPr>
          <w:p w14:paraId="4F8D58BF">
            <w:pPr>
              <w:jc w:val="center"/>
              <w:rPr>
                <w:rFonts w:ascii="宋体" w:hAnsi="宋体" w:cs="宋体"/>
                <w:sz w:val="22"/>
                <w:szCs w:val="18"/>
              </w:rPr>
            </w:pPr>
          </w:p>
        </w:tc>
      </w:tr>
      <w:tr w14:paraId="721AA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6FCCD48">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7EF4F78A">
            <w:pPr>
              <w:jc w:val="center"/>
              <w:rPr>
                <w:rFonts w:ascii="宋体" w:hAnsi="宋体" w:cs="宋体"/>
                <w:sz w:val="22"/>
                <w:szCs w:val="18"/>
              </w:rPr>
            </w:pPr>
          </w:p>
        </w:tc>
        <w:tc>
          <w:tcPr>
            <w:tcW w:w="1572" w:type="dxa"/>
            <w:tcBorders>
              <w:tl2br w:val="nil"/>
              <w:tr2bl w:val="nil"/>
            </w:tcBorders>
            <w:vAlign w:val="center"/>
          </w:tcPr>
          <w:p w14:paraId="1401B586">
            <w:pPr>
              <w:jc w:val="center"/>
              <w:rPr>
                <w:rFonts w:ascii="宋体" w:hAnsi="宋体" w:cs="宋体"/>
                <w:sz w:val="22"/>
                <w:szCs w:val="18"/>
              </w:rPr>
            </w:pPr>
          </w:p>
        </w:tc>
        <w:tc>
          <w:tcPr>
            <w:tcW w:w="1650" w:type="dxa"/>
            <w:tcBorders>
              <w:tl2br w:val="nil"/>
              <w:tr2bl w:val="nil"/>
            </w:tcBorders>
            <w:vAlign w:val="center"/>
          </w:tcPr>
          <w:p w14:paraId="63ED756B">
            <w:pPr>
              <w:jc w:val="center"/>
              <w:rPr>
                <w:rFonts w:ascii="宋体" w:hAnsi="宋体" w:cs="宋体"/>
                <w:sz w:val="22"/>
                <w:szCs w:val="18"/>
              </w:rPr>
            </w:pPr>
          </w:p>
        </w:tc>
        <w:tc>
          <w:tcPr>
            <w:tcW w:w="1470" w:type="dxa"/>
            <w:tcBorders>
              <w:tl2br w:val="nil"/>
              <w:tr2bl w:val="nil"/>
            </w:tcBorders>
            <w:vAlign w:val="center"/>
          </w:tcPr>
          <w:p w14:paraId="45DB8C25">
            <w:pPr>
              <w:jc w:val="center"/>
              <w:rPr>
                <w:rFonts w:ascii="宋体" w:hAnsi="宋体" w:cs="宋体"/>
                <w:sz w:val="22"/>
                <w:szCs w:val="18"/>
              </w:rPr>
            </w:pPr>
          </w:p>
        </w:tc>
        <w:tc>
          <w:tcPr>
            <w:tcW w:w="1245" w:type="dxa"/>
            <w:tcBorders>
              <w:tl2br w:val="nil"/>
              <w:tr2bl w:val="nil"/>
            </w:tcBorders>
            <w:vAlign w:val="center"/>
          </w:tcPr>
          <w:p w14:paraId="1E35BA71">
            <w:pPr>
              <w:jc w:val="center"/>
              <w:rPr>
                <w:rFonts w:ascii="宋体" w:hAnsi="宋体" w:cs="宋体"/>
                <w:sz w:val="22"/>
                <w:szCs w:val="18"/>
              </w:rPr>
            </w:pPr>
          </w:p>
        </w:tc>
      </w:tr>
      <w:tr w14:paraId="1E670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7CF1140B">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6D478317">
            <w:pPr>
              <w:jc w:val="center"/>
              <w:rPr>
                <w:rFonts w:ascii="宋体" w:hAnsi="宋体" w:cs="宋体"/>
                <w:sz w:val="22"/>
                <w:szCs w:val="18"/>
              </w:rPr>
            </w:pPr>
          </w:p>
        </w:tc>
        <w:tc>
          <w:tcPr>
            <w:tcW w:w="1572" w:type="dxa"/>
            <w:tcBorders>
              <w:tl2br w:val="nil"/>
              <w:tr2bl w:val="nil"/>
            </w:tcBorders>
            <w:vAlign w:val="center"/>
          </w:tcPr>
          <w:p w14:paraId="0E7CB786">
            <w:pPr>
              <w:jc w:val="center"/>
              <w:rPr>
                <w:rFonts w:ascii="宋体" w:hAnsi="宋体" w:cs="宋体"/>
                <w:sz w:val="22"/>
                <w:szCs w:val="18"/>
              </w:rPr>
            </w:pPr>
          </w:p>
        </w:tc>
        <w:tc>
          <w:tcPr>
            <w:tcW w:w="1650" w:type="dxa"/>
            <w:tcBorders>
              <w:tl2br w:val="nil"/>
              <w:tr2bl w:val="nil"/>
            </w:tcBorders>
            <w:vAlign w:val="center"/>
          </w:tcPr>
          <w:p w14:paraId="7ED4995D">
            <w:pPr>
              <w:jc w:val="center"/>
              <w:rPr>
                <w:rFonts w:ascii="宋体" w:hAnsi="宋体" w:cs="宋体"/>
                <w:sz w:val="22"/>
                <w:szCs w:val="18"/>
              </w:rPr>
            </w:pPr>
          </w:p>
        </w:tc>
        <w:tc>
          <w:tcPr>
            <w:tcW w:w="1470" w:type="dxa"/>
            <w:tcBorders>
              <w:tl2br w:val="nil"/>
              <w:tr2bl w:val="nil"/>
            </w:tcBorders>
            <w:vAlign w:val="center"/>
          </w:tcPr>
          <w:p w14:paraId="3AD2AD88">
            <w:pPr>
              <w:jc w:val="center"/>
              <w:rPr>
                <w:rFonts w:ascii="宋体" w:hAnsi="宋体" w:cs="宋体"/>
                <w:sz w:val="22"/>
                <w:szCs w:val="18"/>
              </w:rPr>
            </w:pPr>
          </w:p>
        </w:tc>
        <w:tc>
          <w:tcPr>
            <w:tcW w:w="1245" w:type="dxa"/>
            <w:tcBorders>
              <w:tl2br w:val="nil"/>
              <w:tr2bl w:val="nil"/>
            </w:tcBorders>
            <w:vAlign w:val="center"/>
          </w:tcPr>
          <w:p w14:paraId="3339FA9D">
            <w:pPr>
              <w:jc w:val="center"/>
              <w:rPr>
                <w:rFonts w:ascii="宋体" w:hAnsi="宋体" w:cs="宋体"/>
                <w:sz w:val="22"/>
                <w:szCs w:val="18"/>
              </w:rPr>
            </w:pPr>
          </w:p>
        </w:tc>
      </w:tr>
      <w:tr w14:paraId="23E5B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2DCC832F">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02B8DC7E">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7DBC32C2">
            <w:pPr>
              <w:jc w:val="center"/>
              <w:rPr>
                <w:rFonts w:ascii="宋体" w:hAnsi="宋体" w:cs="宋体"/>
                <w:sz w:val="22"/>
                <w:szCs w:val="18"/>
              </w:rPr>
            </w:pPr>
          </w:p>
        </w:tc>
        <w:tc>
          <w:tcPr>
            <w:tcW w:w="1650" w:type="dxa"/>
            <w:tcBorders>
              <w:tl2br w:val="nil"/>
              <w:tr2bl w:val="nil"/>
            </w:tcBorders>
            <w:vAlign w:val="center"/>
          </w:tcPr>
          <w:p w14:paraId="653DDB25">
            <w:pPr>
              <w:jc w:val="center"/>
              <w:rPr>
                <w:rFonts w:ascii="宋体" w:hAnsi="宋体" w:cs="宋体"/>
                <w:sz w:val="22"/>
                <w:szCs w:val="18"/>
              </w:rPr>
            </w:pPr>
          </w:p>
        </w:tc>
        <w:tc>
          <w:tcPr>
            <w:tcW w:w="1470" w:type="dxa"/>
            <w:tcBorders>
              <w:tl2br w:val="nil"/>
              <w:tr2bl w:val="nil"/>
            </w:tcBorders>
            <w:vAlign w:val="center"/>
          </w:tcPr>
          <w:p w14:paraId="7C5493C5">
            <w:pPr>
              <w:jc w:val="center"/>
              <w:rPr>
                <w:rFonts w:ascii="宋体" w:hAnsi="宋体" w:cs="宋体"/>
                <w:sz w:val="22"/>
                <w:szCs w:val="18"/>
              </w:rPr>
            </w:pPr>
          </w:p>
        </w:tc>
        <w:tc>
          <w:tcPr>
            <w:tcW w:w="1245" w:type="dxa"/>
            <w:tcBorders>
              <w:tl2br w:val="nil"/>
              <w:tr2bl w:val="nil"/>
            </w:tcBorders>
            <w:vAlign w:val="center"/>
          </w:tcPr>
          <w:p w14:paraId="3F4AA7CA">
            <w:pPr>
              <w:jc w:val="center"/>
              <w:rPr>
                <w:rFonts w:ascii="宋体" w:hAnsi="宋体" w:cs="宋体"/>
                <w:sz w:val="22"/>
                <w:szCs w:val="18"/>
              </w:rPr>
            </w:pPr>
          </w:p>
        </w:tc>
      </w:tr>
      <w:tr w14:paraId="4B807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7153D9A8">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4CFE28ED">
            <w:pPr>
              <w:rPr>
                <w:rFonts w:ascii="宋体" w:hAnsi="宋体" w:cs="宋体"/>
                <w:sz w:val="22"/>
                <w:szCs w:val="18"/>
              </w:rPr>
            </w:pPr>
          </w:p>
        </w:tc>
      </w:tr>
    </w:tbl>
    <w:p w14:paraId="30D06071">
      <w:pPr>
        <w:rPr>
          <w:rFonts w:ascii="Tahoma" w:hAnsi="Tahoma"/>
          <w:sz w:val="24"/>
        </w:rPr>
      </w:pPr>
    </w:p>
    <w:p w14:paraId="2D3B3DF1">
      <w:pPr>
        <w:rPr>
          <w:rFonts w:ascii="宋体" w:hAnsi="宋体"/>
        </w:rPr>
      </w:pPr>
      <w:r>
        <w:rPr>
          <w:rFonts w:hint="eastAsia" w:ascii="宋体" w:hAnsi="宋体"/>
        </w:rPr>
        <w:t>注：1、此处所报总价合计金额应与报价一览表中总报价金额一致。</w:t>
      </w:r>
    </w:p>
    <w:p w14:paraId="778C1B75">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7FC20426">
      <w:pPr>
        <w:adjustRightInd w:val="0"/>
        <w:snapToGrid w:val="0"/>
        <w:spacing w:line="360" w:lineRule="auto"/>
        <w:ind w:left="-88" w:leftChars="-42"/>
        <w:rPr>
          <w:rFonts w:ascii="宋体" w:hAnsi="宋体"/>
          <w:szCs w:val="21"/>
        </w:rPr>
      </w:pPr>
    </w:p>
    <w:p w14:paraId="7F4955CB">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07E1BFF0">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66C74896">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50A2BEF">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26C9E44D">
      <w:pPr>
        <w:rPr>
          <w:rFonts w:hint="eastAsia" w:ascii="宋体" w:hAnsi="宋体" w:cs="宋体"/>
          <w:b/>
          <w:sz w:val="28"/>
          <w:szCs w:val="28"/>
        </w:rPr>
      </w:pPr>
      <w:r>
        <w:rPr>
          <w:rFonts w:hint="eastAsia" w:ascii="宋体" w:hAnsi="宋体" w:cs="宋体"/>
          <w:b/>
          <w:sz w:val="28"/>
          <w:szCs w:val="28"/>
        </w:rPr>
        <w:br w:type="page"/>
      </w:r>
    </w:p>
    <w:p w14:paraId="553C92A5">
      <w:pPr>
        <w:adjustRightInd w:val="0"/>
        <w:snapToGrid w:val="0"/>
        <w:spacing w:line="360" w:lineRule="auto"/>
        <w:outlineLvl w:val="1"/>
        <w:rPr>
          <w:rFonts w:ascii="宋体" w:hAnsi="宋体" w:cs="宋体"/>
          <w:b/>
          <w:sz w:val="28"/>
          <w:szCs w:val="28"/>
        </w:rPr>
      </w:pPr>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p>
    <w:p w14:paraId="2158F38F">
      <w:pPr>
        <w:pStyle w:val="10"/>
        <w:jc w:val="center"/>
        <w:rPr>
          <w:rFonts w:ascii="宋体" w:hAnsi="宋体" w:cs="宋体"/>
          <w:b/>
          <w:szCs w:val="24"/>
        </w:rPr>
      </w:pPr>
      <w:r>
        <w:rPr>
          <w:rFonts w:hint="eastAsia" w:ascii="宋体" w:hAnsi="宋体" w:cs="宋体"/>
          <w:b/>
          <w:szCs w:val="24"/>
        </w:rPr>
        <w:t>法定代表人授权书</w:t>
      </w:r>
    </w:p>
    <w:p w14:paraId="3C51C694">
      <w:pPr>
        <w:adjustRightInd w:val="0"/>
        <w:snapToGrid w:val="0"/>
        <w:spacing w:line="500" w:lineRule="exact"/>
        <w:rPr>
          <w:rFonts w:ascii="宋体" w:hAnsi="宋体" w:cs="宋体"/>
          <w:sz w:val="24"/>
          <w:szCs w:val="24"/>
        </w:rPr>
      </w:pPr>
    </w:p>
    <w:p w14:paraId="367F80F7">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0A804DE9">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479C8057">
      <w:pPr>
        <w:spacing w:line="500" w:lineRule="exact"/>
        <w:rPr>
          <w:rFonts w:ascii="宋体" w:hAnsi="宋体" w:cs="宋体"/>
          <w:sz w:val="24"/>
          <w:szCs w:val="24"/>
        </w:rPr>
      </w:pPr>
    </w:p>
    <w:p w14:paraId="0BAF7FC2">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02C832C9">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516D6632">
      <w:pPr>
        <w:pStyle w:val="10"/>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648B2D15">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C4D84FA">
      <w:pPr>
        <w:spacing w:line="500" w:lineRule="exact"/>
        <w:rPr>
          <w:rFonts w:ascii="宋体" w:hAnsi="宋体" w:cs="宋体"/>
          <w:sz w:val="24"/>
          <w:szCs w:val="24"/>
        </w:rPr>
      </w:pPr>
    </w:p>
    <w:p w14:paraId="15C410B9">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16B80A87">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180FCF43">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54208E95">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7ACE7565">
      <w:pPr>
        <w:adjustRightInd w:val="0"/>
        <w:snapToGrid w:val="0"/>
        <w:spacing w:line="500" w:lineRule="exact"/>
        <w:ind w:left="-88" w:leftChars="-42" w:firstLine="600" w:firstLineChars="250"/>
        <w:rPr>
          <w:rFonts w:ascii="宋体" w:hAnsi="宋体" w:cs="宋体"/>
          <w:sz w:val="24"/>
          <w:szCs w:val="24"/>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3650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599ADCE3">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762A6A60">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33D5C921">
      <w:pPr>
        <w:spacing w:line="500" w:lineRule="exact"/>
        <w:rPr>
          <w:rFonts w:ascii="宋体" w:hAnsi="宋体" w:cs="宋体"/>
          <w:b/>
          <w:sz w:val="24"/>
          <w:szCs w:val="24"/>
        </w:rPr>
      </w:pPr>
    </w:p>
    <w:p w14:paraId="5DA2688A">
      <w:pPr>
        <w:pStyle w:val="10"/>
      </w:pPr>
    </w:p>
    <w:p w14:paraId="46E9256E">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79D54114">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57C67F6C">
      <w:pPr>
        <w:pStyle w:val="16"/>
        <w:tabs>
          <w:tab w:val="center" w:pos="4153"/>
          <w:tab w:val="right" w:pos="8306"/>
          <w:tab w:val="clear" w:pos="4140"/>
          <w:tab w:val="clear" w:pos="8300"/>
        </w:tabs>
        <w:rPr>
          <w:rFonts w:hint="eastAsia" w:ascii="宋体" w:hAnsi="宋体" w:eastAsia="宋体" w:cs="宋体"/>
          <w:highlight w:val="none"/>
        </w:rPr>
      </w:pPr>
    </w:p>
    <w:p w14:paraId="04F02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090D51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45AE41A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1C8BE43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0A21D44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246F4F2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16CD7D9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23BCF6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2B38227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23D276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1772457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1AE245C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5988AA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0BBA7C6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4F42027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67949D88">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09787EDB">
      <w:pPr>
        <w:pStyle w:val="7"/>
        <w:rPr>
          <w:rFonts w:hint="eastAsia" w:ascii="Times New Roman" w:hAnsi="宋体" w:eastAsia="宋体" w:cs="Times New Roman"/>
          <w:sz w:val="24"/>
          <w:szCs w:val="24"/>
          <w:lang w:val="en-US" w:eastAsia="zh-CN"/>
        </w:rPr>
      </w:pPr>
    </w:p>
    <w:p w14:paraId="62F0068D">
      <w:pPr>
        <w:pStyle w:val="7"/>
        <w:rPr>
          <w:rFonts w:hint="eastAsia" w:ascii="Times New Roman" w:hAnsi="宋体" w:eastAsia="宋体" w:cs="Times New Roman"/>
          <w:sz w:val="24"/>
          <w:szCs w:val="24"/>
          <w:lang w:val="en-US" w:eastAsia="zh-CN"/>
        </w:rPr>
      </w:pPr>
    </w:p>
    <w:p w14:paraId="186235E9">
      <w:pPr>
        <w:pStyle w:val="7"/>
        <w:rPr>
          <w:rFonts w:hint="eastAsia" w:ascii="Times New Roman" w:hAnsi="宋体" w:eastAsia="宋体" w:cs="Times New Roman"/>
          <w:sz w:val="24"/>
          <w:szCs w:val="24"/>
          <w:lang w:val="en-US" w:eastAsia="zh-CN"/>
        </w:rPr>
      </w:pPr>
    </w:p>
    <w:p w14:paraId="58095C18">
      <w:pPr>
        <w:pStyle w:val="7"/>
        <w:rPr>
          <w:rFonts w:hint="eastAsia" w:ascii="Times New Roman" w:hAnsi="宋体" w:eastAsia="宋体" w:cs="Times New Roman"/>
          <w:sz w:val="24"/>
          <w:szCs w:val="24"/>
          <w:lang w:val="en-US" w:eastAsia="zh-CN"/>
        </w:rPr>
      </w:pPr>
    </w:p>
    <w:p w14:paraId="7A306875">
      <w:pPr>
        <w:pStyle w:val="7"/>
        <w:rPr>
          <w:rFonts w:hint="eastAsia" w:ascii="Times New Roman" w:hAnsi="宋体" w:eastAsia="宋体" w:cs="Times New Roman"/>
          <w:sz w:val="24"/>
          <w:szCs w:val="24"/>
          <w:lang w:val="en-US" w:eastAsia="zh-CN"/>
        </w:rPr>
      </w:pPr>
    </w:p>
    <w:p w14:paraId="5731D44F">
      <w:pPr>
        <w:pStyle w:val="7"/>
        <w:rPr>
          <w:rFonts w:hint="eastAsia" w:ascii="Times New Roman" w:hAnsi="宋体" w:eastAsia="宋体" w:cs="Times New Roman"/>
          <w:sz w:val="24"/>
          <w:szCs w:val="24"/>
          <w:lang w:val="en-US" w:eastAsia="zh-CN"/>
        </w:rPr>
      </w:pPr>
    </w:p>
    <w:p w14:paraId="362D69AB">
      <w:pPr>
        <w:pStyle w:val="7"/>
        <w:rPr>
          <w:rFonts w:hint="eastAsia" w:ascii="Times New Roman" w:hAnsi="宋体" w:eastAsia="宋体" w:cs="Times New Roman"/>
          <w:sz w:val="24"/>
          <w:szCs w:val="24"/>
          <w:lang w:val="en-US" w:eastAsia="zh-CN"/>
        </w:rPr>
      </w:pPr>
    </w:p>
    <w:p w14:paraId="2B73409C">
      <w:pPr>
        <w:pStyle w:val="7"/>
        <w:rPr>
          <w:rFonts w:hint="eastAsia" w:ascii="Times New Roman" w:hAnsi="宋体" w:eastAsia="宋体" w:cs="Times New Roman"/>
          <w:sz w:val="24"/>
          <w:szCs w:val="24"/>
          <w:lang w:val="en-US" w:eastAsia="zh-CN"/>
        </w:rPr>
      </w:pPr>
    </w:p>
    <w:p w14:paraId="43CADC10">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7CEFD372">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5D2D8942">
      <w:pPr>
        <w:pStyle w:val="7"/>
        <w:rPr>
          <w:rFonts w:hint="eastAsia" w:ascii="Times New Roman" w:hAnsi="宋体" w:eastAsia="宋体" w:cs="Times New Roman"/>
          <w:sz w:val="24"/>
          <w:szCs w:val="24"/>
          <w:lang w:val="en-US" w:eastAsia="zh-CN"/>
        </w:rPr>
      </w:pPr>
    </w:p>
    <w:p w14:paraId="588B6B0B">
      <w:pPr>
        <w:pStyle w:val="7"/>
        <w:rPr>
          <w:rFonts w:hint="eastAsia" w:ascii="Times New Roman" w:hAnsi="宋体" w:eastAsia="宋体" w:cs="Times New Roman"/>
          <w:sz w:val="24"/>
          <w:szCs w:val="24"/>
          <w:lang w:val="en-US" w:eastAsia="zh-CN"/>
        </w:rPr>
      </w:pPr>
    </w:p>
    <w:p w14:paraId="0730C461">
      <w:pPr>
        <w:pStyle w:val="7"/>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7EAD1BF">
      <w:pPr>
        <w:pStyle w:val="3"/>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39" w:name="_Toc20908"/>
      <w:bookmarkStart w:id="40" w:name="_Toc19021"/>
      <w:r>
        <w:rPr>
          <w:rFonts w:hint="eastAsia" w:ascii="宋体" w:hAnsi="宋体" w:eastAsia="宋体" w:cs="宋体"/>
          <w:highlight w:val="none"/>
          <w:lang w:val="en-US" w:eastAsia="zh-CN"/>
        </w:rPr>
        <w:t>第五章 采购合同</w:t>
      </w:r>
      <w:bookmarkEnd w:id="39"/>
      <w:bookmarkEnd w:id="40"/>
    </w:p>
    <w:p w14:paraId="407F52CA">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69002D46">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5521BBD4">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411DDA33">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2E498A53">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76B5FDAB">
      <w:pPr>
        <w:pStyle w:val="72"/>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sz w:val="36"/>
          <w:szCs w:val="36"/>
        </w:rPr>
      </w:pPr>
      <w:bookmarkStart w:id="41" w:name="_Toc608821499"/>
      <w:bookmarkStart w:id="42" w:name="_Toc1964306340"/>
      <w:r>
        <w:rPr>
          <w:rFonts w:hint="eastAsia" w:asciiTheme="minorEastAsia" w:hAnsiTheme="minorEastAsia" w:eastAsiaTheme="minorEastAsia" w:cstheme="minorEastAsia"/>
          <w:spacing w:val="0"/>
          <w:sz w:val="36"/>
          <w:szCs w:val="36"/>
          <w:lang w:val="en-US" w:eastAsia="zh-CN"/>
        </w:rPr>
        <w:t>恩施机场痕量爆炸物</w:t>
      </w:r>
      <w:r>
        <w:rPr>
          <w:rFonts w:hint="eastAsia" w:asciiTheme="minorEastAsia" w:hAnsiTheme="minorEastAsia" w:cstheme="minorEastAsia"/>
          <w:spacing w:val="0"/>
          <w:sz w:val="36"/>
          <w:szCs w:val="36"/>
          <w:lang w:val="en-US" w:eastAsia="zh-CN"/>
        </w:rPr>
        <w:t>检测设备维保</w:t>
      </w:r>
      <w:r>
        <w:rPr>
          <w:rFonts w:hint="eastAsia" w:asciiTheme="minorEastAsia" w:hAnsiTheme="minorEastAsia" w:eastAsiaTheme="minorEastAsia" w:cstheme="minorEastAsia"/>
          <w:spacing w:val="0"/>
          <w:sz w:val="36"/>
          <w:szCs w:val="36"/>
          <w:lang w:val="en-US" w:eastAsia="zh-CN"/>
        </w:rPr>
        <w:t>合同</w:t>
      </w:r>
      <w:bookmarkEnd w:id="41"/>
      <w:bookmarkEnd w:id="42"/>
    </w:p>
    <w:p w14:paraId="03A5A34F">
      <w:pPr>
        <w:pStyle w:val="73"/>
        <w:bidi w:val="0"/>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553C24B9">
      <w:pPr>
        <w:pStyle w:val="73"/>
        <w:bidi w:val="0"/>
        <w:rPr>
          <w:rFonts w:hint="eastAsia"/>
          <w:lang w:val="en-US" w:eastAsia="zh-CN"/>
        </w:rPr>
      </w:pPr>
      <w:r>
        <w:rPr>
          <w:rFonts w:hint="eastAsia"/>
          <w:lang w:val="en-US" w:eastAsia="zh-CN"/>
        </w:rPr>
        <w:t>法定代表人：</w:t>
      </w:r>
    </w:p>
    <w:p w14:paraId="71CE8B62">
      <w:pPr>
        <w:pStyle w:val="73"/>
        <w:bidi w:val="0"/>
        <w:rPr>
          <w:rFonts w:hint="eastAsia"/>
          <w:lang w:val="en-US" w:eastAsia="zh-CN"/>
        </w:rPr>
      </w:pPr>
      <w:r>
        <w:rPr>
          <w:rFonts w:hint="eastAsia"/>
          <w:lang w:val="en-US" w:eastAsia="zh-CN"/>
        </w:rPr>
        <w:t>地址：</w:t>
      </w:r>
    </w:p>
    <w:p w14:paraId="6F492E05">
      <w:pPr>
        <w:pStyle w:val="73"/>
        <w:bidi w:val="0"/>
        <w:rPr>
          <w:rFonts w:hint="eastAsia"/>
          <w:lang w:val="en-US" w:eastAsia="zh-CN"/>
        </w:rPr>
      </w:pPr>
    </w:p>
    <w:p w14:paraId="7D7833CE">
      <w:pPr>
        <w:pStyle w:val="73"/>
        <w:bidi w:val="0"/>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7837A4AB">
      <w:pPr>
        <w:pStyle w:val="73"/>
        <w:bidi w:val="0"/>
        <w:rPr>
          <w:rFonts w:hint="eastAsia"/>
          <w:lang w:val="en-US" w:eastAsia="zh-CN"/>
        </w:rPr>
      </w:pPr>
      <w:r>
        <w:rPr>
          <w:rFonts w:hint="eastAsia"/>
          <w:lang w:val="en-US" w:eastAsia="zh-CN"/>
        </w:rPr>
        <w:t>法定代表人：</w:t>
      </w:r>
    </w:p>
    <w:p w14:paraId="77138E19">
      <w:pPr>
        <w:pStyle w:val="73"/>
        <w:bidi w:val="0"/>
        <w:rPr>
          <w:rFonts w:hint="eastAsia"/>
          <w:lang w:val="en-US" w:eastAsia="zh-CN"/>
        </w:rPr>
      </w:pPr>
      <w:r>
        <w:rPr>
          <w:rFonts w:hint="eastAsia"/>
          <w:lang w:val="en-US" w:eastAsia="zh-CN"/>
        </w:rPr>
        <w:t>地址：</w:t>
      </w:r>
    </w:p>
    <w:p w14:paraId="6ABD9DB8">
      <w:pPr>
        <w:pStyle w:val="73"/>
        <w:bidi w:val="0"/>
        <w:rPr>
          <w:rFonts w:hint="eastAsia"/>
        </w:rPr>
      </w:pPr>
    </w:p>
    <w:p w14:paraId="185CC132">
      <w:pPr>
        <w:pStyle w:val="22"/>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color w:val="000000"/>
          <w:spacing w:val="0"/>
          <w:sz w:val="24"/>
          <w:szCs w:val="24"/>
        </w:rPr>
        <w:t>根据《中华人民共和国民法典》</w:t>
      </w:r>
      <w:r>
        <w:rPr>
          <w:rFonts w:hint="eastAsia" w:asciiTheme="minorEastAsia" w:hAnsiTheme="minorEastAsia" w:eastAsiaTheme="minorEastAsia" w:cstheme="minorEastAsia"/>
          <w:color w:val="000000"/>
          <w:spacing w:val="0"/>
          <w:sz w:val="24"/>
          <w:szCs w:val="24"/>
          <w:lang w:val="en-US" w:eastAsia="zh-CN"/>
        </w:rPr>
        <w:t>及相关</w:t>
      </w:r>
      <w:r>
        <w:rPr>
          <w:rFonts w:hint="eastAsia" w:asciiTheme="minorEastAsia" w:hAnsiTheme="minorEastAsia" w:eastAsiaTheme="minorEastAsia" w:cstheme="minorEastAsia"/>
          <w:color w:val="000000"/>
          <w:spacing w:val="0"/>
          <w:sz w:val="24"/>
          <w:szCs w:val="24"/>
        </w:rPr>
        <w:t>规定，本合同</w:t>
      </w:r>
      <w:r>
        <w:rPr>
          <w:rFonts w:hint="eastAsia" w:asciiTheme="minorEastAsia" w:hAnsiTheme="minorEastAsia" w:eastAsiaTheme="minorEastAsia" w:cstheme="minorEastAsia"/>
          <w:color w:val="000000"/>
          <w:spacing w:val="0"/>
          <w:sz w:val="24"/>
          <w:szCs w:val="24"/>
          <w:lang w:val="en-US" w:eastAsia="zh-CN"/>
        </w:rPr>
        <w:t>就甲方向乙方采购【痕量爆炸物检测设备维保】</w:t>
      </w:r>
      <w:r>
        <w:rPr>
          <w:rFonts w:hint="eastAsia" w:asciiTheme="minorEastAsia" w:hAnsiTheme="minorEastAsia" w:eastAsiaTheme="minorEastAsia" w:cstheme="minorEastAsia"/>
          <w:color w:val="000000"/>
          <w:spacing w:val="0"/>
          <w:sz w:val="24"/>
          <w:szCs w:val="24"/>
        </w:rPr>
        <w:t>事项，经过平等协商，在真实、充分地表达各自意愿的基础上，达成如下</w:t>
      </w:r>
      <w:r>
        <w:rPr>
          <w:rFonts w:hint="eastAsia" w:asciiTheme="minorEastAsia" w:hAnsiTheme="minorEastAsia" w:eastAsiaTheme="minorEastAsia" w:cstheme="minorEastAsia"/>
          <w:color w:val="000000"/>
          <w:spacing w:val="0"/>
          <w:sz w:val="24"/>
          <w:szCs w:val="24"/>
          <w:lang w:val="en-US" w:eastAsia="zh-CN"/>
        </w:rPr>
        <w:t>合同内容</w:t>
      </w: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以资共同遵守。</w:t>
      </w:r>
    </w:p>
    <w:p w14:paraId="2E0C81A3">
      <w:pPr>
        <w:pStyle w:val="75"/>
        <w:keepNext w:val="0"/>
        <w:keepLines w:val="0"/>
        <w:pageBreakBefore w:val="0"/>
        <w:widowControl w:val="0"/>
        <w:numPr>
          <w:ilvl w:val="0"/>
          <w:numId w:val="9"/>
        </w:numPr>
        <w:kinsoku/>
        <w:wordWrap/>
        <w:overflowPunct/>
        <w:topLinePunct w:val="0"/>
        <w:autoSpaceDE w:val="0"/>
        <w:autoSpaceDN w:val="0"/>
        <w:bidi w:val="0"/>
        <w:rPr>
          <w:rFonts w:hint="eastAsia" w:asciiTheme="minorEastAsia" w:hAnsiTheme="minorEastAsia" w:eastAsiaTheme="minorEastAsia" w:cstheme="minorEastAsia"/>
          <w:b w:val="0"/>
          <w:bCs w:val="0"/>
          <w:spacing w:val="0"/>
          <w:lang w:val="en-US"/>
        </w:rPr>
      </w:pPr>
      <w:r>
        <w:rPr>
          <w:rFonts w:hint="eastAsia" w:asciiTheme="minorEastAsia" w:hAnsiTheme="minorEastAsia" w:cstheme="minorEastAsia"/>
          <w:spacing w:val="0"/>
          <w:lang w:val="en-US" w:eastAsia="zh-CN"/>
        </w:rPr>
        <w:t>定义</w:t>
      </w:r>
    </w:p>
    <w:p w14:paraId="6EA8CE53">
      <w:pPr>
        <w:pStyle w:val="76"/>
        <w:keepNext w:val="0"/>
        <w:keepLines w:val="0"/>
        <w:pageBreakBefore w:val="0"/>
        <w:widowControl w:val="0"/>
        <w:numPr>
          <w:ilvl w:val="0"/>
          <w:numId w:val="0"/>
        </w:numPr>
        <w:kinsoku/>
        <w:wordWrap/>
        <w:overflowPunct/>
        <w:topLinePunct w:val="0"/>
        <w:autoSpaceDE w:val="0"/>
        <w:autoSpaceDN w:val="0"/>
        <w:bidi w:val="0"/>
        <w:ind w:firstLine="482" w:firstLine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定义</w:t>
      </w:r>
      <w:r>
        <w:rPr>
          <w:rFonts w:hint="eastAsia" w:asciiTheme="minorEastAsia" w:hAnsiTheme="minorEastAsia" w:eastAsiaTheme="minorEastAsia" w:cstheme="minorEastAsia"/>
          <w:spacing w:val="0"/>
          <w:lang w:val="en-US"/>
        </w:rPr>
        <w:t>： 除非合同中另有说明，以下术语在本合同中的含义以下列相关解释为准。</w:t>
      </w:r>
    </w:p>
    <w:p w14:paraId="1637D5EF">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合同：</w:t>
      </w:r>
      <w:r>
        <w:rPr>
          <w:rFonts w:hint="eastAsia" w:asciiTheme="minorEastAsia" w:hAnsiTheme="minorEastAsia" w:eastAsiaTheme="minorEastAsia" w:cstheme="minorEastAsia"/>
          <w:spacing w:val="0"/>
          <w:lang w:val="en-US"/>
        </w:rPr>
        <w:t>指甲方与乙方为本合同标的所达成的所有协议，包括本合同及本合</w:t>
      </w:r>
    </w:p>
    <w:p w14:paraId="6B529F86">
      <w:pPr>
        <w:pStyle w:val="76"/>
        <w:keepNext w:val="0"/>
        <w:keepLines w:val="0"/>
        <w:pageBreakBefore w:val="0"/>
        <w:widowControl w:val="0"/>
        <w:numPr>
          <w:ilvl w:val="0"/>
          <w:numId w:val="0"/>
        </w:numPr>
        <w:kinsoku/>
        <w:wordWrap/>
        <w:overflowPunct/>
        <w:topLinePunct w:val="0"/>
        <w:autoSpaceDE w:val="0"/>
        <w:autoSpaceDN w:val="0"/>
        <w:bidi w:val="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lang w:val="en-US"/>
        </w:rPr>
        <w:t>中明确规定为本合同组成部分的所有附件及双方签署的合同修改书等。</w:t>
      </w:r>
    </w:p>
    <w:p w14:paraId="7CB94E76">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合同价格：</w:t>
      </w:r>
      <w:r>
        <w:rPr>
          <w:rFonts w:hint="eastAsia" w:asciiTheme="minorEastAsia" w:hAnsiTheme="minorEastAsia" w:eastAsiaTheme="minorEastAsia" w:cstheme="minorEastAsia"/>
          <w:spacing w:val="0"/>
          <w:lang w:val="en-US"/>
        </w:rPr>
        <w:t>指本合同项下甲方应支付给乙方的维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rPr>
        <w:t>服务费用。</w:t>
      </w:r>
    </w:p>
    <w:p w14:paraId="383B660F">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设备：</w:t>
      </w:r>
      <w:r>
        <w:rPr>
          <w:rFonts w:hint="eastAsia" w:asciiTheme="minorEastAsia" w:hAnsiTheme="minorEastAsia" w:eastAsiaTheme="minorEastAsia" w:cstheme="minorEastAsia"/>
          <w:spacing w:val="0"/>
          <w:lang w:val="en-US"/>
        </w:rPr>
        <w:t>指甲方要求乙方提供</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rPr>
        <w:t>服务的所有设备。</w:t>
      </w:r>
    </w:p>
    <w:p w14:paraId="38E3EBFC">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现场：</w:t>
      </w:r>
      <w:r>
        <w:rPr>
          <w:rFonts w:hint="eastAsia" w:asciiTheme="minorEastAsia" w:hAnsiTheme="minorEastAsia" w:eastAsiaTheme="minorEastAsia" w:cstheme="minorEastAsia"/>
          <w:spacing w:val="0"/>
          <w:lang w:val="en-US"/>
        </w:rPr>
        <w:t>指对上述设备提供</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rPr>
        <w:t>服务的地点。</w:t>
      </w:r>
    </w:p>
    <w:p w14:paraId="3867EA67">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维</w:t>
      </w:r>
      <w:r>
        <w:rPr>
          <w:rFonts w:hint="eastAsia" w:asciiTheme="minorEastAsia" w:hAnsiTheme="minorEastAsia" w:cstheme="minorEastAsia"/>
          <w:b/>
          <w:bCs/>
          <w:spacing w:val="0"/>
          <w:lang w:val="en-US" w:eastAsia="zh-CN"/>
        </w:rPr>
        <w:t>保</w:t>
      </w:r>
      <w:r>
        <w:rPr>
          <w:rFonts w:hint="eastAsia" w:asciiTheme="minorEastAsia" w:hAnsiTheme="minorEastAsia" w:eastAsiaTheme="minorEastAsia" w:cstheme="minorEastAsia"/>
          <w:b/>
          <w:bCs/>
          <w:spacing w:val="0"/>
          <w:lang w:val="en-US"/>
        </w:rPr>
        <w:t>服务：</w:t>
      </w:r>
      <w:r>
        <w:rPr>
          <w:rFonts w:hint="eastAsia" w:asciiTheme="minorEastAsia" w:hAnsiTheme="minorEastAsia" w:eastAsiaTheme="minorEastAsia" w:cstheme="minorEastAsia"/>
          <w:spacing w:val="0"/>
          <w:lang w:val="en-US"/>
        </w:rPr>
        <w:t>指乙方为排除设备故障和恢复系统功能，按照附件中规定的</w:t>
      </w:r>
    </w:p>
    <w:p w14:paraId="1D777B61">
      <w:pPr>
        <w:pStyle w:val="76"/>
        <w:keepNext w:val="0"/>
        <w:keepLines w:val="0"/>
        <w:pageBreakBefore w:val="0"/>
        <w:widowControl w:val="0"/>
        <w:numPr>
          <w:ilvl w:val="0"/>
          <w:numId w:val="0"/>
        </w:numPr>
        <w:kinsoku/>
        <w:wordWrap/>
        <w:overflowPunct/>
        <w:topLinePunct w:val="0"/>
        <w:autoSpaceDE w:val="0"/>
        <w:autoSpaceDN w:val="0"/>
        <w:bidi w:val="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lang w:val="en-US"/>
        </w:rPr>
        <w:t>服务内容和方式所提供的维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rPr>
        <w:t>服务。</w:t>
      </w:r>
    </w:p>
    <w:p w14:paraId="43CB8BC5">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备品备件</w:t>
      </w:r>
      <w:r>
        <w:rPr>
          <w:rFonts w:hint="eastAsia" w:asciiTheme="minorEastAsia" w:hAnsiTheme="minorEastAsia" w:eastAsiaTheme="minorEastAsia" w:cstheme="minorEastAsia"/>
          <w:spacing w:val="0"/>
          <w:lang w:val="en-US"/>
        </w:rPr>
        <w:t>: 指为排除设备故障和恢复系统功能更换的元器件。</w:t>
      </w:r>
    </w:p>
    <w:p w14:paraId="56EBF6C8">
      <w:pPr>
        <w:pStyle w:val="75"/>
        <w:keepNext w:val="0"/>
        <w:keepLines w:val="0"/>
        <w:pageBreakBefore w:val="0"/>
        <w:widowControl w:val="0"/>
        <w:numPr>
          <w:ilvl w:val="0"/>
          <w:numId w:val="9"/>
        </w:numPr>
        <w:kinsoku/>
        <w:wordWrap/>
        <w:overflowPunct/>
        <w:topLinePunct w:val="0"/>
        <w:autoSpaceDE w:val="0"/>
        <w:autoSpaceDN w:val="0"/>
        <w:bidi w:val="0"/>
        <w:rPr>
          <w:rFonts w:hint="eastAsia"/>
          <w:lang w:val="en-US"/>
        </w:rPr>
      </w:pPr>
      <w:r>
        <w:rPr>
          <w:rFonts w:hint="eastAsia"/>
          <w:lang w:val="en-US" w:eastAsia="zh-CN"/>
        </w:rPr>
        <w:t>维保内容</w:t>
      </w:r>
    </w:p>
    <w:p w14:paraId="7D209D1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rPr>
        <w:t>维保内容：</w:t>
      </w:r>
    </w:p>
    <w:p w14:paraId="5E9571C9">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品牌名称：【</w:t>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同方威视</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29062E21">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机组数量：【2】。</w:t>
      </w:r>
    </w:p>
    <w:p w14:paraId="18C2F0E1">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型号规格：【TR2000DC（TFNBZ-XIV-170129、TFNBZ-XIV-170131）】。</w:t>
      </w:r>
    </w:p>
    <w:p w14:paraId="1D44A1D9">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维保地点：【恩施许家坪国际机场】。</w:t>
      </w:r>
    </w:p>
    <w:p w14:paraId="38BB65EB">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维保方式：【</w:t>
      </w:r>
      <w:r>
        <w:rPr>
          <w:rFonts w:hint="eastAsia" w:asciiTheme="minorEastAsia" w:hAnsiTheme="minorEastAsia" w:cstheme="minorEastAsia"/>
          <w:snapToGrid/>
          <w:color w:val="000000"/>
          <w:spacing w:val="0"/>
          <w:kern w:val="0"/>
          <w:sz w:val="24"/>
          <w:szCs w:val="24"/>
          <w:lang w:val="en-US" w:eastAsia="zh-CN" w:bidi="ar-SA"/>
        </w:rPr>
        <w:t>现场开展</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0C5D3047">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napToGrid/>
          <w:color w:val="000000"/>
          <w:spacing w:val="0"/>
          <w:kern w:val="0"/>
          <w:sz w:val="24"/>
          <w:szCs w:val="24"/>
          <w:lang w:val="en-US" w:eastAsia="zh-CN" w:bidi="ar-SA"/>
        </w:rPr>
        <w:t>维保标准</w:t>
      </w:r>
      <w:r>
        <w:rPr>
          <w:rFonts w:hint="eastAsia" w:asciiTheme="minorEastAsia" w:hAnsiTheme="minorEastAsia" w:cstheme="minorEastAsia"/>
          <w:snapToGrid/>
          <w:color w:val="000000"/>
          <w:spacing w:val="0"/>
          <w:kern w:val="0"/>
          <w:sz w:val="24"/>
          <w:szCs w:val="24"/>
          <w:lang w:val="en-US" w:eastAsia="zh-CN" w:bidi="ar-SA"/>
        </w:rPr>
        <w:t>：</w:t>
      </w:r>
      <w:r>
        <w:rPr>
          <w:rFonts w:hint="eastAsia" w:asciiTheme="minorEastAsia" w:hAnsiTheme="minorEastAsia" w:eastAsiaTheme="minorEastAsia" w:cstheme="minorEastAsia"/>
          <w:snapToGrid/>
          <w:color w:val="000000"/>
          <w:spacing w:val="0"/>
          <w:kern w:val="0"/>
          <w:sz w:val="24"/>
          <w:szCs w:val="24"/>
          <w:lang w:val="en-US" w:eastAsia="zh-CN" w:bidi="ar-SA"/>
        </w:rPr>
        <w:t>【排除甲方设备故障和恢复系统功能、确保甲方一年内通过2</w:t>
      </w:r>
      <w:r>
        <w:rPr>
          <w:rFonts w:hint="eastAsia" w:ascii="宋体" w:hAnsi="宋体" w:cs="宋体"/>
          <w:kern w:val="0"/>
          <w:sz w:val="24"/>
          <w:szCs w:val="24"/>
          <w:highlight w:val="none"/>
          <w:lang w:val="en-US" w:eastAsia="zh-CN"/>
        </w:rPr>
        <w:t>次设备定检</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3656B4A6">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维</w:t>
      </w:r>
      <w:r>
        <w:rPr>
          <w:rFonts w:hint="eastAsia" w:asciiTheme="minorEastAsia" w:hAnsiTheme="minorEastAsia" w:eastAsiaTheme="minorEastAsia" w:cstheme="minorEastAsia"/>
          <w:spacing w:val="0"/>
          <w:lang w:val="en-US" w:eastAsia="zh-CN"/>
        </w:rPr>
        <w:t>保</w:t>
      </w:r>
      <w:r>
        <w:rPr>
          <w:rFonts w:hint="eastAsia" w:asciiTheme="minorEastAsia" w:hAnsiTheme="minorEastAsia" w:eastAsiaTheme="minorEastAsia" w:cstheme="minorEastAsia"/>
          <w:spacing w:val="0"/>
        </w:rPr>
        <w:t>费用</w:t>
      </w:r>
    </w:p>
    <w:p w14:paraId="39D1D9B9">
      <w:pPr>
        <w:pStyle w:val="76"/>
        <w:bidi w:val="0"/>
        <w:ind w:left="-60" w:leftChars="0" w:firstLineChars="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本合同含税总价为</w:t>
      </w:r>
      <w:r>
        <w:rPr>
          <w:rFonts w:hint="eastAsia" w:asciiTheme="minorEastAsia" w:hAnsiTheme="minorEastAsia" w:eastAsiaTheme="minorEastAsia" w:cstheme="minorEastAsia"/>
          <w:spacing w:val="0"/>
          <w:lang w:val="en-US" w:eastAsia="zh-CN"/>
        </w:rPr>
        <w:t>人民币</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大写</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val="en-US" w:eastAsia="zh-CN"/>
        </w:rPr>
        <w:t>。其中不含税额为人民币【</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】元，税额为人民币【</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】元（税率：【</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w:t>
      </w:r>
    </w:p>
    <w:p w14:paraId="370F790C">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因国家税务政策变化导致增值税率发生变化时，按新的增值税率执行，合同价=合同签订时的不含税价*(1+新税率)。合同签订时的不含税价＝(合同约定的含税价、价外费用)/(1+合同签订时适用的税率)</w:t>
      </w:r>
      <w:r>
        <w:rPr>
          <w:rFonts w:hint="eastAsia" w:asciiTheme="minorEastAsia" w:hAnsiTheme="minorEastAsia" w:cstheme="minorEastAsia"/>
          <w:spacing w:val="0"/>
          <w:lang w:eastAsia="zh-CN"/>
        </w:rPr>
        <w:t>。</w:t>
      </w:r>
    </w:p>
    <w:p w14:paraId="4052441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pacing w:val="0"/>
        </w:rPr>
        <w:t>乙方提供本次服务中涉及到的差旅、文印等其他成本支出，除本合同明确说明的以外，由乙方自行承担</w:t>
      </w:r>
      <w:r>
        <w:rPr>
          <w:rFonts w:hint="eastAsia" w:asciiTheme="minorEastAsia" w:hAnsiTheme="minorEastAsia" w:eastAsiaTheme="minorEastAsia" w:cstheme="minorEastAsia"/>
          <w:snapToGrid/>
          <w:color w:val="000000"/>
          <w:spacing w:val="0"/>
          <w:kern w:val="0"/>
          <w:sz w:val="24"/>
          <w:szCs w:val="24"/>
          <w:lang w:val="en-US" w:eastAsia="zh-CN" w:bidi="ar-SA"/>
        </w:rPr>
        <w:t>，本合同约定的服务费用已经包含乙方提供服务及维保所需备品备件（详见附件二）等全部费用。</w:t>
      </w:r>
    </w:p>
    <w:p w14:paraId="2DAC27DF">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乙方维保安排</w:t>
      </w:r>
    </w:p>
    <w:p w14:paraId="4654610E">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安排人员</w:t>
      </w:r>
    </w:p>
    <w:p w14:paraId="76CA3177">
      <w:pPr>
        <w:pStyle w:val="77"/>
        <w:keepNext w:val="0"/>
        <w:keepLines w:val="0"/>
        <w:pageBreakBefore w:val="0"/>
        <w:widowControl w:val="0"/>
        <w:numPr>
          <w:ilvl w:val="2"/>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乙方选派的工作人员，必须严格按照设备的技术指示和合同约定的维保内容，到合同约定的维保地点完成维保工作。</w:t>
      </w:r>
    </w:p>
    <w:p w14:paraId="15BF94DC">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使用指导</w:t>
      </w:r>
    </w:p>
    <w:p w14:paraId="20DBC974">
      <w:pPr>
        <w:pStyle w:val="77"/>
        <w:keepNext w:val="0"/>
        <w:keepLines w:val="0"/>
        <w:pageBreakBefore w:val="0"/>
        <w:widowControl w:val="0"/>
        <w:numPr>
          <w:ilvl w:val="2"/>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指导甲方的设备操作人员，掌握正确的操作方法，以使设备保持在最佳的运行状态。</w:t>
      </w:r>
    </w:p>
    <w:p w14:paraId="3EDCE3A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乙方将根据合同及附件规定的服务范围在设备现场进行设备的预防</w:t>
      </w:r>
      <w:r>
        <w:rPr>
          <w:rFonts w:hint="eastAsia" w:eastAsia="宋体" w:cs="Times New Roman"/>
          <w:lang w:val="en-US" w:eastAsia="zh-CN"/>
        </w:rPr>
        <w:t>维保</w:t>
      </w:r>
      <w:r>
        <w:rPr>
          <w:rFonts w:hint="eastAsia" w:ascii="Times New Roman" w:hAnsi="Times New Roman" w:eastAsia="宋体" w:cs="Times New Roman"/>
          <w:lang w:val="en-US" w:eastAsia="zh-CN"/>
        </w:rPr>
        <w:t>和故障</w:t>
      </w:r>
      <w:r>
        <w:rPr>
          <w:rFonts w:hint="eastAsia" w:eastAsia="宋体" w:cs="Times New Roman"/>
          <w:lang w:val="en-US" w:eastAsia="zh-CN"/>
        </w:rPr>
        <w:t>维保</w:t>
      </w:r>
      <w:r>
        <w:rPr>
          <w:rFonts w:hint="eastAsia" w:ascii="Times New Roman" w:hAnsi="Times New Roman" w:eastAsia="宋体" w:cs="Times New Roman"/>
          <w:lang w:val="en-US" w:eastAsia="zh-CN"/>
        </w:rPr>
        <w:t>。</w:t>
      </w:r>
    </w:p>
    <w:p w14:paraId="19679886">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乙方根据本合同及附件规定的服务范围提供设备</w:t>
      </w:r>
      <w:r>
        <w:rPr>
          <w:rFonts w:hint="eastAsia" w:eastAsia="宋体" w:cs="Times New Roman"/>
          <w:lang w:val="en-US" w:eastAsia="zh-CN"/>
        </w:rPr>
        <w:t>维保</w:t>
      </w:r>
      <w:r>
        <w:rPr>
          <w:rFonts w:hint="eastAsia" w:ascii="Times New Roman" w:hAnsi="Times New Roman" w:eastAsia="宋体" w:cs="Times New Roman"/>
          <w:lang w:val="en-US" w:eastAsia="zh-CN"/>
        </w:rPr>
        <w:t>服务时所需要的备件,不含耗材。</w:t>
      </w:r>
    </w:p>
    <w:p w14:paraId="70BD977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highlight w:val="none"/>
        </w:rPr>
      </w:pPr>
      <w:bookmarkStart w:id="43" w:name="OLE_LINK2"/>
      <w:r>
        <w:rPr>
          <w:rFonts w:hint="eastAsia" w:asciiTheme="minorEastAsia" w:hAnsiTheme="minorEastAsia" w:eastAsiaTheme="minorEastAsia" w:cstheme="minorEastAsia"/>
          <w:snapToGrid/>
          <w:color w:val="000000"/>
          <w:spacing w:val="0"/>
          <w:kern w:val="0"/>
          <w:sz w:val="24"/>
          <w:szCs w:val="24"/>
          <w:lang w:val="en-US" w:eastAsia="zh-CN" w:bidi="ar-SA"/>
        </w:rPr>
        <w:t>确保甲方通过合</w:t>
      </w:r>
      <w:r>
        <w:rPr>
          <w:rFonts w:hint="eastAsia" w:ascii="Times New Roman" w:hAnsi="Times New Roman" w:eastAsia="宋体" w:cs="Times New Roman"/>
          <w:highlight w:val="none"/>
          <w:lang w:val="en-US" w:eastAsia="zh-CN"/>
        </w:rPr>
        <w:t>同期内2次设备定检</w:t>
      </w:r>
      <w:r>
        <w:rPr>
          <w:rFonts w:hint="eastAsia" w:eastAsia="宋体" w:cs="Times New Roman"/>
          <w:highlight w:val="none"/>
          <w:lang w:val="en-US" w:eastAsia="zh-CN"/>
        </w:rPr>
        <w:t>工作。</w:t>
      </w:r>
    </w:p>
    <w:bookmarkEnd w:id="43"/>
    <w:p w14:paraId="573B8A4D">
      <w:pPr>
        <w:pStyle w:val="75"/>
        <w:keepNext w:val="0"/>
        <w:keepLines w:val="0"/>
        <w:pageBreakBefore w:val="0"/>
        <w:widowControl w:val="0"/>
        <w:numPr>
          <w:ilvl w:val="0"/>
          <w:numId w:val="1"/>
        </w:numPr>
        <w:kinsoku/>
        <w:wordWrap/>
        <w:overflowPunct/>
        <w:topLinePunct w:val="0"/>
        <w:autoSpaceDE w:val="0"/>
        <w:autoSpaceDN w:val="0"/>
        <w:bidi w:val="0"/>
        <w:rPr>
          <w:rFonts w:hint="eastAsia"/>
          <w:highlight w:val="none"/>
        </w:rPr>
      </w:pPr>
      <w:r>
        <w:rPr>
          <w:rFonts w:hint="eastAsia" w:asciiTheme="minorEastAsia" w:hAnsiTheme="minorEastAsia" w:eastAsiaTheme="minorEastAsia" w:cstheme="minorEastAsia"/>
          <w:spacing w:val="0"/>
          <w:highlight w:val="none"/>
        </w:rPr>
        <w:t xml:space="preserve"> 服务期限</w:t>
      </w:r>
    </w:p>
    <w:p w14:paraId="6B177085">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highlight w:val="none"/>
        </w:rPr>
      </w:pPr>
      <w:bookmarkStart w:id="44" w:name="OLE_LINK1"/>
      <w:r>
        <w:rPr>
          <w:rFonts w:hint="eastAsia"/>
          <w:highlight w:val="none"/>
          <w:lang w:val="en-US" w:eastAsia="zh-CN"/>
        </w:rPr>
        <w:t>本合同有效期为一年。每季度需开展一次维保，首次维保应在合同生效后第90日内完成。</w:t>
      </w:r>
    </w:p>
    <w:bookmarkEnd w:id="44"/>
    <w:p w14:paraId="09363A6F">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双方权利义务</w:t>
      </w:r>
    </w:p>
    <w:p w14:paraId="0BDA087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甲方权利</w:t>
      </w:r>
    </w:p>
    <w:p w14:paraId="6B610F49">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有权监督乙方按照合同约定履行维保义务和审定乙方维保计划，发出故障通知或建议。</w:t>
      </w:r>
    </w:p>
    <w:p w14:paraId="34F167D1">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有权检查受乙方委派为本单位提供维保服务人员的持证情况，有权拒绝无证人员进行维保活动。</w:t>
      </w:r>
    </w:p>
    <w:p w14:paraId="7423536E">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有权对乙方维保过程进行监督，乙方的维保达不到合同约定的</w:t>
      </w:r>
      <w:r>
        <w:rPr>
          <w:rFonts w:hint="eastAsia" w:asciiTheme="minorEastAsia" w:hAnsiTheme="minor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保养标准或要求的，甲方有权拒绝在维保记录上签字。</w:t>
      </w:r>
    </w:p>
    <w:p w14:paraId="67D86ECF">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甲方义务</w:t>
      </w:r>
    </w:p>
    <w:p w14:paraId="10DB7192">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在设备出现故障时，甲方应及时通知乙方，并给予乙方合理的</w:t>
      </w:r>
      <w:r>
        <w:rPr>
          <w:rFonts w:hint="eastAsia" w:asciiTheme="minorEastAsia" w:hAnsiTheme="minor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时间和提供各项配合条件。</w:t>
      </w:r>
    </w:p>
    <w:p w14:paraId="0BEAF0F3">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准许乙方工作人员在维保工作期间进出设备现场，并准许乙方工作人员使用工作现场的适用设施（必须事先征得甲方的同意）。</w:t>
      </w:r>
    </w:p>
    <w:p w14:paraId="6B9A70DC">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安排有关人员现场配合乙方的维保工作。</w:t>
      </w:r>
    </w:p>
    <w:p w14:paraId="08044AE1">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对乙方到现场进行的维保内容进行验收、核实，有问题应及时提出。</w:t>
      </w:r>
    </w:p>
    <w:p w14:paraId="102280D7">
      <w:pPr>
        <w:pStyle w:val="74"/>
        <w:numPr>
          <w:ilvl w:val="2"/>
          <w:numId w:val="13"/>
        </w:numPr>
        <w:tabs>
          <w:tab w:val="left" w:pos="420"/>
        </w:tabs>
        <w:ind w:left="0" w:leftChars="0" w:firstLine="480" w:firstLineChars="200"/>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未经乙方事先书面同意，甲方不得请第三方对设备进行</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w:t>
      </w:r>
    </w:p>
    <w:p w14:paraId="50A963FC">
      <w:pPr>
        <w:pStyle w:val="74"/>
        <w:numPr>
          <w:ilvl w:val="2"/>
          <w:numId w:val="13"/>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在乙方提供</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服务而涉及第三方利益时，甲方负责协调以保证</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服务顺利进行。</w:t>
      </w:r>
    </w:p>
    <w:p w14:paraId="096CEEB5">
      <w:pPr>
        <w:pStyle w:val="74"/>
        <w:numPr>
          <w:ilvl w:val="2"/>
          <w:numId w:val="13"/>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甲方保证乙方人员根据本合同规定进行工作时，由于甲方故意或疏忽或甲方工作人员失职而导致乙方或乙方委托的第三方（如果有）的财产受到丢失、损害以及人员受伤害，甲方应赔偿损失。</w:t>
      </w:r>
    </w:p>
    <w:p w14:paraId="57D7CD26">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乙方的权利</w:t>
      </w:r>
    </w:p>
    <w:p w14:paraId="309D4F6F">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有权要求甲方提供维保所需的工作环境及相关资料。</w:t>
      </w:r>
    </w:p>
    <w:p w14:paraId="5F1E898B">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有权拒绝更换甲方购买的假冒伪劣配件。</w:t>
      </w:r>
    </w:p>
    <w:p w14:paraId="20CDE0FC">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有权拒绝甲方提出的影响维保的要求。</w:t>
      </w:r>
    </w:p>
    <w:p w14:paraId="4CD777F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乙方的义务</w:t>
      </w:r>
    </w:p>
    <w:p w14:paraId="512DE47C">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接到紧急故障通知后，应当在【24】小时内抵达现场进行处理。</w:t>
      </w:r>
    </w:p>
    <w:p w14:paraId="6514AEA4">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现场作业时，作业人员不得少于【1】人。</w:t>
      </w:r>
    </w:p>
    <w:p w14:paraId="1B6EEA5D">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作业过程中应服从甲方现场安全管理，落实现场安全防护措施，保证作业安全，需要安全监护作业的内容应书面告知甲方。</w:t>
      </w:r>
    </w:p>
    <w:p w14:paraId="5EE9FBAB">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向甲方提出合理化建议并每月向甲方书面报告所维保设备运行情况、零部件使用情况、易损件的更换等情况。</w:t>
      </w:r>
    </w:p>
    <w:p w14:paraId="7110FD9B">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对所维保设备的安全运行负责，保障设备整机及零部件完整无损。</w:t>
      </w:r>
    </w:p>
    <w:p w14:paraId="2295774F">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需要借阅设备图纸及相关资料时，应在甲方处办理相关手续并在规定的时间内归还。</w:t>
      </w:r>
    </w:p>
    <w:p w14:paraId="38FF782B">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不得将本合同约定的维保内容分包或转包给第三方。</w:t>
      </w:r>
    </w:p>
    <w:p w14:paraId="72FAF1FB">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乙方进行维保工作时，应保证不使甲方的财产和设施受到损害，包括但不限于保持地面、墙壁、顶棚、电梯、楼梯、公共通道等的清洁、无划痕和创伤，若造成损害，则应负责自费进行清除和修复。</w:t>
      </w:r>
    </w:p>
    <w:p w14:paraId="1D1EE236">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维保期间乙方自行承担其非因甲方原因导致的任何伤亡意外事件。</w:t>
      </w:r>
    </w:p>
    <w:p w14:paraId="717BE4CE">
      <w:pPr>
        <w:pStyle w:val="74"/>
        <w:numPr>
          <w:ilvl w:val="2"/>
          <w:numId w:val="15"/>
        </w:numPr>
        <w:tabs>
          <w:tab w:val="left" w:pos="420"/>
        </w:tabs>
        <w:ind w:left="0" w:leftChars="0" w:firstLine="480" w:firstLineChars="200"/>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在符合所有前提条件情况下，乙方按照附件维保方案为甲方提供维保服务。</w:t>
      </w:r>
    </w:p>
    <w:p w14:paraId="784C2866">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乙方保证根据合同规定对设备进行经常性的预防</w:t>
      </w:r>
      <w:r>
        <w:rPr>
          <w:rFonts w:hint="eastAsia" w:cstheme="minorEastAsia"/>
          <w:snapToGrid w:val="0"/>
          <w:color w:val="000000"/>
          <w:spacing w:val="0"/>
          <w:kern w:val="2"/>
          <w:sz w:val="24"/>
          <w:szCs w:val="22"/>
          <w:lang w:val="en-US" w:eastAsia="zh-CN" w:bidi="ar-SA"/>
        </w:rPr>
        <w:t>维保</w:t>
      </w:r>
      <w:r>
        <w:rPr>
          <w:rFonts w:hint="default" w:asciiTheme="minorEastAsia" w:hAnsiTheme="minorEastAsia" w:eastAsiaTheme="minorEastAsia" w:cstheme="minorEastAsia"/>
          <w:snapToGrid w:val="0"/>
          <w:color w:val="000000"/>
          <w:spacing w:val="0"/>
          <w:kern w:val="2"/>
          <w:sz w:val="24"/>
          <w:szCs w:val="22"/>
          <w:lang w:val="en-US" w:eastAsia="zh-CN" w:bidi="ar-SA"/>
        </w:rPr>
        <w:t>。</w:t>
      </w:r>
    </w:p>
    <w:p w14:paraId="42C7D458">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乙方将定期对设备进行检查，并向甲方提供设备运行状况报告。</w:t>
      </w:r>
    </w:p>
    <w:p w14:paraId="25003E2C">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乙方委托第三方参与</w:t>
      </w:r>
      <w:r>
        <w:rPr>
          <w:rFonts w:hint="eastAsia" w:cstheme="minorEastAsia"/>
          <w:snapToGrid w:val="0"/>
          <w:color w:val="000000"/>
          <w:spacing w:val="0"/>
          <w:kern w:val="2"/>
          <w:sz w:val="24"/>
          <w:szCs w:val="22"/>
          <w:lang w:val="en-US" w:eastAsia="zh-CN" w:bidi="ar-SA"/>
        </w:rPr>
        <w:t>维保</w:t>
      </w:r>
      <w:r>
        <w:rPr>
          <w:rFonts w:hint="default" w:asciiTheme="minorEastAsia" w:hAnsiTheme="minorEastAsia" w:eastAsiaTheme="minorEastAsia" w:cstheme="minorEastAsia"/>
          <w:snapToGrid w:val="0"/>
          <w:color w:val="000000"/>
          <w:spacing w:val="0"/>
          <w:kern w:val="2"/>
          <w:sz w:val="24"/>
          <w:szCs w:val="22"/>
          <w:lang w:val="en-US" w:eastAsia="zh-CN" w:bidi="ar-SA"/>
        </w:rPr>
        <w:t>服务，因第三方的过错造成甲方利益损失的，乙方应向甲方承担赔偿责任，并向第三方追偿。</w:t>
      </w:r>
    </w:p>
    <w:p w14:paraId="34FEBF59">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乙方保证在乙方人员根据本合同规定进行工作时，由于乙方故意或疏忽或乙方工作人员失职而引起的甲方或甲方委托的第三方（如果有）的财产丢失、损害以及人员受伤害，乙方应赔偿损失。</w:t>
      </w:r>
    </w:p>
    <w:p w14:paraId="17F5D2D7">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eastAsia="zh-CN"/>
        </w:rPr>
        <w:t>服务保证</w:t>
      </w:r>
    </w:p>
    <w:p w14:paraId="4BD4B15E">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乙方保证</w:t>
      </w:r>
    </w:p>
    <w:p w14:paraId="0BE1917E">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1.乙方保证严格按照本合同及附件规定向甲方提供设备维保服务。</w:t>
      </w:r>
    </w:p>
    <w:p w14:paraId="176BDF76">
      <w:pPr>
        <w:snapToGrid w:val="0"/>
        <w:spacing w:line="360" w:lineRule="auto"/>
        <w:ind w:firstLine="480" w:firstLineChars="200"/>
        <w:jc w:val="both"/>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2.乙方保证每次维保服务均可使安检设备达到正常工作状态，</w:t>
      </w:r>
      <w:r>
        <w:rPr>
          <w:rFonts w:hint="eastAsia" w:asciiTheme="minorEastAsia" w:hAnsiTheme="minorEastAsia" w:eastAsiaTheme="minorEastAsia" w:cstheme="minorEastAsia"/>
          <w:snapToGrid/>
          <w:color w:val="000000"/>
          <w:spacing w:val="0"/>
          <w:kern w:val="0"/>
          <w:sz w:val="24"/>
          <w:szCs w:val="24"/>
          <w:lang w:val="en-US" w:eastAsia="zh-CN" w:bidi="ar-SA"/>
        </w:rPr>
        <w:t>并确保甲方通过一年两次设备定检工作。</w:t>
      </w:r>
    </w:p>
    <w:p w14:paraId="152B851B">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3.乙方保证所提供所有备件为合同中所规定之原厂产品，质量符合产品说明书中之规定的标准。如果产品质量与合同规定的标准不符,乙方应负责更换；如更换后仍不能达到合同规定标准,甲方有权退货。</w:t>
      </w:r>
    </w:p>
    <w:p w14:paraId="6024ED32">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4.乙方保证设备的辐射安全符合国家标准、国家有关法律法规和世界卫生组织及国际原子能机构的有关规定。</w:t>
      </w:r>
    </w:p>
    <w:p w14:paraId="228E5029">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5.乙方保证向甲方提供的技术资料和文件是清晰、正确和完整的。</w:t>
      </w:r>
    </w:p>
    <w:p w14:paraId="7519286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下列原因之一造成的设备故障，不属于乙方</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eastAsia="zh-CN"/>
        </w:rPr>
        <w:t>服务范围：</w:t>
      </w:r>
    </w:p>
    <w:p w14:paraId="0D284F2F">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1.甲方没有按照乙方提供的《技术说明书》、《操作手册》、《维保手册》等进行操作或维保；</w:t>
      </w:r>
    </w:p>
    <w:p w14:paraId="081B129C">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2.未经乙方事先同意或许可，甲方或第三方对设备更改或修理；</w:t>
      </w:r>
    </w:p>
    <w:p w14:paraId="1CF01DC8">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3.因甲方或第三方原因造成设备的运行环境不符合设计规定的指标；</w:t>
      </w:r>
    </w:p>
    <w:p w14:paraId="158F9D10">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4.由于甲方管理或使用不当。</w:t>
      </w:r>
    </w:p>
    <w:p w14:paraId="26D174CD">
      <w:pPr>
        <w:snapToGrid w:val="0"/>
        <w:spacing w:line="360" w:lineRule="auto"/>
        <w:ind w:firstLine="480" w:firstLineChars="200"/>
        <w:jc w:val="both"/>
        <w:rPr>
          <w:rFonts w:ascii="宋体" w:hAnsi="宋体" w:cs="宋体"/>
          <w:color w:val="000000"/>
          <w:szCs w:val="22"/>
        </w:rPr>
      </w:pPr>
      <w:r>
        <w:rPr>
          <w:rFonts w:hint="eastAsia" w:asciiTheme="minorEastAsia" w:hAnsiTheme="minorEastAsia" w:eastAsiaTheme="minorEastAsia" w:cstheme="minorEastAsia"/>
          <w:snapToGrid w:val="0"/>
          <w:color w:val="000000"/>
          <w:spacing w:val="0"/>
          <w:kern w:val="2"/>
          <w:sz w:val="24"/>
          <w:szCs w:val="22"/>
          <w:lang w:val="en-US" w:eastAsia="zh-CN" w:bidi="ar-SA"/>
        </w:rPr>
        <w:t>5.如发生4中所述情况，乙方有责任尽力为甲方排除故障或更换有关部件，但由此引起的费用应由甲方承担。</w:t>
      </w:r>
    </w:p>
    <w:p w14:paraId="58639882">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45" w:name="_Hlk136164348"/>
      <w:r>
        <w:rPr>
          <w:rFonts w:hint="eastAsia" w:asciiTheme="minorEastAsia" w:hAnsiTheme="minorEastAsia" w:eastAsiaTheme="minorEastAsia" w:cstheme="minorEastAsia"/>
          <w:spacing w:val="0"/>
          <w:lang w:val="en-US" w:eastAsia="zh-CN"/>
        </w:rPr>
        <w:t>合同结算</w:t>
      </w:r>
    </w:p>
    <w:bookmarkEnd w:id="45"/>
    <w:p w14:paraId="02C875DC">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本合同甲、乙</w:t>
      </w:r>
      <w:r>
        <w:rPr>
          <w:rFonts w:hint="eastAsia" w:asciiTheme="minorEastAsia" w:hAnsiTheme="minorEastAsia" w:eastAsiaTheme="minorEastAsia" w:cstheme="minorEastAsia"/>
          <w:spacing w:val="0"/>
          <w:lang w:val="en-US" w:eastAsia="zh-CN"/>
        </w:rPr>
        <w:t>双</w:t>
      </w:r>
      <w:r>
        <w:rPr>
          <w:rFonts w:hint="eastAsia" w:asciiTheme="minorEastAsia" w:hAnsiTheme="minorEastAsia" w:eastAsiaTheme="minorEastAsia" w:cstheme="minorEastAsia"/>
          <w:spacing w:val="0"/>
        </w:rPr>
        <w:t>方之间发生的一切费用均以人民币结算支付。</w:t>
      </w:r>
      <w:r>
        <w:rPr>
          <w:rFonts w:hint="eastAsia" w:asciiTheme="minorEastAsia" w:hAnsiTheme="minorEastAsia" w:eastAsiaTheme="minorEastAsia" w:cstheme="minorEastAsia"/>
          <w:spacing w:val="0"/>
          <w:lang w:val="en-US" w:eastAsia="zh-CN"/>
        </w:rPr>
        <w:t>甲方应在收到符合法律规定的增值税专用发票后将款项</w:t>
      </w:r>
      <w:r>
        <w:rPr>
          <w:rFonts w:hint="eastAsia" w:asciiTheme="minorEastAsia" w:hAnsiTheme="minorEastAsia" w:eastAsiaTheme="minorEastAsia" w:cstheme="minorEastAsia"/>
          <w:spacing w:val="0"/>
        </w:rPr>
        <w:t>付</w:t>
      </w:r>
      <w:r>
        <w:rPr>
          <w:rFonts w:hint="eastAsia" w:asciiTheme="minorEastAsia" w:hAnsiTheme="minorEastAsia" w:eastAsiaTheme="minorEastAsia" w:cstheme="minorEastAsia"/>
          <w:spacing w:val="0"/>
          <w:lang w:val="en-US" w:eastAsia="zh-CN"/>
        </w:rPr>
        <w:t>至乙方</w:t>
      </w:r>
      <w:r>
        <w:rPr>
          <w:rFonts w:hint="eastAsia" w:asciiTheme="minorEastAsia" w:hAnsiTheme="minorEastAsia" w:eastAsiaTheme="minorEastAsia" w:cstheme="minorEastAsia"/>
          <w:spacing w:val="0"/>
        </w:rPr>
        <w:t>于合同指定的开户银行和账户。</w:t>
      </w:r>
    </w:p>
    <w:p w14:paraId="3A865D6E">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rPr>
      </w:pPr>
      <w:r>
        <w:rPr>
          <w:rFonts w:hint="eastAsia"/>
        </w:rPr>
        <w:t>本合同设备</w:t>
      </w:r>
      <w:r>
        <w:rPr>
          <w:rFonts w:hint="eastAsia"/>
          <w:lang w:eastAsia="zh-CN"/>
        </w:rPr>
        <w:t>维保</w:t>
      </w:r>
      <w:r>
        <w:rPr>
          <w:rFonts w:hint="eastAsia"/>
        </w:rPr>
        <w:t>服务价格如下：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190"/>
        <w:gridCol w:w="1350"/>
        <w:gridCol w:w="1312"/>
        <w:gridCol w:w="941"/>
        <w:gridCol w:w="1483"/>
        <w:gridCol w:w="1305"/>
      </w:tblGrid>
      <w:tr w14:paraId="103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41" w:type="dxa"/>
            <w:noWrap w:val="0"/>
            <w:vAlign w:val="center"/>
          </w:tcPr>
          <w:p w14:paraId="2BBBCF8F">
            <w:pPr>
              <w:snapToGrid w:val="0"/>
              <w:spacing w:line="360" w:lineRule="auto"/>
              <w:ind w:left="0" w:leftChars="0" w:firstLine="0" w:firstLineChars="0"/>
              <w:jc w:val="center"/>
              <w:rPr>
                <w:rFonts w:hint="eastAsia" w:ascii="宋体" w:hAnsi="宋体" w:cs="宋体"/>
                <w:b/>
                <w:color w:val="000000"/>
                <w:szCs w:val="22"/>
              </w:rPr>
            </w:pPr>
            <w:r>
              <w:rPr>
                <w:rFonts w:ascii="宋体" w:hAnsi="宋体" w:cs="宋体"/>
                <w:b/>
                <w:color w:val="000000"/>
                <w:spacing w:val="2"/>
                <w:szCs w:val="22"/>
              </w:rPr>
              <w:t>序号</w:t>
            </w:r>
          </w:p>
        </w:tc>
        <w:tc>
          <w:tcPr>
            <w:tcW w:w="1190" w:type="dxa"/>
            <w:noWrap w:val="0"/>
            <w:vAlign w:val="center"/>
          </w:tcPr>
          <w:p w14:paraId="678B6A55">
            <w:pPr>
              <w:snapToGrid w:val="0"/>
              <w:spacing w:line="360" w:lineRule="auto"/>
              <w:ind w:left="0" w:leftChars="0" w:firstLine="0" w:firstLineChars="0"/>
              <w:jc w:val="center"/>
              <w:rPr>
                <w:rFonts w:hint="eastAsia" w:ascii="宋体" w:hAnsi="宋体" w:cs="宋体"/>
                <w:b/>
                <w:color w:val="000000"/>
                <w:szCs w:val="22"/>
              </w:rPr>
            </w:pPr>
            <w:r>
              <w:rPr>
                <w:rFonts w:ascii="宋体" w:hAnsi="宋体" w:cs="宋体"/>
                <w:b/>
                <w:color w:val="000000"/>
                <w:spacing w:val="1"/>
                <w:szCs w:val="22"/>
              </w:rPr>
              <w:t>设备型号</w:t>
            </w:r>
          </w:p>
        </w:tc>
        <w:tc>
          <w:tcPr>
            <w:tcW w:w="1350" w:type="dxa"/>
            <w:noWrap w:val="0"/>
            <w:vAlign w:val="center"/>
          </w:tcPr>
          <w:p w14:paraId="66482D49">
            <w:pPr>
              <w:snapToGrid w:val="0"/>
              <w:spacing w:line="360" w:lineRule="auto"/>
              <w:ind w:left="0" w:leftChars="0" w:firstLine="0" w:firstLineChars="0"/>
              <w:jc w:val="center"/>
              <w:rPr>
                <w:rFonts w:hint="eastAsia" w:ascii="宋体" w:hAnsi="宋体" w:cs="宋体"/>
                <w:b/>
                <w:color w:val="000000"/>
                <w:szCs w:val="22"/>
              </w:rPr>
            </w:pPr>
            <w:r>
              <w:rPr>
                <w:rFonts w:hint="eastAsia" w:ascii="宋体" w:hAnsi="宋体" w:cs="宋体"/>
                <w:b/>
                <w:color w:val="000000"/>
                <w:spacing w:val="2"/>
                <w:szCs w:val="22"/>
              </w:rPr>
              <w:t>名称</w:t>
            </w:r>
          </w:p>
        </w:tc>
        <w:tc>
          <w:tcPr>
            <w:tcW w:w="1312" w:type="dxa"/>
            <w:noWrap w:val="0"/>
            <w:vAlign w:val="center"/>
          </w:tcPr>
          <w:p w14:paraId="798FCB80">
            <w:pPr>
              <w:snapToGrid w:val="0"/>
              <w:spacing w:line="360" w:lineRule="auto"/>
              <w:ind w:left="0" w:leftChars="0" w:firstLine="0" w:firstLineChars="0"/>
              <w:jc w:val="center"/>
              <w:rPr>
                <w:rFonts w:hint="eastAsia" w:ascii="宋体" w:hAnsi="宋体" w:cs="宋体"/>
                <w:b/>
                <w:color w:val="000000"/>
                <w:szCs w:val="22"/>
              </w:rPr>
            </w:pPr>
            <w:r>
              <w:rPr>
                <w:rFonts w:hint="eastAsia" w:ascii="宋体" w:hAnsi="宋体" w:cs="宋体"/>
                <w:b/>
                <w:color w:val="000000"/>
                <w:szCs w:val="22"/>
              </w:rPr>
              <w:t>数量</w:t>
            </w:r>
          </w:p>
        </w:tc>
        <w:tc>
          <w:tcPr>
            <w:tcW w:w="941" w:type="dxa"/>
            <w:noWrap w:val="0"/>
            <w:vAlign w:val="center"/>
          </w:tcPr>
          <w:p w14:paraId="52B9C93D">
            <w:pPr>
              <w:snapToGrid w:val="0"/>
              <w:spacing w:line="360" w:lineRule="auto"/>
              <w:ind w:left="0" w:leftChars="0" w:firstLine="0" w:firstLineChars="0"/>
              <w:jc w:val="center"/>
              <w:rPr>
                <w:rFonts w:ascii="宋体" w:hAnsi="宋体" w:cs="宋体"/>
                <w:b/>
                <w:color w:val="000000"/>
                <w:spacing w:val="2"/>
                <w:szCs w:val="22"/>
              </w:rPr>
            </w:pPr>
            <w:r>
              <w:rPr>
                <w:rFonts w:hint="eastAsia" w:ascii="宋体" w:hAnsi="宋体" w:cs="宋体"/>
                <w:b/>
                <w:color w:val="000000"/>
                <w:spacing w:val="2"/>
                <w:szCs w:val="22"/>
              </w:rPr>
              <w:t>单位</w:t>
            </w:r>
          </w:p>
        </w:tc>
        <w:tc>
          <w:tcPr>
            <w:tcW w:w="1483" w:type="dxa"/>
            <w:noWrap w:val="0"/>
            <w:vAlign w:val="center"/>
          </w:tcPr>
          <w:p w14:paraId="134E143E">
            <w:pPr>
              <w:snapToGrid w:val="0"/>
              <w:ind w:left="0" w:leftChars="0" w:firstLine="0" w:firstLineChars="0"/>
              <w:jc w:val="center"/>
              <w:rPr>
                <w:rFonts w:ascii="宋体" w:hAnsi="宋体"/>
                <w:b/>
                <w:color w:val="000000"/>
                <w:szCs w:val="22"/>
              </w:rPr>
            </w:pPr>
            <w:r>
              <w:rPr>
                <w:rFonts w:hint="eastAsia" w:ascii="宋体" w:hAnsi="宋体"/>
                <w:b/>
                <w:color w:val="000000"/>
                <w:szCs w:val="22"/>
              </w:rPr>
              <w:t>服务单价</w:t>
            </w:r>
          </w:p>
          <w:p w14:paraId="5A18E8D0">
            <w:pPr>
              <w:snapToGrid w:val="0"/>
              <w:ind w:left="0" w:leftChars="0" w:firstLine="0" w:firstLineChars="0"/>
              <w:jc w:val="center"/>
              <w:rPr>
                <w:rFonts w:hint="eastAsia" w:ascii="宋体" w:hAnsi="宋体"/>
                <w:b/>
                <w:color w:val="000000"/>
                <w:sz w:val="21"/>
                <w:szCs w:val="21"/>
              </w:rPr>
            </w:pPr>
            <w:r>
              <w:rPr>
                <w:rFonts w:hint="eastAsia" w:ascii="宋体" w:hAnsi="宋体"/>
                <w:b/>
                <w:color w:val="000000"/>
                <w:sz w:val="21"/>
                <w:szCs w:val="21"/>
              </w:rPr>
              <w:t>（万元/台/年）</w:t>
            </w:r>
          </w:p>
        </w:tc>
        <w:tc>
          <w:tcPr>
            <w:tcW w:w="1305" w:type="dxa"/>
            <w:noWrap w:val="0"/>
            <w:vAlign w:val="top"/>
          </w:tcPr>
          <w:p w14:paraId="502D0ED0">
            <w:pPr>
              <w:snapToGrid w:val="0"/>
              <w:ind w:left="0" w:leftChars="0" w:firstLine="0" w:firstLineChars="0"/>
              <w:jc w:val="center"/>
              <w:rPr>
                <w:rFonts w:ascii="宋体" w:hAnsi="宋体"/>
                <w:b/>
                <w:color w:val="000000"/>
                <w:szCs w:val="22"/>
              </w:rPr>
            </w:pPr>
            <w:r>
              <w:rPr>
                <w:rFonts w:hint="eastAsia" w:ascii="宋体" w:hAnsi="宋体"/>
                <w:b/>
                <w:color w:val="000000"/>
                <w:szCs w:val="22"/>
              </w:rPr>
              <w:t>费用合计</w:t>
            </w:r>
          </w:p>
          <w:p w14:paraId="74CD997B">
            <w:pPr>
              <w:snapToGrid w:val="0"/>
              <w:ind w:left="0" w:leftChars="0" w:firstLine="0" w:firstLineChars="0"/>
              <w:jc w:val="center"/>
              <w:rPr>
                <w:rFonts w:hint="eastAsia" w:ascii="宋体" w:hAnsi="宋体"/>
                <w:b/>
                <w:color w:val="000000"/>
                <w:szCs w:val="22"/>
              </w:rPr>
            </w:pPr>
            <w:r>
              <w:rPr>
                <w:rFonts w:hint="eastAsia" w:ascii="宋体" w:hAnsi="宋体"/>
                <w:b/>
                <w:color w:val="000000"/>
                <w:sz w:val="21"/>
                <w:szCs w:val="21"/>
              </w:rPr>
              <w:t>（万元/年）</w:t>
            </w:r>
          </w:p>
        </w:tc>
      </w:tr>
      <w:tr w14:paraId="62D6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1" w:type="dxa"/>
            <w:noWrap w:val="0"/>
            <w:vAlign w:val="center"/>
          </w:tcPr>
          <w:p w14:paraId="2D412485">
            <w:pPr>
              <w:snapToGrid w:val="0"/>
              <w:spacing w:line="360" w:lineRule="auto"/>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1</w:t>
            </w:r>
          </w:p>
        </w:tc>
        <w:tc>
          <w:tcPr>
            <w:tcW w:w="1190" w:type="dxa"/>
            <w:noWrap w:val="0"/>
            <w:vAlign w:val="center"/>
          </w:tcPr>
          <w:p w14:paraId="7B1A5E22">
            <w:pPr>
              <w:snapToGrid w:val="0"/>
              <w:spacing w:line="360" w:lineRule="auto"/>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TR2000DC</w:t>
            </w:r>
          </w:p>
        </w:tc>
        <w:tc>
          <w:tcPr>
            <w:tcW w:w="1350" w:type="dxa"/>
            <w:noWrap w:val="0"/>
            <w:vAlign w:val="center"/>
          </w:tcPr>
          <w:p w14:paraId="6EEBD4B2">
            <w:pPr>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台式痕量爆炸物</w:t>
            </w:r>
            <w:r>
              <w:rPr>
                <w:rFonts w:hint="eastAsia" w:asciiTheme="minorEastAsia" w:hAnsiTheme="minorEastAsia" w:eastAsiaTheme="minorEastAsia" w:cstheme="minorEastAsia"/>
                <w:snapToGrid w:val="0"/>
                <w:color w:val="000000"/>
                <w:spacing w:val="0"/>
                <w:kern w:val="2"/>
                <w:sz w:val="24"/>
                <w:szCs w:val="22"/>
                <w:lang w:val="en-US" w:eastAsia="zh-CN" w:bidi="ar-SA"/>
              </w:rPr>
              <w:t>检测设备</w:t>
            </w:r>
          </w:p>
        </w:tc>
        <w:tc>
          <w:tcPr>
            <w:tcW w:w="1312" w:type="dxa"/>
            <w:noWrap w:val="0"/>
            <w:vAlign w:val="center"/>
          </w:tcPr>
          <w:p w14:paraId="0D77404C">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w:t>
            </w:r>
          </w:p>
        </w:tc>
        <w:tc>
          <w:tcPr>
            <w:tcW w:w="941" w:type="dxa"/>
            <w:noWrap w:val="0"/>
            <w:vAlign w:val="center"/>
          </w:tcPr>
          <w:p w14:paraId="7668FEE9">
            <w:pPr>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台</w:t>
            </w:r>
          </w:p>
        </w:tc>
        <w:tc>
          <w:tcPr>
            <w:tcW w:w="1483" w:type="dxa"/>
            <w:noWrap w:val="0"/>
            <w:vAlign w:val="center"/>
          </w:tcPr>
          <w:p w14:paraId="0C4C3E58">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p>
        </w:tc>
        <w:tc>
          <w:tcPr>
            <w:tcW w:w="1305" w:type="dxa"/>
            <w:noWrap w:val="0"/>
            <w:vAlign w:val="center"/>
          </w:tcPr>
          <w:p w14:paraId="362A0E92">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p>
        </w:tc>
      </w:tr>
    </w:tbl>
    <w:p w14:paraId="2FBA101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经双方协商一致，同意选择以下结算方式：</w:t>
      </w:r>
    </w:p>
    <w:p w14:paraId="5850C992">
      <w:pPr>
        <w:pStyle w:val="77"/>
        <w:keepNext w:val="0"/>
        <w:keepLines w:val="0"/>
        <w:pageBreakBefore w:val="0"/>
        <w:widowControl w:val="0"/>
        <w:numPr>
          <w:ilvl w:val="2"/>
          <w:numId w:val="16"/>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乙方在完成全部维保工作并经甲方验收合格，且向甲方开具合法有效的增值税专用发票后，甲方应于收到发票之日起【三十】个工作日内，向乙方一次性支付全部服务费。</w:t>
      </w:r>
    </w:p>
    <w:p w14:paraId="3ED5A71E">
      <w:pPr>
        <w:pStyle w:val="75"/>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不可抗力、保密</w:t>
      </w:r>
    </w:p>
    <w:p w14:paraId="1CCD6568">
      <w:pPr>
        <w:pStyle w:val="76"/>
        <w:keepNext w:val="0"/>
        <w:keepLines w:val="0"/>
        <w:pageBreakBefore w:val="0"/>
        <w:widowControl w:val="0"/>
        <w:kinsoku/>
        <w:wordWrap/>
        <w:overflowPunct/>
        <w:topLinePunct w:val="0"/>
        <w:autoSpaceDE w:val="0"/>
        <w:autoSpaceDN w:val="0"/>
        <w:bidi w:val="0"/>
        <w:ind w:left="-60" w:leftChars="0" w:firstLine="480" w:firstLineChars="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不可抗力条款</w:t>
      </w:r>
    </w:p>
    <w:p w14:paraId="7EA50A80">
      <w:pPr>
        <w:pStyle w:val="77"/>
        <w:keepNext w:val="0"/>
        <w:keepLines w:val="0"/>
        <w:pageBreakBefore w:val="0"/>
        <w:widowControl w:val="0"/>
        <w:numPr>
          <w:ilvl w:val="2"/>
          <w:numId w:val="17"/>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40C80EC0">
      <w:pPr>
        <w:pStyle w:val="77"/>
        <w:keepNext w:val="0"/>
        <w:keepLines w:val="0"/>
        <w:pageBreakBefore w:val="0"/>
        <w:widowControl w:val="0"/>
        <w:numPr>
          <w:ilvl w:val="2"/>
          <w:numId w:val="17"/>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不可抗力的后果</w:t>
      </w:r>
    </w:p>
    <w:p w14:paraId="7670C0A6">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如果发生不可抗力事件，影响一方履行其在本合同项下的义务，则其在不可抗力造成的延误期内中止履行的，不视为违约。</w:t>
      </w:r>
    </w:p>
    <w:p w14:paraId="703A1305">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因发生不可抗力不能履行合同的一方应在不可抗力发生后迅速书面通知其他各方，并在不可抗力发生后【7】个日历日内向其他各方提供不可抗力发生及持续时间的证据，且证据必须充分。</w:t>
      </w:r>
    </w:p>
    <w:p w14:paraId="3499949C">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如果发生不可抗力事件，各方应立即互相协商，以找到公平的解决办法，并且应尽一切合理努力将不可抗力的影响减少到最低限度。</w:t>
      </w:r>
    </w:p>
    <w:p w14:paraId="065515D7">
      <w:pPr>
        <w:pStyle w:val="78"/>
        <w:keepNext w:val="0"/>
        <w:keepLines w:val="0"/>
        <w:pageBreakBefore w:val="0"/>
        <w:widowControl w:val="0"/>
        <w:numPr>
          <w:ilvl w:val="3"/>
          <w:numId w:val="18"/>
        </w:numPr>
        <w:tabs>
          <w:tab w:val="left" w:pos="72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金钱债务的迟延责任不得因不可抗力而免除。</w:t>
      </w:r>
    </w:p>
    <w:p w14:paraId="62A5D31A">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迟延履行期间发生的不可抗力不具有免责效力。</w:t>
      </w:r>
    </w:p>
    <w:p w14:paraId="13746E03">
      <w:pPr>
        <w:pStyle w:val="76"/>
        <w:keepNext w:val="0"/>
        <w:keepLines w:val="0"/>
        <w:pageBreakBefore w:val="0"/>
        <w:widowControl w:val="0"/>
        <w:kinsoku/>
        <w:wordWrap/>
        <w:overflowPunct/>
        <w:topLinePunct w:val="0"/>
        <w:autoSpaceDE w:val="0"/>
        <w:autoSpaceDN w:val="0"/>
        <w:bidi w:val="0"/>
        <w:ind w:left="-60" w:leftChars="0" w:firstLine="480" w:firstLineChars="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保密条款</w:t>
      </w:r>
    </w:p>
    <w:p w14:paraId="261948D7">
      <w:pPr>
        <w:pStyle w:val="77"/>
        <w:keepNext w:val="0"/>
        <w:keepLines w:val="0"/>
        <w:pageBreakBefore w:val="0"/>
        <w:widowControl w:val="0"/>
        <w:numPr>
          <w:ilvl w:val="2"/>
          <w:numId w:val="1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本合同涉及的保密内容（以下简称“保密信息”）包括但不限于：（1）甲方及其关联公司的商业秘密、技术秘密、经营秘密、管理秘密、财务秘密、客户信息、供应商信息等；（2）甲方拥有的专利、商标、著作权、技术秘密等知识产权及其相关信息；（3）甲方正在研发、生产、销售的产品、技术、工艺、配方、图纸等；（4）甲方与第三方签订的合同、协议、保密协议等文件中的内容。</w:t>
      </w:r>
    </w:p>
    <w:p w14:paraId="586AB5C9">
      <w:pPr>
        <w:pStyle w:val="77"/>
        <w:keepNext w:val="0"/>
        <w:keepLines w:val="0"/>
        <w:pageBreakBefore w:val="0"/>
        <w:widowControl w:val="0"/>
        <w:numPr>
          <w:ilvl w:val="2"/>
          <w:numId w:val="1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保密义务</w:t>
      </w:r>
    </w:p>
    <w:p w14:paraId="40849045">
      <w:pPr>
        <w:pStyle w:val="78"/>
        <w:keepNext w:val="0"/>
        <w:keepLines w:val="0"/>
        <w:pageBreakBefore w:val="0"/>
        <w:widowControl w:val="0"/>
        <w:numPr>
          <w:ilvl w:val="3"/>
          <w:numId w:val="2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乙方在本合同有效期内，对保密信息负有严格的保密义务，未经甲方书面同意，不得以任何方式泄露、披露、使用或允许他人使用保密信息。</w:t>
      </w:r>
    </w:p>
    <w:p w14:paraId="5DC7F9C4">
      <w:pPr>
        <w:pStyle w:val="78"/>
        <w:keepNext w:val="0"/>
        <w:keepLines w:val="0"/>
        <w:pageBreakBefore w:val="0"/>
        <w:widowControl w:val="0"/>
        <w:numPr>
          <w:ilvl w:val="3"/>
          <w:numId w:val="20"/>
        </w:numPr>
        <w:kinsoku/>
        <w:wordWrap/>
        <w:overflowPunct/>
        <w:topLinePunct w:val="0"/>
        <w:autoSpaceDE w:val="0"/>
        <w:autoSpaceDN w:val="0"/>
        <w:bidi w:val="0"/>
        <w:ind w:firstLine="480" w:firstLineChars="200"/>
        <w:jc w:val="both"/>
        <w:rPr>
          <w:rFonts w:hint="eastAsia"/>
          <w:highlight w:val="none"/>
        </w:rPr>
      </w:pPr>
      <w:r>
        <w:rPr>
          <w:rFonts w:hint="eastAsia" w:asciiTheme="minorEastAsia" w:hAnsiTheme="minorEastAsia" w:eastAsiaTheme="minorEastAsia" w:cstheme="minorEastAsia"/>
          <w:spacing w:val="0"/>
          <w:highlight w:val="none"/>
          <w:lang w:val="en-US" w:eastAsia="zh-CN"/>
        </w:rPr>
        <w:t>违反本条约定的，除承担违约责任外，还应承担由此给对方造成的损失。</w:t>
      </w:r>
    </w:p>
    <w:p w14:paraId="3C03826C">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违约责任</w:t>
      </w:r>
    </w:p>
    <w:p w14:paraId="6E5999FF">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p>
    <w:p w14:paraId="7982347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20</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p>
    <w:p w14:paraId="1D9E244A">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合同的变更和解除</w:t>
      </w:r>
    </w:p>
    <w:p w14:paraId="75E5071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p>
    <w:p w14:paraId="77A34568">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如本合同任何一方违反约定，另一方可向违约方发出书面纠正通知</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违约方应于收到书面纠正通知之日起</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p>
    <w:p w14:paraId="65E19226">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任何一方破产、解散，本合同自动终止。</w:t>
      </w:r>
    </w:p>
    <w:p w14:paraId="70CCDDC0">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其他</w:t>
      </w:r>
    </w:p>
    <w:p w14:paraId="68B1D61A">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除双方另有约定外，甲乙双方之间任何与本合同相关的正式信函以及</w:t>
      </w:r>
      <w:r>
        <w:rPr>
          <w:rFonts w:hint="eastAsia" w:asciiTheme="minorEastAsia" w:hAnsiTheme="minorEastAsia" w:eastAsiaTheme="minorEastAsia" w:cstheme="minorEastAsia"/>
          <w:spacing w:val="0"/>
          <w:kern w:val="0"/>
          <w:lang w:val="en-US" w:eastAsia="zh-CN"/>
        </w:rPr>
        <w:t>款项</w:t>
      </w:r>
      <w:r>
        <w:rPr>
          <w:rFonts w:hint="eastAsia" w:asciiTheme="minorEastAsia" w:hAnsiTheme="minorEastAsia" w:eastAsiaTheme="minorEastAsia" w:cstheme="minorEastAsia"/>
          <w:spacing w:val="0"/>
          <w:kern w:val="0"/>
        </w:rPr>
        <w:t>结算，均应使用本合同中甲、乙双方指定的地址和银行</w:t>
      </w:r>
      <w:r>
        <w:rPr>
          <w:rFonts w:hint="eastAsia" w:asciiTheme="minorEastAsia" w:hAnsiTheme="minorEastAsia" w:eastAsiaTheme="minorEastAsia" w:cstheme="minorEastAsia"/>
          <w:spacing w:val="0"/>
          <w:kern w:val="0"/>
          <w:lang w:eastAsia="zh-CN"/>
        </w:rPr>
        <w:t>账号</w:t>
      </w:r>
      <w:r>
        <w:rPr>
          <w:rFonts w:hint="eastAsia" w:asciiTheme="minorEastAsia" w:hAnsiTheme="minorEastAsia" w:eastAsiaTheme="minorEastAsia" w:cstheme="minorEastAsia"/>
          <w:spacing w:val="0"/>
          <w:kern w:val="0"/>
        </w:rPr>
        <w:t>。</w:t>
      </w:r>
    </w:p>
    <w:tbl>
      <w:tblPr>
        <w:tblStyle w:val="25"/>
        <w:tblW w:w="5005" w:type="pct"/>
        <w:tblInd w:w="0" w:type="dxa"/>
        <w:tblLayout w:type="autofit"/>
        <w:tblCellMar>
          <w:top w:w="0" w:type="dxa"/>
          <w:left w:w="108" w:type="dxa"/>
          <w:bottom w:w="0" w:type="dxa"/>
          <w:right w:w="108" w:type="dxa"/>
        </w:tblCellMar>
      </w:tblPr>
      <w:tblGrid>
        <w:gridCol w:w="1689"/>
        <w:gridCol w:w="2811"/>
        <w:gridCol w:w="1643"/>
        <w:gridCol w:w="2388"/>
      </w:tblGrid>
      <w:tr w14:paraId="2CBE4F11">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34224D5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55AFABB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乙方</w:t>
            </w:r>
          </w:p>
        </w:tc>
      </w:tr>
      <w:tr w14:paraId="6E9D9498">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5D4643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名称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CA4A186">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37F681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2BA62C9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5EEFEBBB">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6DDC7076">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787E130E">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恩施许家评国际机场</w:t>
            </w:r>
          </w:p>
        </w:tc>
        <w:tc>
          <w:tcPr>
            <w:tcW w:w="1704" w:type="dxa"/>
            <w:tcBorders>
              <w:top w:val="single" w:color="auto" w:sz="6" w:space="0"/>
              <w:left w:val="single" w:color="auto" w:sz="6" w:space="0"/>
              <w:bottom w:val="single" w:color="auto" w:sz="6" w:space="0"/>
              <w:right w:val="single" w:color="auto" w:sz="6" w:space="0"/>
            </w:tcBorders>
            <w:vAlign w:val="center"/>
          </w:tcPr>
          <w:p w14:paraId="0F9FD1D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72CBA3B0">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563C8F92">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5529921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52"/>
            </w:r>
            <w:r>
              <w:rPr>
                <w:rFonts w:hint="eastAsia" w:asciiTheme="minorEastAsia" w:hAnsiTheme="minorEastAsia" w:eastAsiaTheme="minorEastAsia" w:cstheme="minorEastAsia"/>
                <w:color w:val="000000"/>
                <w:spacing w:val="0"/>
                <w:kern w:val="2"/>
                <w:sz w:val="24"/>
                <w:szCs w:val="22"/>
                <w:highlight w:val="none"/>
                <w:lang w:val="en-US" w:eastAsia="zh-CN" w:bidi="ar-SA"/>
              </w:rPr>
              <w:t>联系人</w:t>
            </w:r>
          </w:p>
          <w:p w14:paraId="0B17F3F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52"/>
            </w:r>
            <w:r>
              <w:rPr>
                <w:rFonts w:hint="eastAsia" w:asciiTheme="minorEastAsia" w:hAnsiTheme="minorEastAsia" w:eastAsiaTheme="minorEastAsia" w:cstheme="minorEastAsia"/>
                <w:color w:val="000000"/>
                <w:spacing w:val="0"/>
                <w:kern w:val="2"/>
                <w:sz w:val="24"/>
                <w:szCs w:val="22"/>
                <w:highlight w:val="none"/>
                <w:lang w:val="en-US" w:eastAsia="zh-CN" w:bidi="ar-SA"/>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19600B92">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朱钧</w:t>
            </w:r>
          </w:p>
        </w:tc>
        <w:tc>
          <w:tcPr>
            <w:tcW w:w="1704" w:type="dxa"/>
            <w:tcBorders>
              <w:top w:val="single" w:color="auto" w:sz="6" w:space="0"/>
              <w:left w:val="single" w:color="auto" w:sz="6" w:space="0"/>
              <w:bottom w:val="single" w:color="auto" w:sz="6" w:space="0"/>
              <w:right w:val="single" w:color="auto" w:sz="6" w:space="0"/>
            </w:tcBorders>
            <w:vAlign w:val="center"/>
          </w:tcPr>
          <w:p w14:paraId="5CD6706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A3"/>
            </w:r>
            <w:r>
              <w:rPr>
                <w:rFonts w:hint="eastAsia" w:asciiTheme="minorEastAsia" w:hAnsiTheme="minorEastAsia" w:eastAsiaTheme="minorEastAsia" w:cstheme="minorEastAsia"/>
                <w:color w:val="000000"/>
                <w:spacing w:val="0"/>
                <w:kern w:val="2"/>
                <w:sz w:val="24"/>
                <w:szCs w:val="22"/>
                <w:highlight w:val="none"/>
                <w:lang w:val="en-US" w:eastAsia="zh-CN" w:bidi="ar-SA"/>
              </w:rPr>
              <w:t>联系人</w:t>
            </w:r>
          </w:p>
          <w:p w14:paraId="47012D8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A3"/>
            </w:r>
            <w:r>
              <w:rPr>
                <w:rFonts w:hint="eastAsia" w:asciiTheme="minorEastAsia" w:hAnsiTheme="minorEastAsia" w:eastAsiaTheme="minorEastAsia" w:cstheme="minorEastAsia"/>
                <w:color w:val="000000"/>
                <w:spacing w:val="0"/>
                <w:kern w:val="2"/>
                <w:sz w:val="24"/>
                <w:szCs w:val="22"/>
                <w:highlight w:val="none"/>
                <w:lang w:val="en-US" w:eastAsia="zh-CN" w:bidi="ar-SA"/>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5F72EA6A">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3E49CAB8">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76F2799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联系电话</w:t>
            </w:r>
          </w:p>
        </w:tc>
        <w:tc>
          <w:tcPr>
            <w:tcW w:w="2884" w:type="dxa"/>
            <w:tcBorders>
              <w:top w:val="single" w:color="auto" w:sz="6" w:space="0"/>
              <w:left w:val="single" w:color="auto" w:sz="6" w:space="0"/>
              <w:bottom w:val="single" w:color="auto" w:sz="6" w:space="0"/>
              <w:right w:val="single" w:color="auto" w:sz="6" w:space="0"/>
            </w:tcBorders>
            <w:vAlign w:val="center"/>
          </w:tcPr>
          <w:p w14:paraId="0045CC6F">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15347152080</w:t>
            </w:r>
          </w:p>
        </w:tc>
        <w:tc>
          <w:tcPr>
            <w:tcW w:w="1704" w:type="dxa"/>
            <w:tcBorders>
              <w:top w:val="single" w:color="auto" w:sz="6" w:space="0"/>
              <w:left w:val="single" w:color="auto" w:sz="6" w:space="0"/>
              <w:bottom w:val="single" w:color="auto" w:sz="6" w:space="0"/>
              <w:right w:val="single" w:color="auto" w:sz="6" w:space="0"/>
            </w:tcBorders>
            <w:vAlign w:val="center"/>
          </w:tcPr>
          <w:p w14:paraId="2B391E8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联系电话</w:t>
            </w:r>
          </w:p>
        </w:tc>
        <w:tc>
          <w:tcPr>
            <w:tcW w:w="2524" w:type="dxa"/>
            <w:tcBorders>
              <w:top w:val="single" w:color="auto" w:sz="6" w:space="0"/>
              <w:left w:val="single" w:color="auto" w:sz="6" w:space="0"/>
              <w:bottom w:val="single" w:color="auto" w:sz="6" w:space="0"/>
              <w:right w:val="single" w:color="auto" w:sz="6" w:space="0"/>
            </w:tcBorders>
            <w:vAlign w:val="center"/>
          </w:tcPr>
          <w:p w14:paraId="6835ACC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5BEE06D7">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35B6890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3A12DFC5">
            <w:pPr>
              <w:autoSpaceDE w:val="0"/>
              <w:autoSpaceDN w:val="0"/>
              <w:adjustRightInd w:val="0"/>
              <w:snapToGrid w:val="0"/>
              <w:ind w:firstLine="480" w:firstLineChars="200"/>
              <w:rPr>
                <w:rFonts w:hint="eastAsia" w:asciiTheme="minorEastAsia" w:hAnsiTheme="minorEastAsia" w:eastAsiaTheme="minorEastAsia" w:cstheme="minorEastAsia"/>
                <w:color w:val="000000"/>
                <w:spacing w:val="0"/>
                <w:kern w:val="2"/>
                <w:sz w:val="24"/>
                <w:szCs w:val="22"/>
                <w:highlight w:val="none"/>
                <w:lang w:val="en-US" w:eastAsia="zh-CN" w:bidi="ar-SA"/>
              </w:rPr>
            </w:pPr>
          </w:p>
        </w:tc>
        <w:tc>
          <w:tcPr>
            <w:tcW w:w="1704" w:type="dxa"/>
            <w:tcBorders>
              <w:top w:val="single" w:color="auto" w:sz="6" w:space="0"/>
              <w:left w:val="single" w:color="auto" w:sz="6" w:space="0"/>
              <w:bottom w:val="single" w:color="auto" w:sz="6" w:space="0"/>
              <w:right w:val="single" w:color="auto" w:sz="6" w:space="0"/>
            </w:tcBorders>
            <w:vAlign w:val="center"/>
          </w:tcPr>
          <w:p w14:paraId="3EE4249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713DC3A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1E03786A">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6A43D70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68FFC0D0">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vAlign w:val="center"/>
          </w:tcPr>
          <w:p w14:paraId="6FC4D193">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25B9E31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3434773A">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EEEEAB9">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1A45A789">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9142 2800 7707 8006 6F</w:t>
            </w:r>
          </w:p>
        </w:tc>
        <w:tc>
          <w:tcPr>
            <w:tcW w:w="1704" w:type="dxa"/>
            <w:tcBorders>
              <w:top w:val="single" w:color="auto" w:sz="6" w:space="0"/>
              <w:left w:val="single" w:color="auto" w:sz="6" w:space="0"/>
              <w:bottom w:val="single" w:color="auto" w:sz="6" w:space="0"/>
              <w:right w:val="single" w:color="auto" w:sz="6" w:space="0"/>
            </w:tcBorders>
            <w:vAlign w:val="center"/>
          </w:tcPr>
          <w:p w14:paraId="239A5EB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07A71493">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22A7953C">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7468AA9F">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1068C495">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中国工商银行恩施分行营业部</w:t>
            </w:r>
          </w:p>
        </w:tc>
        <w:tc>
          <w:tcPr>
            <w:tcW w:w="1704" w:type="dxa"/>
            <w:tcBorders>
              <w:top w:val="single" w:color="auto" w:sz="6" w:space="0"/>
              <w:left w:val="single" w:color="auto" w:sz="6" w:space="0"/>
              <w:bottom w:val="single" w:color="auto" w:sz="6" w:space="0"/>
              <w:right w:val="single" w:color="auto" w:sz="6" w:space="0"/>
            </w:tcBorders>
            <w:vAlign w:val="center"/>
          </w:tcPr>
          <w:p w14:paraId="3AF70D1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366B1FC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761EE4A8">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458EE16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742A3E50">
            <w:pPr>
              <w:autoSpaceDE w:val="0"/>
              <w:autoSpaceDN w:val="0"/>
              <w:adjustRightInd w:val="0"/>
              <w:snapToGrid w:val="0"/>
              <w:ind w:left="0" w:leftChars="0" w:firstLine="0" w:firstLineChars="0"/>
              <w:rPr>
                <w:rFonts w:hint="default"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1817 0024 0902 6408 523</w:t>
            </w:r>
          </w:p>
        </w:tc>
        <w:tc>
          <w:tcPr>
            <w:tcW w:w="1704" w:type="dxa"/>
            <w:tcBorders>
              <w:top w:val="single" w:color="auto" w:sz="6" w:space="0"/>
              <w:left w:val="single" w:color="auto" w:sz="6" w:space="0"/>
              <w:bottom w:val="single" w:color="auto" w:sz="6" w:space="0"/>
              <w:right w:val="single" w:color="auto" w:sz="6" w:space="0"/>
            </w:tcBorders>
            <w:vAlign w:val="center"/>
          </w:tcPr>
          <w:p w14:paraId="348E3DA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53C324C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7E2D7888">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3BDB6B2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59809CF7">
            <w:pPr>
              <w:autoSpaceDE w:val="0"/>
              <w:autoSpaceDN w:val="0"/>
              <w:adjustRightInd w:val="0"/>
              <w:snapToGrid w:val="0"/>
              <w:rPr>
                <w:rFonts w:hint="default"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102541000035</w:t>
            </w:r>
          </w:p>
        </w:tc>
        <w:tc>
          <w:tcPr>
            <w:tcW w:w="1704" w:type="dxa"/>
            <w:tcBorders>
              <w:top w:val="single" w:color="auto" w:sz="6" w:space="0"/>
              <w:left w:val="single" w:color="auto" w:sz="6" w:space="0"/>
              <w:bottom w:val="single" w:color="auto" w:sz="6" w:space="0"/>
              <w:right w:val="single" w:color="auto" w:sz="6" w:space="0"/>
            </w:tcBorders>
            <w:vAlign w:val="center"/>
          </w:tcPr>
          <w:p w14:paraId="1978130E">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5F7EF38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bl>
    <w:p w14:paraId="2CA3C062">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lang w:val="en-US" w:eastAsia="zh-CN"/>
        </w:rPr>
        <w:t>，</w:t>
      </w:r>
      <w:r>
        <w:rPr>
          <w:rFonts w:hint="eastAsia" w:asciiTheme="minorEastAsia" w:hAnsiTheme="minorEastAsia" w:eastAsiaTheme="minorEastAsia" w:cstheme="minorEastAsia"/>
          <w:spacing w:val="0"/>
          <w:kern w:val="0"/>
          <w:lang w:val="en-US" w:eastAsia="zh-TW"/>
        </w:rPr>
        <w:t>甲乙双方的任何书面文件均需加盖单位公章方为有效。</w:t>
      </w:r>
    </w:p>
    <w:p w14:paraId="41C0BD1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通过电子邮箱及其它电子方式送达时，发出之日即视为有效送达</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通过快递等方式送达时，对方签收之日视为有效送达；对方拒收或退回的，视为签收。上述联系方式同时作为有效司法送达地址。</w:t>
      </w:r>
    </w:p>
    <w:p w14:paraId="685E2902">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甲乙任一方的地址</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联系人（项目负责人）、联系方式</w:t>
      </w:r>
      <w:r>
        <w:rPr>
          <w:rFonts w:hint="eastAsia" w:asciiTheme="minorEastAsia" w:hAnsiTheme="minorEastAsia" w:eastAsiaTheme="minorEastAsia" w:cstheme="minorEastAsia"/>
          <w:spacing w:val="0"/>
          <w:kern w:val="0"/>
        </w:rPr>
        <w:t>变更，变更一方应在变更后</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个工作日内书面通知对方。书面通知须加盖公章并经本合同</w:t>
      </w:r>
      <w:r>
        <w:rPr>
          <w:rFonts w:hint="eastAsia" w:asciiTheme="minorEastAsia" w:hAnsiTheme="minorEastAsia" w:eastAsiaTheme="minorEastAsia" w:cstheme="minorEastAsia"/>
          <w:spacing w:val="0"/>
          <w:kern w:val="0"/>
          <w:lang w:val="en-US" w:eastAsia="zh-CN"/>
        </w:rPr>
        <w:t>授权代表</w:t>
      </w:r>
      <w:r>
        <w:rPr>
          <w:rFonts w:hint="eastAsia" w:asciiTheme="minorEastAsia" w:hAnsiTheme="minorEastAsia" w:eastAsiaTheme="minorEastAsia" w:cstheme="minorEastAsia"/>
          <w:spacing w:val="0"/>
          <w:kern w:val="0"/>
        </w:rPr>
        <w:t>签字确认</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否则，</w:t>
      </w:r>
      <w:r>
        <w:rPr>
          <w:rFonts w:hint="eastAsia" w:asciiTheme="minorEastAsia" w:hAnsiTheme="minorEastAsia" w:eastAsiaTheme="minorEastAsia" w:cstheme="minorEastAsia"/>
          <w:spacing w:val="0"/>
          <w:kern w:val="0"/>
          <w:lang w:val="en-US" w:eastAsia="zh-CN"/>
        </w:rPr>
        <w:t>原地址、联系人（项目负责人）、联系方式等</w:t>
      </w:r>
      <w:r>
        <w:rPr>
          <w:rFonts w:hint="eastAsia" w:asciiTheme="minorEastAsia" w:hAnsiTheme="minorEastAsia" w:eastAsiaTheme="minorEastAsia" w:cstheme="minorEastAsia"/>
          <w:spacing w:val="0"/>
          <w:kern w:val="0"/>
        </w:rPr>
        <w:t>仍视为有效，由未通知方承担由此而引起的相关责任；</w:t>
      </w:r>
      <w:r>
        <w:rPr>
          <w:rFonts w:hint="eastAsia" w:asciiTheme="minorEastAsia" w:hAnsiTheme="minorEastAsia" w:eastAsiaTheme="minorEastAsia" w:cstheme="minorEastAsia"/>
          <w:spacing w:val="0"/>
          <w:kern w:val="0"/>
          <w:lang w:val="en-US" w:eastAsia="zh-CN"/>
        </w:rPr>
        <w:t>任一方账户信息</w:t>
      </w:r>
      <w:r>
        <w:rPr>
          <w:rFonts w:hint="eastAsia" w:asciiTheme="minorEastAsia" w:hAnsiTheme="minorEastAsia" w:eastAsiaTheme="minorEastAsia" w:cstheme="minorEastAsia"/>
          <w:spacing w:val="0"/>
          <w:kern w:val="0"/>
        </w:rPr>
        <w:t>有变更的，变更方应在付款期限个</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不承担延迟付款的违约责任。</w:t>
      </w:r>
    </w:p>
    <w:p w14:paraId="0855945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color w:val="000000"/>
          <w:spacing w:val="0"/>
          <w:kern w:val="0"/>
          <w:sz w:val="24"/>
          <w:szCs w:val="24"/>
          <w:lang w:val="en-US" w:eastAsia="zh-CN"/>
        </w:rPr>
      </w:pPr>
      <w:r>
        <w:rPr>
          <w:rFonts w:hint="eastAsia" w:asciiTheme="minorEastAsia" w:hAnsiTheme="minorEastAsia" w:eastAsiaTheme="minorEastAsia" w:cstheme="minorEastAsia"/>
          <w:spacing w:val="0"/>
          <w:kern w:val="0"/>
        </w:rPr>
        <w:t>本联系方式条款为独立条款，不受合同整体或其他条款的效力影响，始终有效。</w:t>
      </w:r>
    </w:p>
    <w:p w14:paraId="3640CB36">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p>
    <w:p w14:paraId="4D873262">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lang w:val="en-US" w:eastAsia="zh-CN"/>
        </w:rPr>
        <w:t>本</w:t>
      </w:r>
      <w:r>
        <w:rPr>
          <w:rFonts w:hint="eastAsia" w:asciiTheme="minorEastAsia" w:hAnsiTheme="minorEastAsia" w:eastAsiaTheme="minorEastAsia" w:cstheme="minorEastAsia"/>
          <w:spacing w:val="0"/>
          <w:kern w:val="0"/>
        </w:rPr>
        <w:t>合同的订立、效力、履行及争议的解决适用中华人民共和国法律。</w:t>
      </w:r>
    </w:p>
    <w:p w14:paraId="64BEAF93">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因本合同以及本合同项下</w:t>
      </w:r>
      <w:r>
        <w:rPr>
          <w:rFonts w:hint="eastAsia" w:asciiTheme="minorEastAsia" w:hAnsiTheme="minorEastAsia" w:eastAsiaTheme="minorEastAsia" w:cstheme="minorEastAsia"/>
          <w:spacing w:val="0"/>
          <w:kern w:val="0"/>
          <w:lang w:val="en-US" w:eastAsia="zh-CN"/>
        </w:rPr>
        <w:t>的</w:t>
      </w:r>
      <w:r>
        <w:rPr>
          <w:rFonts w:hint="eastAsia" w:asciiTheme="minorEastAsia" w:hAnsiTheme="minorEastAsia" w:eastAsiaTheme="minorEastAsia" w:cstheme="minorEastAsia"/>
          <w:spacing w:val="0"/>
          <w:kern w:val="0"/>
        </w:rPr>
        <w:t>附件/补充协议等（如有）引起或有关的任何争议，</w:t>
      </w:r>
      <w:r>
        <w:rPr>
          <w:rFonts w:hint="eastAsia" w:asciiTheme="minorEastAsia" w:hAnsiTheme="minorEastAsia" w:eastAsiaTheme="minorEastAsia" w:cstheme="minorEastAsia"/>
          <w:spacing w:val="0"/>
          <w:kern w:val="0"/>
          <w:lang w:val="en-US" w:eastAsia="zh-CN"/>
        </w:rPr>
        <w:t>合同各方应</w:t>
      </w:r>
      <w:r>
        <w:rPr>
          <w:rFonts w:hint="eastAsia" w:asciiTheme="minorEastAsia" w:hAnsiTheme="minorEastAsia" w:eastAsiaTheme="minorEastAsia" w:cstheme="minorEastAsia"/>
          <w:spacing w:val="0"/>
          <w:kern w:val="0"/>
        </w:rPr>
        <w:t>协商解决</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协商或调解不成的</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任何一方均选择下列第【</w:t>
      </w:r>
      <w:r>
        <w:rPr>
          <w:rFonts w:hint="eastAsia" w:asciiTheme="minorEastAsia" w:hAnsiTheme="minorEastAsia" w:cstheme="minorEastAsia"/>
          <w:spacing w:val="0"/>
          <w:kern w:val="0"/>
          <w:lang w:val="en-US" w:eastAsia="zh-CN"/>
        </w:rPr>
        <w:t>1</w:t>
      </w:r>
      <w:r>
        <w:rPr>
          <w:rFonts w:hint="eastAsia" w:asciiTheme="minorEastAsia" w:hAnsiTheme="minorEastAsia" w:eastAsiaTheme="minorEastAsia" w:cstheme="minorEastAsia"/>
          <w:spacing w:val="0"/>
          <w:kern w:val="0"/>
          <w:lang w:val="en-US" w:eastAsia="zh-CN"/>
        </w:rPr>
        <w:t>】种方式解决争议：</w:t>
      </w:r>
    </w:p>
    <w:p w14:paraId="40B11F98">
      <w:pPr>
        <w:pStyle w:val="77"/>
        <w:keepNext w:val="0"/>
        <w:keepLines w:val="0"/>
        <w:pageBreakBefore w:val="0"/>
        <w:widowControl w:val="0"/>
        <w:numPr>
          <w:ilvl w:val="2"/>
          <w:numId w:val="21"/>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向【甲方】住所地有管辖权的人民法院起诉；</w:t>
      </w:r>
    </w:p>
    <w:p w14:paraId="4D1777BD">
      <w:pPr>
        <w:pStyle w:val="77"/>
        <w:keepNext w:val="0"/>
        <w:keepLines w:val="0"/>
        <w:pageBreakBefore w:val="0"/>
        <w:widowControl w:val="0"/>
        <w:numPr>
          <w:ilvl w:val="2"/>
          <w:numId w:val="21"/>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向【】仲裁委员会提起仲裁。</w:t>
      </w:r>
    </w:p>
    <w:p w14:paraId="46D3E370">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附则</w:t>
      </w:r>
    </w:p>
    <w:p w14:paraId="3243BAEA">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u w:val="none"/>
          <w:lang w:val="en-US" w:eastAsia="zh-CN"/>
        </w:rPr>
        <w:t>本合同自各方法定代表人或授权代表签字并加盖公章</w:t>
      </w:r>
      <w:r>
        <w:rPr>
          <w:rFonts w:hint="eastAsia" w:asciiTheme="minorEastAsia" w:hAnsiTheme="minorEastAsia" w:eastAsiaTheme="minorEastAsia" w:cstheme="minorEastAsia"/>
          <w:spacing w:val="0"/>
          <w:u w:val="none"/>
          <w:lang w:val="en-US" w:eastAsia="zh-CN"/>
        </w:rPr>
        <w:t>或合同专用章</w:t>
      </w:r>
      <w:r>
        <w:rPr>
          <w:rFonts w:hint="eastAsia" w:asciiTheme="minorEastAsia" w:hAnsiTheme="minorEastAsia" w:eastAsiaTheme="minorEastAsia" w:cstheme="minorEastAsia"/>
          <w:spacing w:val="0"/>
          <w:kern w:val="0"/>
          <w:u w:val="none"/>
          <w:lang w:val="en-US" w:eastAsia="zh-CN"/>
        </w:rPr>
        <w:t>生效。</w:t>
      </w:r>
    </w:p>
    <w:p w14:paraId="7917FFA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本合同未尽事宜及对本合同的任何修改、补充，双方经协商一致后另行签订书面补充协议。在补充协议生效前，仍按本合同执行。</w:t>
      </w:r>
    </w:p>
    <w:p w14:paraId="62653886">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本合同的附件和补充</w:t>
      </w:r>
      <w:r>
        <w:rPr>
          <w:rFonts w:hint="eastAsia" w:asciiTheme="minorEastAsia" w:hAnsiTheme="minorEastAsia" w:eastAsiaTheme="minorEastAsia" w:cstheme="minorEastAsia"/>
          <w:spacing w:val="0"/>
          <w:kern w:val="0"/>
          <w:lang w:val="en-US" w:eastAsia="zh-CN"/>
        </w:rPr>
        <w:t>协议</w:t>
      </w:r>
      <w:r>
        <w:rPr>
          <w:rFonts w:hint="eastAsia" w:asciiTheme="minorEastAsia" w:hAnsiTheme="minorEastAsia" w:eastAsiaTheme="minorEastAsia" w:cstheme="minorEastAsia"/>
          <w:spacing w:val="0"/>
          <w:kern w:val="0"/>
        </w:rPr>
        <w:t>均为本合同不可分割的组成部分，与本合同具有同等的法律效力。</w:t>
      </w:r>
    </w:p>
    <w:p w14:paraId="074F1D82">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本合同一式【</w:t>
      </w:r>
      <w:r>
        <w:rPr>
          <w:rFonts w:hint="eastAsia" w:asciiTheme="minorEastAsia" w:hAnsiTheme="minorEastAsia" w:cstheme="minorEastAsia"/>
          <w:spacing w:val="0"/>
          <w:kern w:val="0"/>
          <w:lang w:val="en-US" w:eastAsia="zh-CN"/>
        </w:rPr>
        <w:t>陆</w:t>
      </w:r>
      <w:r>
        <w:rPr>
          <w:rFonts w:hint="eastAsia" w:asciiTheme="minorEastAsia" w:hAnsiTheme="minorEastAsia" w:eastAsiaTheme="minorEastAsia" w:cstheme="minorEastAsia"/>
          <w:spacing w:val="0"/>
          <w:kern w:val="0"/>
          <w:lang w:val="en-US" w:eastAsia="zh-CN"/>
        </w:rPr>
        <w:t>】份，甲方执【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】份，乙方执【</w:t>
      </w:r>
      <w:r>
        <w:rPr>
          <w:rFonts w:hint="eastAsia" w:asciiTheme="minorEastAsia" w:hAnsiTheme="minorEastAsia" w:cstheme="minorEastAsia"/>
          <w:spacing w:val="0"/>
          <w:kern w:val="0"/>
          <w:lang w:val="en-US" w:eastAsia="zh-CN"/>
        </w:rPr>
        <w:t>贰</w:t>
      </w:r>
      <w:r>
        <w:rPr>
          <w:rFonts w:hint="eastAsia" w:asciiTheme="minorEastAsia" w:hAnsiTheme="minorEastAsia" w:eastAsiaTheme="minorEastAsia" w:cstheme="minorEastAsia"/>
          <w:spacing w:val="0"/>
          <w:kern w:val="0"/>
          <w:lang w:val="en-US" w:eastAsia="zh-CN"/>
        </w:rPr>
        <w:t>】份，均具有同等法律效力。</w:t>
      </w:r>
    </w:p>
    <w:p w14:paraId="3060A066">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124883DC">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甲方（盖章）：</w:t>
      </w:r>
    </w:p>
    <w:p w14:paraId="202B367B">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0BEA8F68">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5BE4CB7A">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1CF54D4">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乙方（盖章）：</w:t>
      </w:r>
    </w:p>
    <w:p w14:paraId="6C36F4E6">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5F9FA33A">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4906680B"/>
    <w:p w14:paraId="12ACA3EC">
      <w:pPr>
        <w:snapToGrid w:val="0"/>
        <w:spacing w:line="360" w:lineRule="auto"/>
        <w:jc w:val="both"/>
        <w:rPr>
          <w:rFonts w:ascii="宋体" w:hAnsi="宋体" w:cs="宋体"/>
          <w:color w:val="000000"/>
          <w:spacing w:val="1"/>
          <w:szCs w:val="22"/>
        </w:rPr>
      </w:pPr>
    </w:p>
    <w:p w14:paraId="230F3FB5">
      <w:pPr>
        <w:snapToGrid w:val="0"/>
        <w:spacing w:line="360" w:lineRule="auto"/>
        <w:jc w:val="both"/>
        <w:rPr>
          <w:rFonts w:ascii="宋体" w:hAnsi="宋体" w:cs="宋体"/>
          <w:color w:val="000000"/>
          <w:spacing w:val="1"/>
          <w:szCs w:val="22"/>
        </w:rPr>
      </w:pPr>
    </w:p>
    <w:p w14:paraId="12484C10">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04497588">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2800F2DC">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2DAE89FB">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66E6E0F">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2A8E9313">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674AAA64">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9826BCC">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24C14A1B">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B9B9F09">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470B34C8">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6D985C80">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92CF368">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0954FF19">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40A98698">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37768A7A">
      <w:pPr>
        <w:pStyle w:val="2"/>
        <w:jc w:val="left"/>
        <w:rPr>
          <w:rFonts w:hint="eastAsia"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附件1： 设备维保服务内容</w:t>
      </w:r>
    </w:p>
    <w:p w14:paraId="5547A20B">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1.维保频次</w:t>
      </w:r>
    </w:p>
    <w:p w14:paraId="64249DC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每季度提供一次维保服务，一年共计四次。</w:t>
      </w:r>
    </w:p>
    <w:p w14:paraId="0E504968">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2.维保服务内容</w:t>
      </w:r>
    </w:p>
    <w:p w14:paraId="19313A05">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（1）具体的维保内容</w:t>
      </w:r>
    </w:p>
    <w:p w14:paraId="6ED8848A">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①　滤料检查：确认滤料更换时间，并测试是否失效：对失效的滤料提醒用户及时更换。</w:t>
      </w:r>
    </w:p>
    <w:p w14:paraId="1216936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②　标定笔检查：确认标定笔更换时间，并测试是否失效：对失效的标定笔提醒用户及时更换。</w:t>
      </w:r>
    </w:p>
    <w:p w14:paraId="35C8024B">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③　整机外观及配件检查：目视检查设备整机外观有无破损，配件是否缺失</w:t>
      </w:r>
    </w:p>
    <w:p w14:paraId="23CAAC33">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④　开机检查：给主机上电，检查主机是否正常启动、指示灯显示状态是否正常。</w:t>
      </w:r>
    </w:p>
    <w:p w14:paraId="13277FCC">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⑤　系统运行状态检查：系统启动后，输入用户名密码，检查是否能正常登陆，自检状态是否正常。</w:t>
      </w:r>
    </w:p>
    <w:p w14:paraId="34034DC6">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⑥　预热状态检查：检查主机是否25分钟内完成预热。</w:t>
      </w:r>
    </w:p>
    <w:p w14:paraId="5167CC94">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⑦　进样口指示灯检查：检查进样口指示灯是否根据系统处于不同状态显示不同的颜色。</w:t>
      </w:r>
    </w:p>
    <w:p w14:paraId="53D54C1C">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⑧　曲线检查：检查设备实时曲线是否正常。</w:t>
      </w:r>
    </w:p>
    <w:p w14:paraId="42C2844F">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⑨　标定和验证检查：检查设备标定和验证是否正常。</w:t>
      </w:r>
    </w:p>
    <w:p w14:paraId="5C305239">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⑩　风扇检查：检查主机散热风扇工作是否正常。</w:t>
      </w:r>
    </w:p>
    <w:p w14:paraId="6A61667E">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⑪　扬声器检查：检查报警时，扬声器是否工作正常。</w:t>
      </w:r>
    </w:p>
    <w:p w14:paraId="2E5D6D59">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⑫　电池供电系统检查（仅限含电池版设备）:检查电池充电及供电是否正常。</w:t>
      </w:r>
    </w:p>
    <w:p w14:paraId="378E263B">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⑬　进样口光耦清洁:用酒精棉签清洁进样口光耦.</w:t>
      </w:r>
    </w:p>
    <w:p w14:paraId="15C51781">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⑭　风扇清洁:清洁主机散热风扇。</w:t>
      </w:r>
    </w:p>
    <w:p w14:paraId="594ADF15">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⑮　半透膜更换：做半年度、年度维保保养时清洁或更换半透膜。</w:t>
      </w:r>
    </w:p>
    <w:p w14:paraId="03AD18AF">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⑯　存储数据清理（半年一次）</w:t>
      </w:r>
    </w:p>
    <w:p w14:paraId="7CA9D0D6">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⑰　在征得用户同意的情况下，将早于6个月前的存储数据进行清除。</w:t>
      </w:r>
    </w:p>
    <w:p w14:paraId="6A65503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（2）服务要求：</w:t>
      </w:r>
    </w:p>
    <w:p w14:paraId="0C15C97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①　乙方需确保甲方完成合同期内2次设备定检工作。</w:t>
      </w:r>
    </w:p>
    <w:p w14:paraId="67AB6256">
      <w:pPr>
        <w:tabs>
          <w:tab w:val="left" w:pos="0"/>
          <w:tab w:val="left" w:pos="426"/>
          <w:tab w:val="left" w:pos="495"/>
          <w:tab w:val="left" w:pos="1134"/>
        </w:tabs>
        <w:spacing w:line="360" w:lineRule="auto"/>
        <w:ind w:left="142"/>
        <w:jc w:val="both"/>
        <w:rPr>
          <w:rFonts w:hint="default"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 xml:space="preserve">②　乙方提供电话供甲方报修故障，此电话保持 7×24小时响应。 </w:t>
      </w:r>
    </w:p>
    <w:p w14:paraId="73262EE3">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③　乙方保证接到甲方报修后，工程师 2小时内响应，优先给予电话指导。如电话指导无法解决，工程师将在 24 小时内到达现场，并保证持续维保直到设备完全修复。如因特殊天气及其他不可抗力的条件导致中标人维保人员未能及时到达故障设备现场的除外。</w:t>
      </w:r>
    </w:p>
    <w:p w14:paraId="669110C5">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④　在完成故障排除后，乙方及时向甲方指定人员提交故障报告，明确故障接报时间、处理人员到场时间、故障现象、故障原因、故障排除过程、后续防范措施等。</w:t>
      </w:r>
    </w:p>
    <w:p w14:paraId="6777592B">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⑤ 在维保服务期间，乙方可为甲方提供有关设备使用和简单维保技能的培训服务。</w:t>
      </w:r>
    </w:p>
    <w:p w14:paraId="6806D65C">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D61B783">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BA662F6">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7E119C0">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0D9DDF5A">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8F81663">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E3BDE2A">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001751C">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20B94C1">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0F7316FA">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B0B1A80">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401F8F1">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5CD346E">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9A3A0B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E2168B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BC7228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FC59299">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C51E5E4">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05073714">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BEEEAD4">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AB37EE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B38D02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0123B2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47FA29B">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BFE651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6C37C90">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E50BFE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97F8DF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184E32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7DAB8CFC">
      <w:pPr>
        <w:pStyle w:val="2"/>
        <w:jc w:val="left"/>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附件2</w:t>
      </w:r>
    </w:p>
    <w:p w14:paraId="613BF14E">
      <w:pPr>
        <w:pStyle w:val="2"/>
        <w:jc w:val="center"/>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备品备件清单</w:t>
      </w:r>
    </w:p>
    <w:p w14:paraId="33B83FA4">
      <w:pPr>
        <w:spacing w:line="250" w:lineRule="exact"/>
        <w:rPr>
          <w:rFonts w:hint="eastAsia" w:ascii="宋体" w:hAnsi="宋体"/>
          <w:color w:val="000000"/>
          <w:szCs w:val="22"/>
          <w:lang w:val="en-US" w:eastAsia="zh-CN"/>
        </w:rPr>
      </w:pPr>
      <w:r>
        <w:rPr>
          <w:rFonts w:hint="eastAsia" w:ascii="宋体" w:hAnsi="宋体"/>
          <w:color w:val="000000"/>
          <w:szCs w:val="22"/>
          <w:lang w:val="en-US" w:eastAsia="zh-CN"/>
        </w:rPr>
        <w:t xml:space="preserve">                                </w:t>
      </w:r>
    </w:p>
    <w:tbl>
      <w:tblPr>
        <w:tblStyle w:val="25"/>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
        <w:gridCol w:w="3238"/>
        <w:gridCol w:w="2631"/>
        <w:gridCol w:w="991"/>
        <w:gridCol w:w="1100"/>
      </w:tblGrid>
      <w:tr w14:paraId="3BE1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EC2C5">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1C48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物料名称</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2A2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A82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FD3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95D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B8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316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435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BZA207000-XIV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15E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01E6C">
            <w:pPr>
              <w:jc w:val="center"/>
              <w:rPr>
                <w:rFonts w:hint="eastAsia" w:ascii="微软雅黑" w:hAnsi="微软雅黑" w:eastAsia="微软雅黑" w:cs="微软雅黑"/>
                <w:i w:val="0"/>
                <w:iCs w:val="0"/>
                <w:color w:val="000000"/>
                <w:sz w:val="22"/>
                <w:szCs w:val="22"/>
                <w:u w:val="none"/>
              </w:rPr>
            </w:pPr>
          </w:p>
        </w:tc>
      </w:tr>
      <w:tr w14:paraId="1843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D5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B5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工控机转接板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F6F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BZOA0203400-XIV</w:t>
            </w:r>
          </w:p>
        </w:tc>
        <w:tc>
          <w:tcPr>
            <w:tcW w:w="591" w:type="pct"/>
            <w:tcBorders>
              <w:top w:val="nil"/>
              <w:left w:val="nil"/>
              <w:bottom w:val="nil"/>
              <w:right w:val="nil"/>
            </w:tcBorders>
            <w:shd w:val="clear" w:color="auto" w:fill="auto"/>
            <w:noWrap/>
            <w:vAlign w:val="bottom"/>
          </w:tcPr>
          <w:p w14:paraId="10F5E986">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nil"/>
              <w:right w:val="single" w:color="000000" w:sz="4" w:space="0"/>
            </w:tcBorders>
            <w:shd w:val="clear" w:color="auto" w:fill="FFFFFF"/>
            <w:noWrap/>
            <w:vAlign w:val="center"/>
          </w:tcPr>
          <w:p w14:paraId="0E0E911A">
            <w:pPr>
              <w:jc w:val="center"/>
              <w:rPr>
                <w:rFonts w:hint="eastAsia" w:ascii="微软雅黑" w:hAnsi="微软雅黑" w:eastAsia="微软雅黑" w:cs="微软雅黑"/>
                <w:i w:val="0"/>
                <w:iCs w:val="0"/>
                <w:color w:val="000000"/>
                <w:sz w:val="22"/>
                <w:szCs w:val="22"/>
                <w:u w:val="none"/>
              </w:rPr>
            </w:pPr>
          </w:p>
        </w:tc>
      </w:tr>
      <w:tr w14:paraId="237A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31D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245A9C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CDIMS正模式综合板组件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7281FC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BZOA0302300-XIV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2CBEC5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14:paraId="017819B1">
            <w:pPr>
              <w:jc w:val="center"/>
              <w:rPr>
                <w:rFonts w:hint="eastAsia" w:ascii="微软雅黑" w:hAnsi="微软雅黑" w:eastAsia="微软雅黑" w:cs="微软雅黑"/>
                <w:i w:val="0"/>
                <w:iCs w:val="0"/>
                <w:color w:val="000000"/>
                <w:sz w:val="22"/>
                <w:szCs w:val="22"/>
                <w:u w:val="none"/>
              </w:rPr>
            </w:pPr>
          </w:p>
        </w:tc>
      </w:tr>
      <w:tr w14:paraId="0245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43B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29C6DC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CDIMS负模式综合板组件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1C9C5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BZOA0302400-XIV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DA4EB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2E9673">
            <w:pPr>
              <w:jc w:val="center"/>
              <w:rPr>
                <w:rFonts w:hint="eastAsia" w:ascii="微软雅黑" w:hAnsi="微软雅黑" w:eastAsia="微软雅黑" w:cs="微软雅黑"/>
                <w:i w:val="0"/>
                <w:iCs w:val="0"/>
                <w:color w:val="000000"/>
                <w:sz w:val="22"/>
                <w:szCs w:val="22"/>
                <w:u w:val="none"/>
              </w:rPr>
            </w:pPr>
          </w:p>
        </w:tc>
      </w:tr>
      <w:tr w14:paraId="0FE4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6A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4DE1723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TR2000DC探测器</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40CE30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BZOA0400000-XIV</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09F48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3631753">
            <w:pPr>
              <w:jc w:val="center"/>
              <w:rPr>
                <w:rFonts w:hint="eastAsia" w:ascii="微软雅黑" w:hAnsi="微软雅黑" w:eastAsia="微软雅黑" w:cs="微软雅黑"/>
                <w:i w:val="0"/>
                <w:iCs w:val="0"/>
                <w:color w:val="000000"/>
                <w:sz w:val="22"/>
                <w:szCs w:val="22"/>
                <w:u w:val="none"/>
              </w:rPr>
            </w:pPr>
          </w:p>
        </w:tc>
      </w:tr>
      <w:tr w14:paraId="69F0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5BD2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394E6C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迁移气泵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53EB9B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BZA208020-XIV-01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64BD4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48A87D14">
            <w:pPr>
              <w:jc w:val="center"/>
              <w:rPr>
                <w:rFonts w:hint="eastAsia" w:ascii="微软雅黑" w:hAnsi="微软雅黑" w:eastAsia="微软雅黑" w:cs="微软雅黑"/>
                <w:i w:val="0"/>
                <w:iCs w:val="0"/>
                <w:color w:val="000000"/>
                <w:sz w:val="22"/>
                <w:szCs w:val="22"/>
                <w:u w:val="none"/>
              </w:rPr>
            </w:pPr>
          </w:p>
        </w:tc>
      </w:tr>
      <w:tr w14:paraId="3B0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18D1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37270F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进样气泵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527137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BZA208030-XIV-01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AFF68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790A6A81">
            <w:pPr>
              <w:jc w:val="center"/>
              <w:rPr>
                <w:rFonts w:hint="eastAsia" w:ascii="微软雅黑" w:hAnsi="微软雅黑" w:eastAsia="微软雅黑" w:cs="微软雅黑"/>
                <w:i w:val="0"/>
                <w:iCs w:val="0"/>
                <w:color w:val="000000"/>
                <w:sz w:val="22"/>
                <w:szCs w:val="22"/>
                <w:u w:val="none"/>
              </w:rPr>
            </w:pPr>
          </w:p>
        </w:tc>
      </w:tr>
      <w:tr w14:paraId="625D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0AC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C0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反吹气泵</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B2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BZA208010-XIV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207F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59CF8">
            <w:pPr>
              <w:jc w:val="center"/>
              <w:rPr>
                <w:rFonts w:hint="eastAsia" w:ascii="微软雅黑" w:hAnsi="微软雅黑" w:eastAsia="微软雅黑" w:cs="微软雅黑"/>
                <w:i w:val="0"/>
                <w:iCs w:val="0"/>
                <w:color w:val="000000"/>
                <w:sz w:val="22"/>
                <w:szCs w:val="22"/>
                <w:u w:val="none"/>
              </w:rPr>
            </w:pPr>
          </w:p>
        </w:tc>
      </w:tr>
      <w:tr w14:paraId="4EA8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73D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3DD4B2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标定电磁阀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6A8FE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BZA209010-XIV-01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8428A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A43CF5F">
            <w:pPr>
              <w:jc w:val="center"/>
              <w:rPr>
                <w:rFonts w:hint="eastAsia" w:ascii="微软雅黑" w:hAnsi="微软雅黑" w:eastAsia="微软雅黑" w:cs="微软雅黑"/>
                <w:i w:val="0"/>
                <w:iCs w:val="0"/>
                <w:color w:val="000000"/>
                <w:sz w:val="22"/>
                <w:szCs w:val="22"/>
                <w:u w:val="none"/>
              </w:rPr>
            </w:pPr>
          </w:p>
        </w:tc>
      </w:tr>
      <w:tr w14:paraId="3AB5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048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631CFE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69C807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BZA209020-XIV-01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F1CB3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3EC41229">
            <w:pPr>
              <w:jc w:val="center"/>
              <w:rPr>
                <w:rFonts w:hint="eastAsia" w:ascii="微软雅黑" w:hAnsi="微软雅黑" w:eastAsia="微软雅黑" w:cs="微软雅黑"/>
                <w:i w:val="0"/>
                <w:iCs w:val="0"/>
                <w:color w:val="000000"/>
                <w:sz w:val="22"/>
                <w:szCs w:val="22"/>
                <w:u w:val="none"/>
              </w:rPr>
            </w:pPr>
          </w:p>
        </w:tc>
      </w:tr>
      <w:tr w14:paraId="4EF3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5F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78611E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掺杂截止电磁阀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1A3849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BZA209030-XIV-02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28AF94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483BF5F5">
            <w:pPr>
              <w:jc w:val="center"/>
              <w:rPr>
                <w:rFonts w:hint="eastAsia" w:ascii="微软雅黑" w:hAnsi="微软雅黑" w:eastAsia="微软雅黑" w:cs="微软雅黑"/>
                <w:i w:val="0"/>
                <w:iCs w:val="0"/>
                <w:color w:val="000000"/>
                <w:sz w:val="22"/>
                <w:szCs w:val="22"/>
                <w:u w:val="none"/>
              </w:rPr>
            </w:pPr>
          </w:p>
        </w:tc>
      </w:tr>
      <w:tr w14:paraId="2DC6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C707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7B9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环境模块套件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A4C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BZA213000-XIV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0A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EFEFD">
            <w:pPr>
              <w:jc w:val="center"/>
              <w:rPr>
                <w:rFonts w:hint="eastAsia" w:ascii="微软雅黑" w:hAnsi="微软雅黑" w:eastAsia="微软雅黑" w:cs="微软雅黑"/>
                <w:i w:val="0"/>
                <w:iCs w:val="0"/>
                <w:color w:val="000000"/>
                <w:sz w:val="22"/>
                <w:szCs w:val="22"/>
                <w:u w:val="none"/>
              </w:rPr>
            </w:pPr>
          </w:p>
        </w:tc>
      </w:tr>
      <w:tr w14:paraId="3C7E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572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922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AC/DC电源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9B0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SP-240-24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D94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C2B43">
            <w:pPr>
              <w:jc w:val="center"/>
              <w:rPr>
                <w:rFonts w:hint="eastAsia" w:ascii="微软雅黑" w:hAnsi="微软雅黑" w:eastAsia="微软雅黑" w:cs="微软雅黑"/>
                <w:i w:val="0"/>
                <w:iCs w:val="0"/>
                <w:color w:val="000000"/>
                <w:sz w:val="22"/>
                <w:szCs w:val="22"/>
                <w:u w:val="none"/>
              </w:rPr>
            </w:pPr>
          </w:p>
        </w:tc>
      </w:tr>
      <w:tr w14:paraId="64FC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A8A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B3C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开关滤波器模块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DBD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BZA204000-XIV </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29E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BE66E">
            <w:pPr>
              <w:jc w:val="center"/>
              <w:rPr>
                <w:rFonts w:hint="eastAsia" w:ascii="微软雅黑" w:hAnsi="微软雅黑" w:eastAsia="微软雅黑" w:cs="微软雅黑"/>
                <w:i w:val="0"/>
                <w:iCs w:val="0"/>
                <w:color w:val="000000"/>
                <w:sz w:val="22"/>
                <w:szCs w:val="22"/>
                <w:u w:val="none"/>
              </w:rPr>
            </w:pPr>
          </w:p>
        </w:tc>
      </w:tr>
      <w:tr w14:paraId="138C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98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A5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电源管理板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B1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7F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98CA7">
            <w:pPr>
              <w:jc w:val="center"/>
              <w:rPr>
                <w:rFonts w:hint="eastAsia" w:ascii="微软雅黑" w:hAnsi="微软雅黑" w:eastAsia="微软雅黑" w:cs="微软雅黑"/>
                <w:i w:val="0"/>
                <w:iCs w:val="0"/>
                <w:color w:val="000000"/>
                <w:sz w:val="22"/>
                <w:szCs w:val="22"/>
                <w:u w:val="none"/>
              </w:rPr>
            </w:pPr>
          </w:p>
        </w:tc>
      </w:tr>
      <w:tr w14:paraId="3589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CD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792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CDIMS控制板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A1F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BZOA0403400-XIV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85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EAE9">
            <w:pPr>
              <w:jc w:val="center"/>
              <w:rPr>
                <w:rFonts w:hint="eastAsia" w:ascii="微软雅黑" w:hAnsi="微软雅黑" w:eastAsia="微软雅黑" w:cs="微软雅黑"/>
                <w:i w:val="0"/>
                <w:iCs w:val="0"/>
                <w:color w:val="000000"/>
                <w:sz w:val="22"/>
                <w:szCs w:val="22"/>
                <w:u w:val="none"/>
              </w:rPr>
            </w:pPr>
          </w:p>
        </w:tc>
      </w:tr>
      <w:tr w14:paraId="682A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01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B06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CDIMS高压板组件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A8D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BZOA0404000-XIV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198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44B0C">
            <w:pPr>
              <w:jc w:val="center"/>
              <w:rPr>
                <w:rFonts w:hint="eastAsia" w:ascii="微软雅黑" w:hAnsi="微软雅黑" w:eastAsia="微软雅黑" w:cs="微软雅黑"/>
                <w:i w:val="0"/>
                <w:iCs w:val="0"/>
                <w:color w:val="000000"/>
                <w:sz w:val="22"/>
                <w:szCs w:val="22"/>
                <w:u w:val="none"/>
              </w:rPr>
            </w:pPr>
          </w:p>
        </w:tc>
      </w:tr>
      <w:tr w14:paraId="60A1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2F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6D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TR2000DC整机电缆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3C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C54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0B3F">
            <w:pPr>
              <w:jc w:val="center"/>
              <w:rPr>
                <w:rFonts w:hint="eastAsia" w:ascii="微软雅黑" w:hAnsi="微软雅黑" w:eastAsia="微软雅黑" w:cs="微软雅黑"/>
                <w:i w:val="0"/>
                <w:iCs w:val="0"/>
                <w:color w:val="000000"/>
                <w:sz w:val="22"/>
                <w:szCs w:val="22"/>
                <w:u w:val="none"/>
              </w:rPr>
            </w:pPr>
          </w:p>
        </w:tc>
      </w:tr>
      <w:tr w14:paraId="492E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754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10B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进样检测指示板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F74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BZOA0405100-Ⅷ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412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401B">
            <w:pPr>
              <w:jc w:val="center"/>
              <w:rPr>
                <w:rFonts w:hint="eastAsia" w:ascii="微软雅黑" w:hAnsi="微软雅黑" w:eastAsia="微软雅黑" w:cs="微软雅黑"/>
                <w:i w:val="0"/>
                <w:iCs w:val="0"/>
                <w:color w:val="000000"/>
                <w:sz w:val="22"/>
                <w:szCs w:val="22"/>
                <w:u w:val="none"/>
              </w:rPr>
            </w:pPr>
          </w:p>
        </w:tc>
      </w:tr>
      <w:tr w14:paraId="62F3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C20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D22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进样指示FPC线缆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528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BZOA0800012-VI</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CBC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9085">
            <w:pPr>
              <w:jc w:val="center"/>
              <w:rPr>
                <w:rFonts w:hint="eastAsia" w:ascii="微软雅黑" w:hAnsi="微软雅黑" w:eastAsia="微软雅黑" w:cs="微软雅黑"/>
                <w:i w:val="0"/>
                <w:iCs w:val="0"/>
                <w:color w:val="000000"/>
                <w:sz w:val="22"/>
                <w:szCs w:val="22"/>
                <w:u w:val="none"/>
              </w:rPr>
            </w:pPr>
          </w:p>
        </w:tc>
      </w:tr>
      <w:tr w14:paraId="29BF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EE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74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TR2000DC触摸液晶屏</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EC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BZA201000-XIV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440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BDEC">
            <w:pPr>
              <w:jc w:val="center"/>
              <w:rPr>
                <w:rFonts w:hint="eastAsia" w:ascii="微软雅黑" w:hAnsi="微软雅黑" w:eastAsia="微软雅黑" w:cs="微软雅黑"/>
                <w:i w:val="0"/>
                <w:iCs w:val="0"/>
                <w:color w:val="000000"/>
                <w:sz w:val="22"/>
                <w:szCs w:val="22"/>
                <w:u w:val="none"/>
              </w:rPr>
            </w:pPr>
          </w:p>
        </w:tc>
      </w:tr>
      <w:tr w14:paraId="2AB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A4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1E4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风扇</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E5B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2F7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3E97">
            <w:pPr>
              <w:jc w:val="center"/>
              <w:rPr>
                <w:rFonts w:hint="eastAsia" w:ascii="微软雅黑" w:hAnsi="微软雅黑" w:eastAsia="微软雅黑" w:cs="微软雅黑"/>
                <w:i w:val="0"/>
                <w:iCs w:val="0"/>
                <w:color w:val="000000"/>
                <w:sz w:val="22"/>
                <w:szCs w:val="22"/>
                <w:u w:val="none"/>
              </w:rPr>
            </w:pPr>
          </w:p>
        </w:tc>
      </w:tr>
      <w:tr w14:paraId="5BAF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B7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DD9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扬声器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8F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BZA205000-XIV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00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B7F0">
            <w:pPr>
              <w:jc w:val="center"/>
              <w:rPr>
                <w:rFonts w:hint="eastAsia" w:ascii="微软雅黑" w:hAnsi="微软雅黑" w:eastAsia="微软雅黑" w:cs="微软雅黑"/>
                <w:i w:val="0"/>
                <w:iCs w:val="0"/>
                <w:color w:val="000000"/>
                <w:sz w:val="22"/>
                <w:szCs w:val="22"/>
                <w:u w:val="none"/>
              </w:rPr>
            </w:pPr>
          </w:p>
        </w:tc>
      </w:tr>
      <w:tr w14:paraId="13D7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36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8B9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打印机</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3F4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RD-EM32-S</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7F6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6A1CC">
            <w:pPr>
              <w:jc w:val="center"/>
              <w:rPr>
                <w:rFonts w:hint="eastAsia" w:ascii="微软雅黑" w:hAnsi="微软雅黑" w:eastAsia="微软雅黑" w:cs="微软雅黑"/>
                <w:i w:val="0"/>
                <w:iCs w:val="0"/>
                <w:color w:val="000000"/>
                <w:sz w:val="22"/>
                <w:szCs w:val="22"/>
                <w:u w:val="none"/>
              </w:rPr>
            </w:pPr>
          </w:p>
        </w:tc>
      </w:tr>
      <w:tr w14:paraId="3471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0E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362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塑料滤料罐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2E1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BZA202000-XIV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AB9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8242">
            <w:pPr>
              <w:jc w:val="center"/>
              <w:rPr>
                <w:rFonts w:hint="eastAsia" w:ascii="微软雅黑" w:hAnsi="微软雅黑" w:eastAsia="微软雅黑" w:cs="微软雅黑"/>
                <w:i w:val="0"/>
                <w:iCs w:val="0"/>
                <w:color w:val="000000"/>
                <w:sz w:val="22"/>
                <w:szCs w:val="22"/>
                <w:u w:val="none"/>
              </w:rPr>
            </w:pPr>
          </w:p>
        </w:tc>
      </w:tr>
      <w:tr w14:paraId="0F38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F3D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129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主机机壳组件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7AD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DBB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9000">
            <w:pPr>
              <w:jc w:val="center"/>
              <w:rPr>
                <w:rFonts w:hint="eastAsia" w:ascii="微软雅黑" w:hAnsi="微软雅黑" w:eastAsia="微软雅黑" w:cs="微软雅黑"/>
                <w:i w:val="0"/>
                <w:iCs w:val="0"/>
                <w:color w:val="000000"/>
                <w:sz w:val="22"/>
                <w:szCs w:val="22"/>
                <w:u w:val="none"/>
              </w:rPr>
            </w:pPr>
          </w:p>
        </w:tc>
      </w:tr>
      <w:tr w14:paraId="07DF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F4D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2C7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专用工具套件-01A</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C3A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BZA500000-01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6BA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EDBE">
            <w:pPr>
              <w:jc w:val="center"/>
              <w:rPr>
                <w:rFonts w:hint="eastAsia" w:ascii="微软雅黑" w:hAnsi="微软雅黑" w:eastAsia="微软雅黑" w:cs="微软雅黑"/>
                <w:i w:val="0"/>
                <w:iCs w:val="0"/>
                <w:color w:val="000000"/>
                <w:sz w:val="22"/>
                <w:szCs w:val="22"/>
                <w:u w:val="none"/>
              </w:rPr>
            </w:pPr>
          </w:p>
        </w:tc>
      </w:tr>
      <w:tr w14:paraId="5E91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1C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9EA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擦拭取样器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D61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BZOA0200100-01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BC6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0F9BD">
            <w:pPr>
              <w:jc w:val="center"/>
              <w:rPr>
                <w:rFonts w:hint="eastAsia" w:ascii="微软雅黑" w:hAnsi="微软雅黑" w:eastAsia="微软雅黑" w:cs="微软雅黑"/>
                <w:i w:val="0"/>
                <w:iCs w:val="0"/>
                <w:color w:val="000000"/>
                <w:sz w:val="22"/>
                <w:szCs w:val="22"/>
                <w:u w:val="none"/>
              </w:rPr>
            </w:pPr>
          </w:p>
        </w:tc>
      </w:tr>
      <w:tr w14:paraId="7807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7A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D09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拭纸烘焙器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73A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BZA800000-02</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18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DD116">
            <w:pPr>
              <w:jc w:val="center"/>
              <w:rPr>
                <w:rFonts w:hint="eastAsia" w:ascii="微软雅黑" w:hAnsi="微软雅黑" w:eastAsia="微软雅黑" w:cs="微软雅黑"/>
                <w:i w:val="0"/>
                <w:iCs w:val="0"/>
                <w:color w:val="000000"/>
                <w:sz w:val="22"/>
                <w:szCs w:val="22"/>
                <w:u w:val="none"/>
              </w:rPr>
            </w:pPr>
          </w:p>
        </w:tc>
      </w:tr>
      <w:tr w14:paraId="45E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B6F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EE2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TR2000DC包装箱</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D13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BZOA0600000-XIV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94D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1C6C">
            <w:pPr>
              <w:jc w:val="center"/>
              <w:rPr>
                <w:rFonts w:hint="eastAsia" w:ascii="微软雅黑" w:hAnsi="微软雅黑" w:eastAsia="微软雅黑" w:cs="微软雅黑"/>
                <w:i w:val="0"/>
                <w:iCs w:val="0"/>
                <w:color w:val="000000"/>
                <w:sz w:val="22"/>
                <w:szCs w:val="22"/>
                <w:u w:val="none"/>
              </w:rPr>
            </w:pPr>
          </w:p>
        </w:tc>
      </w:tr>
      <w:tr w14:paraId="1C70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55A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922" w:type="pct"/>
            <w:tcBorders>
              <w:top w:val="single" w:color="000000" w:sz="4" w:space="0"/>
              <w:left w:val="single" w:color="000000" w:sz="4" w:space="0"/>
              <w:bottom w:val="nil"/>
              <w:right w:val="single" w:color="000000" w:sz="4" w:space="0"/>
            </w:tcBorders>
            <w:shd w:val="clear" w:color="auto" w:fill="FFFFFF"/>
            <w:noWrap w:val="0"/>
            <w:vAlign w:val="center"/>
          </w:tcPr>
          <w:p w14:paraId="4D0A49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国标交流电源线</w:t>
            </w:r>
          </w:p>
        </w:tc>
        <w:tc>
          <w:tcPr>
            <w:tcW w:w="1551" w:type="pct"/>
            <w:tcBorders>
              <w:top w:val="single" w:color="000000" w:sz="4" w:space="0"/>
              <w:left w:val="single" w:color="000000" w:sz="4" w:space="0"/>
              <w:bottom w:val="nil"/>
              <w:right w:val="single" w:color="000000" w:sz="4" w:space="0"/>
            </w:tcBorders>
            <w:shd w:val="clear" w:color="auto" w:fill="FFFFFF"/>
            <w:noWrap w:val="0"/>
            <w:vAlign w:val="center"/>
          </w:tcPr>
          <w:p w14:paraId="007950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EP3C-03</w:t>
            </w:r>
          </w:p>
        </w:tc>
        <w:tc>
          <w:tcPr>
            <w:tcW w:w="591" w:type="pct"/>
            <w:tcBorders>
              <w:top w:val="single" w:color="000000" w:sz="4" w:space="0"/>
              <w:left w:val="single" w:color="000000" w:sz="4" w:space="0"/>
              <w:bottom w:val="nil"/>
              <w:right w:val="single" w:color="000000" w:sz="4" w:space="0"/>
            </w:tcBorders>
            <w:shd w:val="clear" w:color="auto" w:fill="FFFFFF"/>
            <w:noWrap w:val="0"/>
            <w:vAlign w:val="center"/>
          </w:tcPr>
          <w:p w14:paraId="110641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47722">
            <w:pPr>
              <w:jc w:val="center"/>
              <w:rPr>
                <w:rFonts w:hint="eastAsia" w:ascii="微软雅黑" w:hAnsi="微软雅黑" w:eastAsia="微软雅黑" w:cs="微软雅黑"/>
                <w:i w:val="0"/>
                <w:iCs w:val="0"/>
                <w:color w:val="000000"/>
                <w:sz w:val="22"/>
                <w:szCs w:val="22"/>
                <w:u w:val="none"/>
              </w:rPr>
            </w:pPr>
          </w:p>
        </w:tc>
      </w:tr>
      <w:tr w14:paraId="4797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0E8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A36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进样器保温上块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42D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BZOA0400130-XIV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DCC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23B3">
            <w:pPr>
              <w:jc w:val="center"/>
              <w:rPr>
                <w:rFonts w:hint="eastAsia" w:ascii="微软雅黑" w:hAnsi="微软雅黑" w:eastAsia="微软雅黑" w:cs="微软雅黑"/>
                <w:i w:val="0"/>
                <w:iCs w:val="0"/>
                <w:color w:val="000000"/>
                <w:sz w:val="22"/>
                <w:szCs w:val="22"/>
                <w:u w:val="none"/>
              </w:rPr>
            </w:pPr>
          </w:p>
        </w:tc>
      </w:tr>
      <w:tr w14:paraId="1D2D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6F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046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探测器电源盒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71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BZA206000-XIV</w:t>
            </w:r>
          </w:p>
        </w:tc>
        <w:tc>
          <w:tcPr>
            <w:tcW w:w="591" w:type="pct"/>
            <w:tcBorders>
              <w:top w:val="nil"/>
              <w:left w:val="single" w:color="000000" w:sz="4" w:space="0"/>
              <w:bottom w:val="single" w:color="000000" w:sz="4" w:space="0"/>
              <w:right w:val="single" w:color="000000" w:sz="4" w:space="0"/>
            </w:tcBorders>
            <w:shd w:val="clear" w:color="auto" w:fill="FFFFFF"/>
            <w:noWrap/>
            <w:vAlign w:val="center"/>
          </w:tcPr>
          <w:p w14:paraId="71B82A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D67E">
            <w:pPr>
              <w:jc w:val="center"/>
              <w:rPr>
                <w:rFonts w:hint="eastAsia" w:ascii="微软雅黑" w:hAnsi="微软雅黑" w:eastAsia="微软雅黑" w:cs="微软雅黑"/>
                <w:i w:val="0"/>
                <w:iCs w:val="0"/>
                <w:color w:val="000000"/>
                <w:sz w:val="22"/>
                <w:szCs w:val="22"/>
                <w:u w:val="none"/>
              </w:rPr>
            </w:pPr>
          </w:p>
        </w:tc>
      </w:tr>
      <w:tr w14:paraId="4BC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6F4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C19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高压线压头</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C2D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BZOA0400504-XIV</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3EB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D6DEE">
            <w:pPr>
              <w:jc w:val="center"/>
              <w:rPr>
                <w:rFonts w:hint="eastAsia" w:ascii="微软雅黑" w:hAnsi="微软雅黑" w:eastAsia="微软雅黑" w:cs="微软雅黑"/>
                <w:i w:val="0"/>
                <w:iCs w:val="0"/>
                <w:color w:val="000000"/>
                <w:sz w:val="22"/>
                <w:szCs w:val="22"/>
                <w:u w:val="none"/>
              </w:rPr>
            </w:pPr>
          </w:p>
        </w:tc>
      </w:tr>
      <w:tr w14:paraId="244E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60C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F40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CFast卡</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961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DECFA-16GD09BW1SC</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C9A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1F0D">
            <w:pPr>
              <w:jc w:val="center"/>
              <w:rPr>
                <w:rFonts w:hint="eastAsia" w:ascii="微软雅黑" w:hAnsi="微软雅黑" w:eastAsia="微软雅黑" w:cs="微软雅黑"/>
                <w:i w:val="0"/>
                <w:iCs w:val="0"/>
                <w:color w:val="000000"/>
                <w:sz w:val="22"/>
                <w:szCs w:val="22"/>
                <w:u w:val="none"/>
              </w:rPr>
            </w:pPr>
          </w:p>
        </w:tc>
      </w:tr>
      <w:tr w14:paraId="4883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2B6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0BD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滤料再生装置</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0F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BZOA1600000-01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52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noWrap/>
            <w:vAlign w:val="bottom"/>
          </w:tcPr>
          <w:p w14:paraId="50082718">
            <w:pPr>
              <w:rPr>
                <w:rFonts w:hint="eastAsia" w:ascii="等线" w:hAnsi="等线" w:eastAsia="等线" w:cs="等线"/>
                <w:i w:val="0"/>
                <w:iCs w:val="0"/>
                <w:color w:val="000000"/>
                <w:sz w:val="22"/>
                <w:szCs w:val="22"/>
                <w:u w:val="none"/>
              </w:rPr>
            </w:pPr>
          </w:p>
        </w:tc>
      </w:tr>
    </w:tbl>
    <w:p w14:paraId="51A2B7FB">
      <w:pPr>
        <w:pStyle w:val="2"/>
        <w:rPr>
          <w:rFonts w:hint="default" w:asciiTheme="minorEastAsia" w:hAnsiTheme="minorEastAsia" w:eastAsiaTheme="minorEastAsia" w:cstheme="minorEastAsia"/>
          <w:color w:val="000000"/>
          <w:spacing w:val="0"/>
          <w:kern w:val="0"/>
          <w:sz w:val="24"/>
          <w:szCs w:val="22"/>
          <w:lang w:val="en-US" w:eastAsia="zh-CN" w:bidi="ar-SA"/>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306C">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D5BD">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1B83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6521B83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54A5">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AB70">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3F94AB70">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D7D5">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D111A">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2B4D111A">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557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5B36">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7DD60"/>
    <w:multiLevelType w:val="singleLevel"/>
    <w:tmpl w:val="B747DD60"/>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1">
    <w:nsid w:val="CDB265CB"/>
    <w:multiLevelType w:val="multilevel"/>
    <w:tmpl w:val="CDB265C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8"/>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AEFBA9E"/>
    <w:multiLevelType w:val="multilevel"/>
    <w:tmpl w:val="DAEFBA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Theme="minorEastAsia" w:hAnsiTheme="minorEastAsia" w:eastAsiaTheme="minorEastAsia"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BF373F5"/>
    <w:multiLevelType w:val="multilevel"/>
    <w:tmpl w:val="DBF373F5"/>
    <w:lvl w:ilvl="0" w:tentative="0">
      <w:start w:val="1"/>
      <w:numFmt w:val="chineseCounting"/>
      <w:pStyle w:val="76"/>
      <w:suff w:val="space"/>
      <w:lvlText w:val="第%1条"/>
      <w:lvlJc w:val="left"/>
      <w:pPr>
        <w:tabs>
          <w:tab w:val="left" w:pos="420"/>
        </w:tabs>
        <w:ind w:left="-60" w:firstLine="400"/>
      </w:pPr>
      <w:rPr>
        <w:rFonts w:hint="eastAsia"/>
        <w:b/>
        <w:bCs/>
      </w:rPr>
    </w:lvl>
    <w:lvl w:ilvl="1" w:tentative="0">
      <w:start w:val="1"/>
      <w:numFmt w:val="decimal"/>
      <w:suff w:val="nothing"/>
      <w:lvlText w:val="%2．"/>
      <w:lvlJc w:val="left"/>
      <w:pPr>
        <w:ind w:left="-77" w:firstLine="400"/>
      </w:pPr>
      <w:rPr>
        <w:rFonts w:hint="eastAsia"/>
      </w:rPr>
    </w:lvl>
    <w:lvl w:ilvl="2" w:tentative="0">
      <w:start w:val="1"/>
      <w:numFmt w:val="decimal"/>
      <w:suff w:val="nothing"/>
      <w:lvlText w:val="（%3）"/>
      <w:lvlJc w:val="left"/>
      <w:pPr>
        <w:ind w:left="-77" w:firstLine="402"/>
      </w:pPr>
      <w:rPr>
        <w:rFonts w:hint="eastAsia"/>
      </w:rPr>
    </w:lvl>
    <w:lvl w:ilvl="3" w:tentative="0">
      <w:start w:val="1"/>
      <w:numFmt w:val="decimalEnclosedCircleChinese"/>
      <w:suff w:val="nothing"/>
      <w:lvlText w:val="%4 "/>
      <w:lvlJc w:val="left"/>
      <w:pPr>
        <w:ind w:left="-77" w:firstLine="402"/>
      </w:pPr>
      <w:rPr>
        <w:rFonts w:hint="eastAsia"/>
      </w:rPr>
    </w:lvl>
    <w:lvl w:ilvl="4" w:tentative="0">
      <w:start w:val="1"/>
      <w:numFmt w:val="decimal"/>
      <w:suff w:val="nothing"/>
      <w:lvlText w:val="%5）"/>
      <w:lvlJc w:val="left"/>
      <w:pPr>
        <w:ind w:left="-77" w:firstLine="402"/>
      </w:pPr>
      <w:rPr>
        <w:rFonts w:hint="eastAsia"/>
      </w:rPr>
    </w:lvl>
    <w:lvl w:ilvl="5" w:tentative="0">
      <w:start w:val="1"/>
      <w:numFmt w:val="lowerLetter"/>
      <w:suff w:val="nothing"/>
      <w:lvlText w:val="%6．"/>
      <w:lvlJc w:val="left"/>
      <w:pPr>
        <w:ind w:left="-77" w:firstLine="402"/>
      </w:pPr>
      <w:rPr>
        <w:rFonts w:hint="eastAsia"/>
      </w:rPr>
    </w:lvl>
    <w:lvl w:ilvl="6" w:tentative="0">
      <w:start w:val="1"/>
      <w:numFmt w:val="lowerLetter"/>
      <w:suff w:val="nothing"/>
      <w:lvlText w:val="%7）"/>
      <w:lvlJc w:val="left"/>
      <w:pPr>
        <w:ind w:left="-77" w:firstLine="402"/>
      </w:pPr>
      <w:rPr>
        <w:rFonts w:hint="eastAsia"/>
      </w:rPr>
    </w:lvl>
    <w:lvl w:ilvl="7" w:tentative="0">
      <w:start w:val="1"/>
      <w:numFmt w:val="lowerRoman"/>
      <w:suff w:val="nothing"/>
      <w:lvlText w:val="%8. "/>
      <w:lvlJc w:val="left"/>
      <w:pPr>
        <w:ind w:left="-77" w:firstLine="402"/>
      </w:pPr>
      <w:rPr>
        <w:rFonts w:hint="eastAsia"/>
      </w:rPr>
    </w:lvl>
    <w:lvl w:ilvl="8" w:tentative="0">
      <w:start w:val="1"/>
      <w:numFmt w:val="lowerRoman"/>
      <w:suff w:val="nothing"/>
      <w:lvlText w:val="%9）"/>
      <w:lvlJc w:val="left"/>
      <w:pPr>
        <w:ind w:left="-77" w:firstLine="402"/>
      </w:pPr>
      <w:rPr>
        <w:rFonts w:hint="eastAsia"/>
      </w:rPr>
    </w:lvl>
  </w:abstractNum>
  <w:abstractNum w:abstractNumId="5">
    <w:nsid w:val="DF7754BB"/>
    <w:multiLevelType w:val="multilevel"/>
    <w:tmpl w:val="DF7754B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FDBB7485"/>
    <w:multiLevelType w:val="multilevel"/>
    <w:tmpl w:val="FDBB748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eastAsia" w:ascii="宋体" w:hAnsi="宋体" w:eastAsia="宋体" w:cs="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482D200E"/>
    <w:multiLevelType w:val="singleLevel"/>
    <w:tmpl w:val="482D200E"/>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9">
    <w:nsid w:val="4BBD7475"/>
    <w:multiLevelType w:val="multilevel"/>
    <w:tmpl w:val="4BBD7475"/>
    <w:lvl w:ilvl="0" w:tentative="0">
      <w:start w:val="1"/>
      <w:numFmt w:val="chineseCounting"/>
      <w:pStyle w:val="75"/>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9"/>
  </w:num>
  <w:num w:numId="2">
    <w:abstractNumId w:val="4"/>
  </w:num>
  <w:num w:numId="3">
    <w:abstractNumId w:val="10"/>
  </w:num>
  <w:num w:numId="4">
    <w:abstractNumId w:val="2"/>
  </w:num>
  <w:num w:numId="5">
    <w:abstractNumId w:val="0"/>
  </w:num>
  <w:num w:numId="6">
    <w:abstractNumId w:val="8"/>
  </w:num>
  <w:num w:numId="7">
    <w:abstractNumId w:val="7"/>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TFhOTExYzkyNjRmMDg5ZTcwNmU1NzJlMGNjNDQ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3813"/>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E87898"/>
    <w:rsid w:val="07F234A3"/>
    <w:rsid w:val="07FD0DA7"/>
    <w:rsid w:val="080F72C9"/>
    <w:rsid w:val="081146B4"/>
    <w:rsid w:val="08115849"/>
    <w:rsid w:val="08487583"/>
    <w:rsid w:val="08610ACC"/>
    <w:rsid w:val="087D297A"/>
    <w:rsid w:val="088D793B"/>
    <w:rsid w:val="08B87A03"/>
    <w:rsid w:val="08DA2BAF"/>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115FF7"/>
    <w:rsid w:val="0D1E7971"/>
    <w:rsid w:val="0D202562"/>
    <w:rsid w:val="0D2D19A9"/>
    <w:rsid w:val="0D3F09CA"/>
    <w:rsid w:val="0D462716"/>
    <w:rsid w:val="0D4B7F61"/>
    <w:rsid w:val="0D7A0E59"/>
    <w:rsid w:val="0D9A41BC"/>
    <w:rsid w:val="0DA76B5A"/>
    <w:rsid w:val="0DBF4461"/>
    <w:rsid w:val="0DCC18B3"/>
    <w:rsid w:val="0DD31F04"/>
    <w:rsid w:val="0DD67D30"/>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30E09"/>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AE1FF0"/>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8B2421"/>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318A8"/>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454A87"/>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336E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6442F"/>
    <w:rsid w:val="22A8553B"/>
    <w:rsid w:val="22AA2FA8"/>
    <w:rsid w:val="22B66F0B"/>
    <w:rsid w:val="22DD5C3A"/>
    <w:rsid w:val="22EA797C"/>
    <w:rsid w:val="23097387"/>
    <w:rsid w:val="23254978"/>
    <w:rsid w:val="23455236"/>
    <w:rsid w:val="234D60AE"/>
    <w:rsid w:val="235F75EC"/>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8D3427"/>
    <w:rsid w:val="2897184F"/>
    <w:rsid w:val="28A421F1"/>
    <w:rsid w:val="28AC5D49"/>
    <w:rsid w:val="28BE0537"/>
    <w:rsid w:val="28BF6404"/>
    <w:rsid w:val="28D77ECE"/>
    <w:rsid w:val="29035A29"/>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5A5110"/>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7A019B"/>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EF159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82DA1"/>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471951"/>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A1FB6"/>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CD45328"/>
    <w:rsid w:val="3D034D23"/>
    <w:rsid w:val="3D045B29"/>
    <w:rsid w:val="3D25605E"/>
    <w:rsid w:val="3D336678"/>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D67E7F"/>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B813FA"/>
    <w:rsid w:val="43F30C8A"/>
    <w:rsid w:val="440414F6"/>
    <w:rsid w:val="440B1DB5"/>
    <w:rsid w:val="44301EFD"/>
    <w:rsid w:val="44371D56"/>
    <w:rsid w:val="443E59CC"/>
    <w:rsid w:val="444735D4"/>
    <w:rsid w:val="44516AA5"/>
    <w:rsid w:val="4456449F"/>
    <w:rsid w:val="445A0AE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1F1106"/>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4FFD149A"/>
    <w:rsid w:val="50182CF3"/>
    <w:rsid w:val="502344EE"/>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83320"/>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143422"/>
    <w:rsid w:val="6B146AB5"/>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491EE6"/>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1F774A3"/>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B474E3"/>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BA1905"/>
    <w:rsid w:val="77F56A76"/>
    <w:rsid w:val="7805203C"/>
    <w:rsid w:val="780954C8"/>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0396B"/>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8D4628"/>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autoRedefine/>
    <w:qFormat/>
    <w:uiPriority w:val="0"/>
    <w:pPr>
      <w:keepNext/>
      <w:keepLines/>
      <w:spacing w:line="360" w:lineRule="auto"/>
      <w:jc w:val="center"/>
      <w:outlineLvl w:val="0"/>
    </w:pPr>
    <w:rPr>
      <w:b/>
      <w:bCs/>
      <w:kern w:val="44"/>
      <w:sz w:val="32"/>
      <w:szCs w:val="44"/>
    </w:rPr>
  </w:style>
  <w:style w:type="paragraph" w:styleId="4">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ind w:firstLine="420"/>
    </w:pPr>
    <w:rPr>
      <w:szCs w:val="20"/>
    </w:rPr>
  </w:style>
  <w:style w:type="paragraph" w:styleId="8">
    <w:name w:val="Document Map"/>
    <w:basedOn w:val="1"/>
    <w:autoRedefine/>
    <w:qFormat/>
    <w:uiPriority w:val="0"/>
    <w:pPr>
      <w:shd w:val="clear" w:color="auto" w:fill="000080"/>
    </w:pPr>
  </w:style>
  <w:style w:type="paragraph" w:styleId="9">
    <w:name w:val="annotation text"/>
    <w:basedOn w:val="1"/>
    <w:link w:val="37"/>
    <w:autoRedefine/>
    <w:qFormat/>
    <w:uiPriority w:val="0"/>
    <w:pPr>
      <w:jc w:val="left"/>
    </w:pPr>
  </w:style>
  <w:style w:type="paragraph" w:styleId="10">
    <w:name w:val="Body Text"/>
    <w:basedOn w:val="1"/>
    <w:next w:val="1"/>
    <w:autoRedefine/>
    <w:qFormat/>
    <w:uiPriority w:val="0"/>
    <w:pPr>
      <w:spacing w:line="480" w:lineRule="auto"/>
      <w:jc w:val="left"/>
    </w:pPr>
    <w:rPr>
      <w:sz w:val="24"/>
    </w:rPr>
  </w:style>
  <w:style w:type="paragraph" w:styleId="11">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2">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3">
    <w:name w:val="Plain Text"/>
    <w:basedOn w:val="1"/>
    <w:link w:val="38"/>
    <w:autoRedefine/>
    <w:qFormat/>
    <w:uiPriority w:val="0"/>
    <w:rPr>
      <w:rFonts w:ascii="宋体" w:hAnsi="Courier New"/>
      <w:szCs w:val="21"/>
    </w:rPr>
  </w:style>
  <w:style w:type="paragraph" w:styleId="14">
    <w:name w:val="Date"/>
    <w:basedOn w:val="1"/>
    <w:next w:val="1"/>
    <w:link w:val="39"/>
    <w:autoRedefine/>
    <w:qFormat/>
    <w:uiPriority w:val="0"/>
    <w:pPr>
      <w:ind w:left="100" w:leftChars="2500"/>
    </w:pPr>
  </w:style>
  <w:style w:type="paragraph" w:styleId="15">
    <w:name w:val="Balloon Text"/>
    <w:basedOn w:val="1"/>
    <w:link w:val="40"/>
    <w:autoRedefine/>
    <w:qFormat/>
    <w:uiPriority w:val="0"/>
    <w:rPr>
      <w:sz w:val="18"/>
      <w:szCs w:val="18"/>
    </w:rPr>
  </w:style>
  <w:style w:type="paragraph" w:styleId="16">
    <w:name w:val="footer"/>
    <w:basedOn w:val="1"/>
    <w:link w:val="36"/>
    <w:autoRedefine/>
    <w:qFormat/>
    <w:uiPriority w:val="0"/>
    <w:pPr>
      <w:tabs>
        <w:tab w:val="center" w:pos="4140"/>
        <w:tab w:val="right" w:pos="8300"/>
      </w:tabs>
      <w:snapToGrid w:val="0"/>
      <w:jc w:val="left"/>
    </w:pPr>
    <w:rPr>
      <w:kern w:val="0"/>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pPr>
      <w:tabs>
        <w:tab w:val="right" w:leader="dot" w:pos="9420"/>
      </w:tabs>
      <w:spacing w:line="360" w:lineRule="auto"/>
    </w:pPr>
  </w:style>
  <w:style w:type="paragraph" w:styleId="19">
    <w:name w:val="Subtitle"/>
    <w:basedOn w:val="1"/>
    <w:next w:val="1"/>
    <w:link w:val="42"/>
    <w:autoRedefine/>
    <w:qFormat/>
    <w:uiPriority w:val="0"/>
    <w:pPr>
      <w:spacing w:before="240" w:after="60" w:line="312" w:lineRule="auto"/>
      <w:jc w:val="left"/>
      <w:outlineLvl w:val="1"/>
    </w:pPr>
    <w:rPr>
      <w:rFonts w:ascii="Cambria" w:hAnsi="Cambria"/>
      <w:b/>
      <w:bCs/>
      <w:kern w:val="28"/>
      <w:sz w:val="28"/>
      <w:szCs w:val="32"/>
    </w:rPr>
  </w:style>
  <w:style w:type="paragraph" w:styleId="20">
    <w:name w:val="toc 2"/>
    <w:basedOn w:val="1"/>
    <w:next w:val="1"/>
    <w:autoRedefine/>
    <w:qFormat/>
    <w:uiPriority w:val="0"/>
    <w:pPr>
      <w:ind w:left="420" w:leftChars="200"/>
    </w:pPr>
  </w:style>
  <w:style w:type="paragraph" w:styleId="21">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Title"/>
    <w:basedOn w:val="1"/>
    <w:link w:val="43"/>
    <w:autoRedefine/>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44"/>
    <w:autoRedefine/>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ascii="Times New Roman" w:hAnsi="Times New Roman" w:eastAsia="宋体" w:cs="Times New Roman"/>
      <w:b/>
      <w:bCs/>
      <w:sz w:val="28"/>
    </w:rPr>
  </w:style>
  <w:style w:type="character" w:styleId="29">
    <w:name w:val="page number"/>
    <w:autoRedefine/>
    <w:qFormat/>
    <w:uiPriority w:val="0"/>
    <w:rPr>
      <w:rFonts w:ascii="Times New Roman" w:hAnsi="Times New Roman" w:eastAsia="宋体" w:cs="Times New Roman"/>
    </w:rPr>
  </w:style>
  <w:style w:type="character" w:styleId="30">
    <w:name w:val="Emphasis"/>
    <w:autoRedefine/>
    <w:qFormat/>
    <w:uiPriority w:val="0"/>
    <w:rPr>
      <w:rFonts w:ascii="Times New Roman" w:hAnsi="Times New Roman" w:eastAsia="宋体" w:cs="Times New Roman"/>
      <w:i/>
      <w:iCs/>
    </w:rPr>
  </w:style>
  <w:style w:type="character" w:styleId="31">
    <w:name w:val="Hyperlink"/>
    <w:autoRedefine/>
    <w:qFormat/>
    <w:uiPriority w:val="0"/>
    <w:rPr>
      <w:rFonts w:ascii="Times New Roman" w:hAnsi="Times New Roman" w:eastAsia="宋体" w:cs="Times New Roman"/>
      <w:color w:val="0000FF"/>
      <w:u w:val="single"/>
    </w:rPr>
  </w:style>
  <w:style w:type="character" w:styleId="32">
    <w:name w:val="annotation reference"/>
    <w:autoRedefine/>
    <w:qFormat/>
    <w:uiPriority w:val="0"/>
    <w:rPr>
      <w:rFonts w:ascii="Times New Roman" w:hAnsi="Times New Roman" w:eastAsia="宋体" w:cs="Times New Roman"/>
      <w:sz w:val="21"/>
      <w:szCs w:val="21"/>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link w:val="3"/>
    <w:autoRedefine/>
    <w:qFormat/>
    <w:uiPriority w:val="0"/>
    <w:rPr>
      <w:rFonts w:ascii="Times New Roman" w:hAnsi="Times New Roman" w:eastAsia="宋体" w:cs="Times New Roman"/>
      <w:b/>
      <w:bCs/>
      <w:kern w:val="44"/>
      <w:sz w:val="32"/>
      <w:szCs w:val="44"/>
    </w:rPr>
  </w:style>
  <w:style w:type="character" w:customStyle="1" w:styleId="36">
    <w:name w:val="页脚 字符"/>
    <w:link w:val="16"/>
    <w:autoRedefine/>
    <w:qFormat/>
    <w:uiPriority w:val="0"/>
    <w:rPr>
      <w:rFonts w:ascii="Times New Roman" w:hAnsi="Times New Roman" w:eastAsia="宋体" w:cs="Times New Roman"/>
      <w:sz w:val="18"/>
      <w:szCs w:val="18"/>
    </w:rPr>
  </w:style>
  <w:style w:type="character" w:customStyle="1" w:styleId="37">
    <w:name w:val="批注文字 字符"/>
    <w:link w:val="9"/>
    <w:autoRedefine/>
    <w:qFormat/>
    <w:uiPriority w:val="0"/>
    <w:rPr>
      <w:rFonts w:ascii="Times New Roman" w:hAnsi="Times New Roman" w:eastAsia="宋体" w:cs="Times New Roman"/>
      <w:kern w:val="2"/>
      <w:sz w:val="21"/>
      <w:szCs w:val="22"/>
    </w:rPr>
  </w:style>
  <w:style w:type="character" w:customStyle="1" w:styleId="38">
    <w:name w:val="纯文本 字符"/>
    <w:link w:val="13"/>
    <w:autoRedefine/>
    <w:qFormat/>
    <w:uiPriority w:val="0"/>
    <w:rPr>
      <w:rFonts w:ascii="宋体" w:hAnsi="Courier New" w:eastAsia="宋体" w:cs="Times New Roman"/>
      <w:kern w:val="2"/>
      <w:sz w:val="21"/>
      <w:szCs w:val="21"/>
    </w:rPr>
  </w:style>
  <w:style w:type="character" w:customStyle="1" w:styleId="39">
    <w:name w:val="日期 字符"/>
    <w:link w:val="14"/>
    <w:autoRedefine/>
    <w:qFormat/>
    <w:uiPriority w:val="0"/>
    <w:rPr>
      <w:rFonts w:ascii="Times New Roman" w:hAnsi="Times New Roman" w:eastAsia="宋体" w:cs="Times New Roman"/>
      <w:kern w:val="2"/>
      <w:sz w:val="21"/>
      <w:szCs w:val="22"/>
    </w:rPr>
  </w:style>
  <w:style w:type="character" w:customStyle="1" w:styleId="40">
    <w:name w:val="批注框文本 字符"/>
    <w:link w:val="15"/>
    <w:autoRedefine/>
    <w:qFormat/>
    <w:uiPriority w:val="0"/>
    <w:rPr>
      <w:rFonts w:ascii="Times New Roman" w:hAnsi="Times New Roman" w:eastAsia="宋体" w:cs="Times New Roman"/>
      <w:kern w:val="2"/>
      <w:sz w:val="18"/>
      <w:szCs w:val="18"/>
    </w:rPr>
  </w:style>
  <w:style w:type="character" w:customStyle="1" w:styleId="41">
    <w:name w:val="页眉 字符"/>
    <w:link w:val="17"/>
    <w:autoRedefine/>
    <w:qFormat/>
    <w:uiPriority w:val="0"/>
    <w:rPr>
      <w:rFonts w:ascii="Times New Roman" w:hAnsi="Times New Roman" w:eastAsia="宋体" w:cs="Times New Roman"/>
      <w:sz w:val="18"/>
      <w:szCs w:val="18"/>
    </w:rPr>
  </w:style>
  <w:style w:type="character" w:customStyle="1" w:styleId="42">
    <w:name w:val="副标题 字符"/>
    <w:link w:val="19"/>
    <w:autoRedefine/>
    <w:qFormat/>
    <w:uiPriority w:val="0"/>
    <w:rPr>
      <w:rFonts w:ascii="Cambria" w:hAnsi="Cambria" w:eastAsia="宋体" w:cs="Times New Roman"/>
      <w:b/>
      <w:bCs/>
      <w:kern w:val="28"/>
      <w:sz w:val="28"/>
      <w:szCs w:val="32"/>
    </w:rPr>
  </w:style>
  <w:style w:type="character" w:customStyle="1" w:styleId="43">
    <w:name w:val="标题 字符"/>
    <w:link w:val="23"/>
    <w:autoRedefine/>
    <w:qFormat/>
    <w:uiPriority w:val="0"/>
    <w:rPr>
      <w:rFonts w:ascii="Cambria" w:hAnsi="Cambria" w:cs="Times New Roman"/>
      <w:b/>
      <w:bCs/>
      <w:kern w:val="2"/>
      <w:sz w:val="32"/>
      <w:szCs w:val="32"/>
    </w:rPr>
  </w:style>
  <w:style w:type="character" w:customStyle="1" w:styleId="44">
    <w:name w:val="批注主题 字符"/>
    <w:link w:val="24"/>
    <w:autoRedefine/>
    <w:qFormat/>
    <w:uiPriority w:val="0"/>
    <w:rPr>
      <w:rFonts w:ascii="Times New Roman" w:hAnsi="Times New Roman" w:eastAsia="宋体" w:cs="Times New Roman"/>
      <w:b/>
      <w:bCs/>
      <w:kern w:val="2"/>
      <w:sz w:val="21"/>
      <w:szCs w:val="22"/>
    </w:rPr>
  </w:style>
  <w:style w:type="character" w:customStyle="1" w:styleId="45">
    <w:name w:val="font41"/>
    <w:autoRedefine/>
    <w:qFormat/>
    <w:uiPriority w:val="0"/>
    <w:rPr>
      <w:rFonts w:hint="default" w:ascii="Times New Roman" w:hAnsi="Times New Roman" w:eastAsia="宋体" w:cs="Times New Roman"/>
      <w:color w:val="000000"/>
      <w:sz w:val="22"/>
      <w:szCs w:val="22"/>
      <w:u w:val="none"/>
    </w:rPr>
  </w:style>
  <w:style w:type="character" w:customStyle="1" w:styleId="46">
    <w:name w:val="font51"/>
    <w:autoRedefine/>
    <w:qFormat/>
    <w:uiPriority w:val="0"/>
    <w:rPr>
      <w:rFonts w:hint="eastAsia" w:ascii="宋体" w:hAnsi="宋体" w:eastAsia="宋体" w:cs="宋体"/>
      <w:color w:val="000000"/>
      <w:sz w:val="22"/>
      <w:szCs w:val="22"/>
      <w:u w:val="none"/>
    </w:rPr>
  </w:style>
  <w:style w:type="character" w:customStyle="1" w:styleId="47">
    <w:name w:val="font61"/>
    <w:autoRedefine/>
    <w:qFormat/>
    <w:uiPriority w:val="0"/>
    <w:rPr>
      <w:rFonts w:hint="eastAsia" w:ascii="宋体" w:hAnsi="宋体" w:eastAsia="宋体" w:cs="宋体"/>
      <w:b/>
      <w:color w:val="000000"/>
      <w:sz w:val="18"/>
      <w:szCs w:val="18"/>
      <w:u w:val="none"/>
    </w:rPr>
  </w:style>
  <w:style w:type="character" w:customStyle="1" w:styleId="48">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49">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0">
    <w:name w:val="font11"/>
    <w:autoRedefine/>
    <w:qFormat/>
    <w:uiPriority w:val="0"/>
    <w:rPr>
      <w:rFonts w:hint="default" w:ascii="Times New Roman" w:hAnsi="Times New Roman" w:eastAsia="宋体" w:cs="Times New Roman"/>
      <w:color w:val="000000"/>
      <w:sz w:val="22"/>
      <w:szCs w:val="22"/>
      <w:u w:val="none"/>
    </w:rPr>
  </w:style>
  <w:style w:type="character" w:customStyle="1" w:styleId="51">
    <w:name w:val="font21"/>
    <w:autoRedefine/>
    <w:qFormat/>
    <w:uiPriority w:val="0"/>
    <w:rPr>
      <w:rFonts w:hint="default" w:ascii="Times New Roman" w:hAnsi="Times New Roman" w:eastAsia="宋体" w:cs="Times New Roman"/>
      <w:color w:val="000000"/>
      <w:sz w:val="22"/>
      <w:szCs w:val="22"/>
      <w:u w:val="none"/>
    </w:rPr>
  </w:style>
  <w:style w:type="character" w:customStyle="1" w:styleId="52">
    <w:name w:val="纯文本 Char1"/>
    <w:autoRedefine/>
    <w:qFormat/>
    <w:uiPriority w:val="0"/>
    <w:rPr>
      <w:rFonts w:ascii="宋体" w:hAnsi="Courier New" w:eastAsia="宋体" w:cs="Times New Roman"/>
      <w:kern w:val="2"/>
      <w:sz w:val="21"/>
      <w:szCs w:val="21"/>
      <w:lang w:val="en-US" w:eastAsia="zh-CN" w:bidi="ar-SA"/>
    </w:rPr>
  </w:style>
  <w:style w:type="character" w:customStyle="1" w:styleId="53">
    <w:name w:val="页眉 Char1"/>
    <w:autoRedefine/>
    <w:qFormat/>
    <w:uiPriority w:val="0"/>
    <w:rPr>
      <w:rFonts w:ascii="Times New Roman" w:hAnsi="Times New Roman" w:eastAsia="宋体" w:cs="Times New Roman"/>
      <w:sz w:val="18"/>
      <w:szCs w:val="18"/>
    </w:rPr>
  </w:style>
  <w:style w:type="character" w:customStyle="1" w:styleId="54">
    <w:name w:val="font31"/>
    <w:autoRedefine/>
    <w:qFormat/>
    <w:uiPriority w:val="0"/>
    <w:rPr>
      <w:rFonts w:hint="eastAsia" w:ascii="宋体" w:hAnsi="宋体" w:eastAsia="宋体" w:cs="宋体"/>
      <w:color w:val="000000"/>
      <w:sz w:val="22"/>
      <w:szCs w:val="22"/>
      <w:u w:val="none"/>
    </w:rPr>
  </w:style>
  <w:style w:type="paragraph" w:customStyle="1" w:styleId="55">
    <w:name w:val="p0"/>
    <w:basedOn w:val="1"/>
    <w:autoRedefine/>
    <w:qFormat/>
    <w:uiPriority w:val="0"/>
    <w:pPr>
      <w:widowControl/>
      <w:jc w:val="left"/>
    </w:pPr>
    <w:rPr>
      <w:rFonts w:ascii="宋体" w:hAnsi="宋体" w:cs="宋体"/>
      <w:kern w:val="0"/>
      <w:sz w:val="24"/>
      <w:szCs w:val="24"/>
    </w:rPr>
  </w:style>
  <w:style w:type="paragraph" w:customStyle="1" w:styleId="56">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3"/>
    <w:basedOn w:val="1"/>
    <w:autoRedefine/>
    <w:qFormat/>
    <w:uiPriority w:val="0"/>
    <w:pPr>
      <w:spacing w:line="480" w:lineRule="auto"/>
      <w:jc w:val="left"/>
    </w:pPr>
    <w:rPr>
      <w:sz w:val="24"/>
    </w:rPr>
  </w:style>
  <w:style w:type="paragraph" w:customStyle="1" w:styleId="59">
    <w:name w:val="列表段落1"/>
    <w:basedOn w:val="1"/>
    <w:autoRedefine/>
    <w:qFormat/>
    <w:uiPriority w:val="0"/>
    <w:pPr>
      <w:ind w:firstLine="420" w:firstLineChars="200"/>
    </w:pPr>
  </w:style>
  <w:style w:type="paragraph" w:customStyle="1" w:styleId="60">
    <w:name w:val="Char Char Char Char Char Char Char"/>
    <w:basedOn w:val="8"/>
    <w:autoRedefine/>
    <w:qFormat/>
    <w:uiPriority w:val="0"/>
    <w:pPr>
      <w:adjustRightInd w:val="0"/>
      <w:spacing w:line="436" w:lineRule="exact"/>
      <w:ind w:left="357"/>
      <w:jc w:val="left"/>
      <w:outlineLvl w:val="3"/>
    </w:pPr>
  </w:style>
  <w:style w:type="paragraph" w:customStyle="1" w:styleId="61">
    <w:name w:val="列出段落1"/>
    <w:basedOn w:val="1"/>
    <w:autoRedefine/>
    <w:qFormat/>
    <w:uiPriority w:val="0"/>
    <w:pPr>
      <w:ind w:firstLine="420" w:firstLineChars="200"/>
    </w:pPr>
    <w:rPr>
      <w:rFonts w:ascii="Calibri" w:hAnsi="Calibri"/>
    </w:rPr>
  </w:style>
  <w:style w:type="paragraph" w:customStyle="1" w:styleId="62">
    <w:name w:val="_Style 57"/>
    <w:basedOn w:val="3"/>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3">
    <w:name w:val="正文文本1"/>
    <w:basedOn w:val="1"/>
    <w:autoRedefine/>
    <w:qFormat/>
    <w:uiPriority w:val="0"/>
    <w:pPr>
      <w:spacing w:line="480" w:lineRule="auto"/>
      <w:jc w:val="left"/>
      <w:textAlignment w:val="baseline"/>
    </w:pPr>
    <w:rPr>
      <w:sz w:val="24"/>
    </w:rPr>
  </w:style>
  <w:style w:type="paragraph" w:customStyle="1" w:styleId="64">
    <w:name w:val="正文字缩2字"/>
    <w:basedOn w:val="1"/>
    <w:autoRedefine/>
    <w:qFormat/>
    <w:uiPriority w:val="0"/>
    <w:pPr>
      <w:spacing w:before="60" w:after="60" w:line="360" w:lineRule="auto"/>
      <w:ind w:left="200" w:leftChars="200" w:firstLine="200" w:firstLineChars="200"/>
    </w:pPr>
    <w:rPr>
      <w:sz w:val="24"/>
    </w:rPr>
  </w:style>
  <w:style w:type="paragraph" w:customStyle="1" w:styleId="65">
    <w:name w:val="正文文本11"/>
    <w:basedOn w:val="1"/>
    <w:autoRedefine/>
    <w:qFormat/>
    <w:uiPriority w:val="0"/>
    <w:pPr>
      <w:spacing w:line="480" w:lineRule="auto"/>
      <w:jc w:val="left"/>
    </w:pPr>
    <w:rPr>
      <w:sz w:val="24"/>
    </w:rPr>
  </w:style>
  <w:style w:type="paragraph" w:customStyle="1" w:styleId="66">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7">
    <w:name w:val="Table Paragraph"/>
    <w:basedOn w:val="1"/>
    <w:autoRedefine/>
    <w:qFormat/>
    <w:uiPriority w:val="0"/>
  </w:style>
  <w:style w:type="paragraph" w:customStyle="1" w:styleId="68">
    <w:name w:val="UserStyle_0"/>
    <w:basedOn w:val="1"/>
    <w:autoRedefine/>
    <w:qFormat/>
    <w:uiPriority w:val="0"/>
    <w:pPr>
      <w:spacing w:line="480" w:lineRule="auto"/>
      <w:jc w:val="left"/>
      <w:textAlignment w:val="baseline"/>
    </w:pPr>
    <w:rPr>
      <w:sz w:val="24"/>
    </w:rPr>
  </w:style>
  <w:style w:type="paragraph" w:customStyle="1" w:styleId="69">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2"/>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3">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4">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5">
    <w:name w:val="合同一级标题"/>
    <w:basedOn w:val="23"/>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6">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7">
    <w:name w:val="合同三级标题"/>
    <w:basedOn w:val="1"/>
    <w:next w:val="74"/>
    <w:link w:val="79"/>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8">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9">
    <w:name w:val="合同三级标题 Char1"/>
    <w:link w:val="77"/>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0">
    <w:name w:val="常用正文"/>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1">
    <w:name w:val="缺省文本"/>
    <w:basedOn w:val="1"/>
    <w:autoRedefine/>
    <w:qFormat/>
    <w:uiPriority w:val="0"/>
    <w:pPr>
      <w:autoSpaceDE w:val="0"/>
      <w:autoSpaceDN w:val="0"/>
      <w:adjustRightInd w:val="0"/>
      <w:jc w:val="left"/>
    </w:pPr>
    <w:rPr>
      <w:kern w:val="0"/>
      <w:sz w:val="24"/>
    </w:rPr>
  </w:style>
  <w:style w:type="paragraph" w:customStyle="1" w:styleId="8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4007</Words>
  <Characters>4308</Characters>
  <Lines>1</Lines>
  <Paragraphs>1</Paragraphs>
  <TotalTime>25</TotalTime>
  <ScaleCrop>false</ScaleCrop>
  <LinksUpToDate>false</LinksUpToDate>
  <CharactersWithSpaces>4462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魏军</cp:lastModifiedBy>
  <cp:lastPrinted>2021-10-14T00:57:00Z</cp:lastPrinted>
  <dcterms:modified xsi:type="dcterms:W3CDTF">2025-12-12T08:09:42Z</dcterms:modified>
  <dc:title>第一章  询 价 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18E66945C7AD436FB647B6C55C2145A0_13</vt:lpwstr>
  </property>
  <property fmtid="{D5CDD505-2E9C-101B-9397-08002B2CF9AE}" pid="4" name="KSOTemplateDocerSaveRecord">
    <vt:lpwstr>eyJoZGlkIjoiYmE3MzNlODIyNTdmZDI0Zjg5YTc4NGExNGEyYWYxMjUiLCJ1c2VySWQiOiIxNDc5MTExODA5In0=</vt:lpwstr>
  </property>
</Properties>
</file>