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  <w:lang w:eastAsia="zh-CN"/>
        </w:rPr>
      </w:pPr>
      <w:r>
        <w:rPr>
          <w:rFonts w:hint="eastAsia" w:ascii="华文中宋" w:hAnsi="华文中宋" w:eastAsia="华文中宋"/>
          <w:sz w:val="40"/>
          <w:szCs w:val="21"/>
          <w:lang w:eastAsia="zh-CN"/>
        </w:rPr>
        <w:t>湖北机场集团行政综合管理信息平台信创改造及优化升级项目</w:t>
      </w:r>
      <w:r>
        <w:rPr>
          <w:rFonts w:hint="eastAsia" w:ascii="华文中宋" w:hAnsi="华文中宋" w:eastAsia="华文中宋"/>
          <w:sz w:val="40"/>
          <w:szCs w:val="21"/>
        </w:rPr>
        <w:t>成交结果</w:t>
      </w:r>
      <w:r>
        <w:rPr>
          <w:rFonts w:hint="eastAsia" w:ascii="华文中宋" w:hAnsi="华文中宋" w:eastAsia="华文中宋"/>
          <w:sz w:val="40"/>
          <w:szCs w:val="21"/>
          <w:lang w:val="en-US" w:eastAsia="zh-CN"/>
        </w:rPr>
        <w:t>公示</w:t>
      </w:r>
    </w:p>
    <w:p w14:paraId="5D68928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D2748E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项目名称：湖北机场集团行政综合管理信息平台信创改造及优化升级项目</w:t>
      </w:r>
    </w:p>
    <w:p w14:paraId="4E4D264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中标人：中天智航（湖北）信息技术有限公司</w:t>
      </w:r>
    </w:p>
    <w:p w14:paraId="017C8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中标金额：3244880.00（元）</w:t>
      </w:r>
    </w:p>
    <w:p w14:paraId="439DDE6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3C9D5F0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1．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湖北机场集团有限公司</w:t>
      </w:r>
    </w:p>
    <w:p w14:paraId="3BC0233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单位地址：武汉市黄陂区天河镇</w:t>
      </w:r>
    </w:p>
    <w:p w14:paraId="5CEF5B3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2．招标代理机构：湖北国华项目管理咨询有限公司</w:t>
      </w:r>
    </w:p>
    <w:p w14:paraId="621334C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单位地址：武汉市武昌区中北路109号中铁1818中心10楼</w:t>
      </w:r>
    </w:p>
    <w:p w14:paraId="6A9A213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吴娅、程盼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刘素芳、余轶菲、王刚、万齐威</w:t>
      </w:r>
    </w:p>
    <w:p w14:paraId="4170288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邮政编码：430071</w:t>
      </w:r>
    </w:p>
    <w:p w14:paraId="40DB964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话：027-87272701</w:t>
      </w:r>
    </w:p>
    <w:p w14:paraId="3CAC20B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湖北国华项目管理咨询有限公司</w:t>
      </w:r>
    </w:p>
    <w:p w14:paraId="58FBE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31032A9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51068083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69F75EA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580DFB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湖北机场集团行政综合管理信息平台信创改造及优化升级项目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湖北国华项目管理咨询有限公司7号会议室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武汉市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武昌区中北路109号中铁1818中心10楼）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2194"/>
        <w:gridCol w:w="2213"/>
        <w:gridCol w:w="2349"/>
      </w:tblGrid>
      <w:tr w14:paraId="2A1A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49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1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21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554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F09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55DA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8A0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1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5C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中天智航（湖北）信息技术有限公司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FFA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泛微网络科技股份有限公司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E2E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武汉市德发电子信息有限责任公司</w:t>
            </w:r>
          </w:p>
        </w:tc>
      </w:tr>
      <w:tr w14:paraId="2307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0D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259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4880.00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064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2800000.00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C3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3270000.00</w:t>
            </w:r>
          </w:p>
        </w:tc>
      </w:tr>
      <w:tr w14:paraId="5DA2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BA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质量（如有）</w:t>
            </w:r>
          </w:p>
        </w:tc>
        <w:tc>
          <w:tcPr>
            <w:tcW w:w="21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93F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B292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75C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4F4F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1E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1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0E0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自合同签订9个月内系统竣工验收并正式移交运维。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491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自合同签订9个月内系统竣工验收并正式移交运维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4B7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自合同签订9个月内系统竣工验收并正式移交运维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7F1F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8E84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219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BF5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3年，自采购人终验验收合格（以采购人签发验收合格报告之日为准）的次日起计算。</w:t>
            </w:r>
          </w:p>
        </w:tc>
        <w:tc>
          <w:tcPr>
            <w:tcW w:w="22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4C4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年，自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终验验收合格（以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签发验收合格报告之日为准）的次日起计算。</w:t>
            </w:r>
          </w:p>
        </w:tc>
        <w:tc>
          <w:tcPr>
            <w:tcW w:w="23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548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年，自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终验验收合格（以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签发验收合格报告之日为准）的次日起计算。</w:t>
            </w:r>
          </w:p>
        </w:tc>
      </w:tr>
    </w:tbl>
    <w:p w14:paraId="65673F6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武汉通威电子有限公司：业绩没有提供发票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2F67A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TSongStd-Light-UniGB-UCS2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7C9C"/>
    <w:rsid w:val="0CEE36F9"/>
    <w:rsid w:val="0FFD54BA"/>
    <w:rsid w:val="10F13271"/>
    <w:rsid w:val="15C02BF3"/>
    <w:rsid w:val="167A5AB7"/>
    <w:rsid w:val="1D23791B"/>
    <w:rsid w:val="31D8734C"/>
    <w:rsid w:val="48234CDC"/>
    <w:rsid w:val="579705E9"/>
    <w:rsid w:val="5A930699"/>
    <w:rsid w:val="5AA224B3"/>
    <w:rsid w:val="668D702C"/>
    <w:rsid w:val="66B236F6"/>
    <w:rsid w:val="68AA2E7B"/>
    <w:rsid w:val="6B694ECD"/>
    <w:rsid w:val="6F8F4676"/>
    <w:rsid w:val="788C5ACE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4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711</Characters>
  <Lines>0</Lines>
  <Paragraphs>0</Paragraphs>
  <TotalTime>1</TotalTime>
  <ScaleCrop>false</ScaleCrop>
  <LinksUpToDate>false</LinksUpToDate>
  <CharactersWithSpaces>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2024-12-12T08:48:00Z</dcterms:created>
  <dc:creator>Administrator</dc:creator>
  <cp:lastModifiedBy>WuYa</cp:lastModifiedBy>
  <dcterms:modified xsi:type="dcterms:W3CDTF">2025-12-16T02:19:17Z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2290B2EC834F47F29B85CBC99D1C754A_12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