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1"/>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5B885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B8854F8">
            <w:pPr>
              <w:pStyle w:val="21"/>
              <w:framePr w:wrap="notBeside" w:vAnchor="page" w:hAnchor="page" w:x="1372" w:y="568"/>
              <w:tabs>
                <w:tab w:val="clear" w:pos="4153"/>
                <w:tab w:val="clear" w:pos="8306"/>
              </w:tabs>
              <w:spacing w:line="240" w:lineRule="auto"/>
              <w:jc w:val="left"/>
              <w:rPr>
                <w:rFonts w:ascii="黑体" w:hAnsi="黑体" w:eastAsia="黑体"/>
                <w:color w:val="000000" w:themeColor="text1"/>
                <w:sz w:val="21"/>
                <w:szCs w:val="21"/>
                <w14:textFill>
                  <w14:solidFill>
                    <w14:schemeClr w14:val="tx1"/>
                  </w14:solidFill>
                </w14:textFill>
              </w:rPr>
            </w:pPr>
            <w:r>
              <w:rPr>
                <w:rFonts w:ascii="Times New Roman" w:hAnsi="Times New Roman" w:eastAsia="黑体"/>
                <w:color w:val="000000" w:themeColor="text1"/>
                <w:sz w:val="21"/>
                <w:szCs w:val="21"/>
                <w14:textFill>
                  <w14:solidFill>
                    <w14:schemeClr w14:val="tx1"/>
                  </w14:solidFill>
                </w14:textFill>
              </w:rPr>
              <w:t>ICS</w:t>
            </w:r>
          </w:p>
        </w:tc>
        <w:tc>
          <w:tcPr>
            <w:tcW w:w="8855" w:type="dxa"/>
          </w:tcPr>
          <w:p w14:paraId="5B8854F9">
            <w:pPr>
              <w:pStyle w:val="21"/>
              <w:framePr w:wrap="notBeside" w:vAnchor="page" w:hAnchor="page" w:x="1372" w:y="568"/>
              <w:tabs>
                <w:tab w:val="clear" w:pos="4153"/>
                <w:tab w:val="clear" w:pos="8306"/>
              </w:tabs>
              <w:spacing w:line="240" w:lineRule="auto"/>
              <w:jc w:val="both"/>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fldChar w:fldCharType="begin">
                <w:ffData>
                  <w:name w:val="ICS"/>
                  <w:enabled/>
                  <w:calcOnExit w:val="0"/>
                  <w:textInput>
                    <w:default w:val="49.020"/>
                  </w:textInput>
                </w:ffData>
              </w:fldChar>
            </w:r>
            <w:bookmarkStart w:id="0" w:name="ICS"/>
            <w:r>
              <w:rPr>
                <w:rFonts w:ascii="黑体" w:hAnsi="黑体" w:eastAsia="黑体"/>
                <w:color w:val="000000" w:themeColor="text1"/>
                <w:sz w:val="21"/>
                <w:szCs w:val="21"/>
                <w14:textFill>
                  <w14:solidFill>
                    <w14:schemeClr w14:val="tx1"/>
                  </w14:solidFill>
                </w14:textFill>
              </w:rPr>
              <w:instrText xml:space="preserve"> FORMTEXT </w:instrText>
            </w:r>
            <w:r>
              <w:rPr>
                <w:rFonts w:ascii="黑体" w:hAnsi="黑体" w:eastAsia="黑体"/>
                <w:color w:val="000000" w:themeColor="text1"/>
                <w:sz w:val="21"/>
                <w:szCs w:val="21"/>
                <w14:textFill>
                  <w14:solidFill>
                    <w14:schemeClr w14:val="tx1"/>
                  </w14:solidFill>
                </w14:textFill>
              </w:rPr>
              <w:fldChar w:fldCharType="separate"/>
            </w:r>
            <w:r>
              <w:rPr>
                <w:rFonts w:ascii="黑体" w:hAnsi="黑体" w:eastAsia="黑体"/>
                <w:color w:val="000000" w:themeColor="text1"/>
                <w:sz w:val="21"/>
                <w:szCs w:val="21"/>
                <w14:textFill>
                  <w14:solidFill>
                    <w14:schemeClr w14:val="tx1"/>
                  </w14:solidFill>
                </w14:textFill>
              </w:rPr>
              <w:t>49.020</w:t>
            </w:r>
            <w:r>
              <w:rPr>
                <w:rFonts w:ascii="黑体" w:hAnsi="黑体" w:eastAsia="黑体"/>
                <w:color w:val="000000" w:themeColor="text1"/>
                <w:sz w:val="21"/>
                <w:szCs w:val="21"/>
                <w14:textFill>
                  <w14:solidFill>
                    <w14:schemeClr w14:val="tx1"/>
                  </w14:solidFill>
                </w14:textFill>
              </w:rPr>
              <w:fldChar w:fldCharType="end"/>
            </w:r>
            <w:bookmarkEnd w:id="0"/>
          </w:p>
        </w:tc>
      </w:tr>
      <w:tr w14:paraId="5B885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B8854FB">
            <w:pPr>
              <w:pStyle w:val="21"/>
              <w:framePr w:wrap="notBeside" w:vAnchor="page" w:hAnchor="page" w:x="1372" w:y="568"/>
              <w:tabs>
                <w:tab w:val="clear" w:pos="4153"/>
                <w:tab w:val="clear" w:pos="8306"/>
              </w:tabs>
              <w:spacing w:before="40" w:line="240" w:lineRule="auto"/>
              <w:jc w:val="left"/>
              <w:rPr>
                <w:rFonts w:ascii="黑体" w:hAnsi="黑体" w:eastAsia="黑体"/>
                <w:color w:val="000000" w:themeColor="text1"/>
                <w:sz w:val="21"/>
                <w:szCs w:val="21"/>
                <w14:textFill>
                  <w14:solidFill>
                    <w14:schemeClr w14:val="tx1"/>
                  </w14:solidFill>
                </w14:textFill>
              </w:rPr>
            </w:pPr>
            <w:r>
              <w:rPr>
                <w:rFonts w:ascii="Times New Roman" w:hAnsi="Times New Roman" w:eastAsia="黑体"/>
                <w:color w:val="000000" w:themeColor="text1"/>
                <w:sz w:val="21"/>
                <w:szCs w:val="21"/>
                <w14:textFill>
                  <w14:solidFill>
                    <w14:schemeClr w14:val="tx1"/>
                  </w14:solidFill>
                </w14:textFill>
              </w:rPr>
              <w:t>CCS</w:t>
            </w:r>
          </w:p>
        </w:tc>
        <w:tc>
          <w:tcPr>
            <w:tcW w:w="8855" w:type="dxa"/>
          </w:tcPr>
          <w:p w14:paraId="5B8854FC">
            <w:pPr>
              <w:pStyle w:val="21"/>
              <w:framePr w:wrap="notBeside" w:vAnchor="page" w:hAnchor="page" w:x="1372" w:y="568"/>
              <w:tabs>
                <w:tab w:val="clear" w:pos="4153"/>
                <w:tab w:val="clear" w:pos="8306"/>
              </w:tabs>
              <w:spacing w:before="40" w:line="240" w:lineRule="auto"/>
              <w:jc w:val="left"/>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fldChar w:fldCharType="begin">
                <w:ffData>
                  <w:name w:val="CSDN"/>
                  <w:enabled/>
                  <w:calcOnExit w:val="0"/>
                  <w:textInput>
                    <w:default w:val="V 54"/>
                  </w:textInput>
                </w:ffData>
              </w:fldChar>
            </w:r>
            <w:bookmarkStart w:id="1" w:name="CSDN"/>
            <w:r>
              <w:rPr>
                <w:rFonts w:ascii="黑体" w:hAnsi="黑体" w:eastAsia="黑体"/>
                <w:color w:val="000000" w:themeColor="text1"/>
                <w:sz w:val="21"/>
                <w:szCs w:val="21"/>
                <w14:textFill>
                  <w14:solidFill>
                    <w14:schemeClr w14:val="tx1"/>
                  </w14:solidFill>
                </w14:textFill>
              </w:rPr>
              <w:instrText xml:space="preserve"> FORMTEXT </w:instrText>
            </w:r>
            <w:r>
              <w:rPr>
                <w:rFonts w:ascii="黑体" w:hAnsi="黑体" w:eastAsia="黑体"/>
                <w:color w:val="000000" w:themeColor="text1"/>
                <w:sz w:val="21"/>
                <w:szCs w:val="21"/>
                <w14:textFill>
                  <w14:solidFill>
                    <w14:schemeClr w14:val="tx1"/>
                  </w14:solidFill>
                </w14:textFill>
              </w:rPr>
              <w:fldChar w:fldCharType="separate"/>
            </w:r>
            <w:r>
              <w:rPr>
                <w:rFonts w:ascii="黑体" w:hAnsi="黑体" w:eastAsia="黑体"/>
                <w:color w:val="000000" w:themeColor="text1"/>
                <w:sz w:val="21"/>
                <w:szCs w:val="21"/>
                <w14:textFill>
                  <w14:solidFill>
                    <w14:schemeClr w14:val="tx1"/>
                  </w14:solidFill>
                </w14:textFill>
              </w:rPr>
              <w:t>V 54</w:t>
            </w:r>
            <w:r>
              <w:rPr>
                <w:rFonts w:ascii="黑体" w:hAnsi="黑体" w:eastAsia="黑体"/>
                <w:color w:val="000000" w:themeColor="text1"/>
                <w:sz w:val="21"/>
                <w:szCs w:val="21"/>
                <w14:textFill>
                  <w14:solidFill>
                    <w14:schemeClr w14:val="tx1"/>
                  </w14:solidFill>
                </w14:textFill>
              </w:rPr>
              <w:fldChar w:fldCharType="end"/>
            </w:r>
            <w:bookmarkEnd w:id="1"/>
          </w:p>
        </w:tc>
      </w:tr>
    </w:tbl>
    <w:tbl>
      <w:tblPr>
        <w:tblStyle w:val="31"/>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5B8854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5B8854FE">
            <w:pPr>
              <w:pStyle w:val="54"/>
              <w:framePr w:w="0" w:hRule="auto" w:wrap="auto" w:vAnchor="margin" w:hAnchor="text" w:xAlign="left" w:yAlign="inline"/>
              <w:widowControl w:val="0"/>
              <w:rPr>
                <w:rFonts w:ascii="宋体" w:hAnsi="宋体"/>
                <w:color w:val="000000" w:themeColor="text1"/>
                <w:sz w:val="28"/>
                <w:szCs w:val="28"/>
                <w14:textFill>
                  <w14:solidFill>
                    <w14:schemeClr w14:val="tx1"/>
                  </w14:solidFill>
                </w14:textFill>
              </w:rPr>
            </w:pPr>
            <w:bookmarkStart w:id="2" w:name="_Hlk26473981"/>
            <w:r>
              <w:rPr>
                <w:color w:val="000000" w:themeColor="text1"/>
                <w14:textFill>
                  <w14:solidFill>
                    <w14:schemeClr w14:val="tx1"/>
                  </w14:solidFill>
                </w14:textFill>
              </w:rP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color w:val="000000" w:themeColor="text1"/>
                <w14:textFill>
                  <w14:solidFill>
                    <w14:schemeClr w14:val="tx1"/>
                  </w14:solidFill>
                </w14:textFill>
              </w:rPr>
              <w:fldChar w:fldCharType="begin">
                <w:ffData>
                  <w:name w:val="c1"/>
                  <w:enabled/>
                  <w:calcOnExit w:val="0"/>
                  <w:textInput>
                    <w:maxLength w:val="8"/>
                  </w:textInput>
                </w:ffData>
              </w:fldChar>
            </w:r>
            <w:bookmarkStart w:id="3" w:name="c1"/>
            <w:r>
              <w:rPr>
                <w:color w:val="000000" w:themeColor="text1"/>
                <w14:textFill>
                  <w14:solidFill>
                    <w14:schemeClr w14:val="tx1"/>
                  </w14:solidFill>
                </w14:textFill>
              </w:rPr>
              <w:instrText xml:space="preserve"> FORMTEXT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42</w:t>
            </w:r>
            <w:r>
              <w:rPr>
                <w:color w:val="000000" w:themeColor="text1"/>
                <w14:textFill>
                  <w14:solidFill>
                    <w14:schemeClr w14:val="tx1"/>
                  </w14:solidFill>
                </w14:textFill>
              </w:rPr>
              <w:fldChar w:fldCharType="end"/>
            </w:r>
            <w:bookmarkEnd w:id="3"/>
          </w:p>
        </w:tc>
      </w:tr>
    </w:tbl>
    <w:p w14:paraId="5B885500">
      <w:pPr>
        <w:pStyle w:val="55"/>
        <w:framePr w:w="9639" w:h="624" w:hRule="exact" w:hSpace="181" w:vSpace="181" w:wrap="around" w:hAnchor="page" w:x="1305" w:y="2269"/>
        <w:rPr>
          <w:rFonts w:ascii="黑体" w:hAnsi="黑体" w:eastAsia="黑体"/>
          <w:b w:val="0"/>
          <w:bCs w:val="0"/>
          <w:color w:val="000000" w:themeColor="text1"/>
          <w:w w:val="100"/>
          <w:sz w:val="48"/>
          <w:szCs w:val="48"/>
          <w14:textFill>
            <w14:solidFill>
              <w14:schemeClr w14:val="tx1"/>
            </w14:solidFill>
          </w14:textFill>
        </w:rPr>
      </w:pPr>
      <w:r>
        <w:rPr>
          <w:rFonts w:ascii="黑体" w:eastAsia="黑体"/>
          <w:b w:val="0"/>
          <w:color w:val="000000" w:themeColor="text1"/>
          <w:w w:val="100"/>
          <w:sz w:val="48"/>
          <w14:textFill>
            <w14:solidFill>
              <w14:schemeClr w14:val="tx1"/>
            </w14:solidFill>
          </w14:textFill>
        </w:rPr>
        <w:fldChar w:fldCharType="begin">
          <w:ffData>
            <w:name w:val="c2"/>
            <w:enabled/>
            <w:calcOnExit w:val="0"/>
            <w:textInput/>
          </w:ffData>
        </w:fldChar>
      </w:r>
      <w:bookmarkStart w:id="4" w:name="c2"/>
      <w:r>
        <w:rPr>
          <w:rFonts w:ascii="黑体" w:eastAsia="黑体"/>
          <w:b w:val="0"/>
          <w:color w:val="000000" w:themeColor="text1"/>
          <w:w w:val="100"/>
          <w:sz w:val="48"/>
          <w14:textFill>
            <w14:solidFill>
              <w14:schemeClr w14:val="tx1"/>
            </w14:solidFill>
          </w14:textFill>
        </w:rPr>
        <w:instrText xml:space="preserve"> FORMTEXT </w:instrText>
      </w:r>
      <w:r>
        <w:rPr>
          <w:rFonts w:ascii="黑体" w:eastAsia="黑体"/>
          <w:b w:val="0"/>
          <w:color w:val="000000" w:themeColor="text1"/>
          <w:w w:val="100"/>
          <w:sz w:val="48"/>
          <w14:textFill>
            <w14:solidFill>
              <w14:schemeClr w14:val="tx1"/>
            </w14:solidFill>
          </w14:textFill>
        </w:rPr>
        <w:fldChar w:fldCharType="separate"/>
      </w:r>
      <w:r>
        <w:rPr>
          <w:rFonts w:hint="eastAsia" w:ascii="黑体" w:eastAsia="黑体"/>
          <w:b w:val="0"/>
          <w:color w:val="000000" w:themeColor="text1"/>
          <w:w w:val="100"/>
          <w:sz w:val="48"/>
          <w14:textFill>
            <w14:solidFill>
              <w14:schemeClr w14:val="tx1"/>
            </w14:solidFill>
          </w14:textFill>
        </w:rPr>
        <w:t>湖北省</w:t>
      </w:r>
      <w:r>
        <w:rPr>
          <w:rFonts w:ascii="黑体" w:eastAsia="黑体"/>
          <w:b w:val="0"/>
          <w:color w:val="000000" w:themeColor="text1"/>
          <w:w w:val="100"/>
          <w:sz w:val="48"/>
          <w14:textFill>
            <w14:solidFill>
              <w14:schemeClr w14:val="tx1"/>
            </w14:solidFill>
          </w14:textFill>
        </w:rPr>
        <w:fldChar w:fldCharType="end"/>
      </w:r>
      <w:bookmarkEnd w:id="4"/>
      <w:r>
        <w:rPr>
          <w:rFonts w:hint="eastAsia" w:ascii="黑体" w:hAnsi="黑体" w:eastAsia="黑体"/>
          <w:b w:val="0"/>
          <w:bCs w:val="0"/>
          <w:color w:val="000000" w:themeColor="text1"/>
          <w:w w:val="100"/>
          <w:sz w:val="48"/>
          <w:szCs w:val="48"/>
          <w14:textFill>
            <w14:solidFill>
              <w14:schemeClr w14:val="tx1"/>
            </w14:solidFill>
          </w14:textFill>
        </w:rPr>
        <w:t>地方标准</w:t>
      </w:r>
    </w:p>
    <w:bookmarkEnd w:id="2"/>
    <w:p w14:paraId="5B885501">
      <w:pPr>
        <w:pStyle w:val="200"/>
        <w:framePr/>
        <w:widowControl w:val="0"/>
        <w:wordWrap/>
        <w:rPr>
          <w:color w:val="000000" w:themeColor="text1"/>
          <w:lang w:val="fr-FR"/>
          <w14:textFill>
            <w14:solidFill>
              <w14:schemeClr w14:val="tx1"/>
            </w14:solidFill>
          </w14:textFill>
        </w:rPr>
      </w:pPr>
      <w:r>
        <w:rPr>
          <w:color w:val="000000" w:themeColor="text1"/>
          <w:lang w:val="fr-FR"/>
          <w14:textFill>
            <w14:solidFill>
              <w14:schemeClr w14:val="tx1"/>
            </w14:solidFill>
          </w14:textFill>
        </w:rPr>
        <w:t>DB</w:t>
      </w:r>
      <w:r>
        <w:rPr>
          <w:color w:val="000000" w:themeColor="text1"/>
          <w14:textFill>
            <w14:solidFill>
              <w14:schemeClr w14:val="tx1"/>
            </w14:solidFill>
          </w14:textFill>
        </w:rPr>
        <w:fldChar w:fldCharType="begin">
          <w:ffData>
            <w:name w:val="文字1"/>
            <w:enabled/>
            <w:calcOnExit w:val="0"/>
            <w:textInput>
              <w:default w:val="XX/T"/>
            </w:textInput>
          </w:ffData>
        </w:fldChar>
      </w:r>
      <w:bookmarkStart w:id="5" w:name="文字1"/>
      <w:r>
        <w:rPr>
          <w:color w:val="000000" w:themeColor="text1"/>
          <w:lang w:val="fr-FR"/>
          <w14:textFill>
            <w14:solidFill>
              <w14:schemeClr w14:val="tx1"/>
            </w14:solidFill>
          </w14:textFill>
        </w:rPr>
        <w:instrText xml:space="preserve"> FORMTEXT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42</w:t>
      </w:r>
      <w:r>
        <w:rPr>
          <w:color w:val="000000" w:themeColor="text1"/>
          <w:lang w:val="fr-FR"/>
          <w14:textFill>
            <w14:solidFill>
              <w14:schemeClr w14:val="tx1"/>
            </w14:solidFill>
          </w14:textFill>
        </w:rPr>
        <w:t>/T</w:t>
      </w:r>
      <w:r>
        <w:rPr>
          <w:color w:val="000000" w:themeColor="text1"/>
          <w14:textFill>
            <w14:solidFill>
              <w14:schemeClr w14:val="tx1"/>
            </w14:solidFill>
          </w14:textFill>
        </w:rPr>
        <w:fldChar w:fldCharType="end"/>
      </w:r>
      <w:bookmarkEnd w:id="5"/>
      <w:r>
        <w:rPr>
          <w:color w:val="000000" w:themeColor="text1"/>
          <w14:textFill>
            <w14:solidFill>
              <w14:schemeClr w14:val="tx1"/>
            </w14:solidFill>
          </w14:textFill>
        </w:rPr>
        <w:fldChar w:fldCharType="begin">
          <w:ffData>
            <w:name w:val="NSTD_CODE_F"/>
            <w:enabled/>
            <w:calcOnExit w:val="0"/>
            <w:textInput>
              <w:default w:val="XXXX"/>
            </w:textInput>
          </w:ffData>
        </w:fldChar>
      </w:r>
      <w:bookmarkStart w:id="6" w:name="NSTD_CODE_F"/>
      <w:r>
        <w:rPr>
          <w:color w:val="000000" w:themeColor="text1"/>
          <w:lang w:val="fr-FR"/>
          <w14:textFill>
            <w14:solidFill>
              <w14:schemeClr w14:val="tx1"/>
            </w14:solidFill>
          </w14:textFill>
        </w:rPr>
        <w:instrText xml:space="preserve"> FORMTEXT </w:instrText>
      </w:r>
      <w:r>
        <w:rPr>
          <w:color w:val="000000" w:themeColor="text1"/>
          <w14:textFill>
            <w14:solidFill>
              <w14:schemeClr w14:val="tx1"/>
            </w14:solidFill>
          </w14:textFill>
        </w:rPr>
        <w:fldChar w:fldCharType="separate"/>
      </w:r>
      <w:r>
        <w:rPr>
          <w:color w:val="000000" w:themeColor="text1"/>
          <w:lang w:val="fr-FR"/>
          <w14:textFill>
            <w14:solidFill>
              <w14:schemeClr w14:val="tx1"/>
            </w14:solidFill>
          </w14:textFill>
        </w:rPr>
        <w:t>XXXX</w:t>
      </w:r>
      <w:r>
        <w:rPr>
          <w:color w:val="000000" w:themeColor="text1"/>
          <w14:textFill>
            <w14:solidFill>
              <w14:schemeClr w14:val="tx1"/>
            </w14:solidFill>
          </w14:textFill>
        </w:rPr>
        <w:fldChar w:fldCharType="end"/>
      </w:r>
      <w:bookmarkEnd w:id="6"/>
      <w:r>
        <w:rPr>
          <w:rFonts w:hAnsi="黑体"/>
          <w:color w:val="000000" w:themeColor="text1"/>
          <w:lang w:val="fr-FR"/>
          <w14:textFill>
            <w14:solidFill>
              <w14:schemeClr w14:val="tx1"/>
            </w14:solidFill>
          </w14:textFill>
        </w:rPr>
        <w:t>—</w:t>
      </w:r>
      <w:r>
        <w:rPr>
          <w:color w:val="000000" w:themeColor="text1"/>
          <w14:textFill>
            <w14:solidFill>
              <w14:schemeClr w14:val="tx1"/>
            </w14:solidFill>
          </w14:textFill>
        </w:rPr>
        <w:fldChar w:fldCharType="begin">
          <w:ffData>
            <w:name w:val="NSTD_CODE_B"/>
            <w:enabled/>
            <w:calcOnExit w:val="0"/>
            <w:textInput>
              <w:default w:val="XXXX"/>
            </w:textInput>
          </w:ffData>
        </w:fldChar>
      </w:r>
      <w:bookmarkStart w:id="7" w:name="NSTD_CODE_B"/>
      <w:r>
        <w:rPr>
          <w:color w:val="000000" w:themeColor="text1"/>
          <w:lang w:val="fr-FR"/>
          <w14:textFill>
            <w14:solidFill>
              <w14:schemeClr w14:val="tx1"/>
            </w14:solidFill>
          </w14:textFill>
        </w:rPr>
        <w:instrText xml:space="preserve"> FORMTEXT </w:instrText>
      </w:r>
      <w:r>
        <w:rPr>
          <w:color w:val="000000" w:themeColor="text1"/>
          <w14:textFill>
            <w14:solidFill>
              <w14:schemeClr w14:val="tx1"/>
            </w14:solidFill>
          </w14:textFill>
        </w:rPr>
        <w:fldChar w:fldCharType="separate"/>
      </w:r>
      <w:r>
        <w:rPr>
          <w:color w:val="000000" w:themeColor="text1"/>
          <w:lang w:val="fr-FR"/>
          <w14:textFill>
            <w14:solidFill>
              <w14:schemeClr w14:val="tx1"/>
            </w14:solidFill>
          </w14:textFill>
        </w:rPr>
        <w:t>XXXX</w:t>
      </w:r>
      <w:r>
        <w:rPr>
          <w:color w:val="000000" w:themeColor="text1"/>
          <w14:textFill>
            <w14:solidFill>
              <w14:schemeClr w14:val="tx1"/>
            </w14:solidFill>
          </w14:textFill>
        </w:rPr>
        <w:fldChar w:fldCharType="end"/>
      </w:r>
      <w:bookmarkEnd w:id="7"/>
    </w:p>
    <w:p w14:paraId="5B885502">
      <w:pPr>
        <w:pStyle w:val="201"/>
        <w:framePr/>
        <w:widowControl w:val="0"/>
        <w:wordWrap/>
        <w:rPr>
          <w:rFonts w:hAnsi="黑体"/>
          <w:color w:val="000000" w:themeColor="text1"/>
          <w14:textFill>
            <w14:solidFill>
              <w14:schemeClr w14:val="tx1"/>
            </w14:solidFill>
          </w14:textFill>
        </w:rPr>
      </w:pPr>
      <w:r>
        <w:rPr>
          <w:rFonts w:hAnsi="黑体"/>
          <w:color w:val="000000" w:themeColor="text1"/>
          <w14:textFill>
            <w14:solidFill>
              <w14:schemeClr w14:val="tx1"/>
            </w14:solidFill>
          </w14:textFill>
        </w:rPr>
        <w:fldChar w:fldCharType="begin">
          <w:ffData>
            <w:name w:val="OSTD_CODE"/>
            <w:enabled/>
            <w:calcOnExit w:val="0"/>
            <w:textInput/>
          </w:ffData>
        </w:fldChar>
      </w:r>
      <w:bookmarkStart w:id="8" w:name="OSTD_CODE"/>
      <w:r>
        <w:rPr>
          <w:rFonts w:hAnsi="黑体"/>
          <w:color w:val="000000" w:themeColor="text1"/>
          <w14:textFill>
            <w14:solidFill>
              <w14:schemeClr w14:val="tx1"/>
            </w14:solidFill>
          </w14:textFill>
        </w:rPr>
        <w:instrText xml:space="preserve"> FORMTEXT </w:instrText>
      </w:r>
      <w:r>
        <w:rPr>
          <w:rFonts w:hAnsi="黑体"/>
          <w:color w:val="000000" w:themeColor="text1"/>
          <w14:textFill>
            <w14:solidFill>
              <w14:schemeClr w14:val="tx1"/>
            </w14:solidFill>
          </w14:textFill>
        </w:rPr>
        <w:fldChar w:fldCharType="separate"/>
      </w:r>
      <w:r>
        <w:rPr>
          <w:rFonts w:hAnsi="黑体"/>
          <w:color w:val="000000" w:themeColor="text1"/>
          <w14:textFill>
            <w14:solidFill>
              <w14:schemeClr w14:val="tx1"/>
            </w14:solidFill>
          </w14:textFill>
        </w:rPr>
        <w:t>     </w:t>
      </w:r>
      <w:r>
        <w:rPr>
          <w:rFonts w:hAnsi="黑体"/>
          <w:color w:val="000000" w:themeColor="text1"/>
          <w14:textFill>
            <w14:solidFill>
              <w14:schemeClr w14:val="tx1"/>
            </w14:solidFill>
          </w14:textFill>
        </w:rPr>
        <w:fldChar w:fldCharType="end"/>
      </w:r>
      <w:bookmarkEnd w:id="8"/>
    </w:p>
    <w:p w14:paraId="5B885503">
      <w:pPr>
        <w:spacing w:line="240" w:lineRule="auto"/>
        <w:rPr>
          <w:rFonts w:ascii="黑体" w:hAnsi="黑体" w:eastAsia="黑体"/>
          <w:color w:val="000000" w:themeColor="text1"/>
          <w:kern w:val="0"/>
          <w:sz w:val="10"/>
          <w:szCs w:val="10"/>
          <w14:textFill>
            <w14:solidFill>
              <w14:schemeClr w14:val="tx1"/>
            </w14:solidFill>
          </w14:textFill>
        </w:rPr>
      </w:pPr>
      <w:r>
        <w:rPr>
          <w:rFonts w:ascii="黑体" w:hAnsi="黑体" w:eastAsia="黑体"/>
          <w:color w:val="000000" w:themeColor="text1"/>
          <w:kern w:val="0"/>
          <w:sz w:val="10"/>
          <w:szCs w:val="10"/>
          <w14:textFill>
            <w14:solidFill>
              <w14:schemeClr w14:val="tx1"/>
            </w14:solidFill>
          </w14:textFill>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2700020</wp:posOffset>
                </wp:positionV>
                <wp:extent cx="6120130" cy="0"/>
                <wp:effectExtent l="0" t="0" r="1397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pt;height:0pt;width:481.9pt;mso-position-horizontal-relative:page;mso-position-vertical-relative:page;z-index:251660288;mso-width-relative:page;mso-height-relative:page;" filled="f" stroked="t" coordsize="21600,21600" o:allowoverlap="f" o:gfxdata="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iPM2AAA&#10;AAwBAAAPAAAAAAAAAAEAIAAAACIAAABkcnMvZG93bnJldi54bWxQSwECFAAUAAAACACHTuJA4fvj&#10;GOUBAACsAwAADgAAAAAAAAABACAAAAAnAQAAZHJzL2Uyb0RvYy54bWxQSwUGAAAAAAYABgBZAQAA&#10;fgUAAAAA&#10;">
                <v:fill on="f" focussize="0,0"/>
                <v:stroke color="#000000" joinstyle="round"/>
                <v:imagedata o:title=""/>
                <o:lock v:ext="edit" aspectratio="f"/>
              </v:line>
            </w:pict>
          </mc:Fallback>
        </mc:AlternateContent>
      </w:r>
    </w:p>
    <w:p w14:paraId="5B885504">
      <w:pPr>
        <w:pStyle w:val="55"/>
        <w:framePr w:w="9639" w:h="6976" w:hRule="exact" w:hSpace="0" w:vSpace="0" w:wrap="around" w:hAnchor="page" w:y="6408"/>
        <w:jc w:val="center"/>
        <w:rPr>
          <w:rFonts w:ascii="黑体" w:hAnsi="黑体" w:eastAsia="黑体"/>
          <w:b w:val="0"/>
          <w:bCs w:val="0"/>
          <w:color w:val="000000" w:themeColor="text1"/>
          <w:w w:val="100"/>
          <w14:textFill>
            <w14:solidFill>
              <w14:schemeClr w14:val="tx1"/>
            </w14:solidFill>
          </w14:textFill>
        </w:rPr>
      </w:pPr>
    </w:p>
    <w:p w14:paraId="5B885505">
      <w:pPr>
        <w:pStyle w:val="202"/>
        <w:framePr w:h="6974" w:hRule="exact" w:wrap="around" w:x="1419" w:anchorLock="1"/>
        <w:widowControl w:val="0"/>
        <w:rPr>
          <w:color w:val="000000" w:themeColor="text1"/>
          <w14:textFill>
            <w14:solidFill>
              <w14:schemeClr w14:val="tx1"/>
            </w14:solidFill>
          </w14:textFill>
        </w:rPr>
      </w:pPr>
      <w:r>
        <w:rPr>
          <w:rFonts w:hint="eastAsia"/>
          <w:color w:val="000000" w:themeColor="text1"/>
          <w14:textFill>
            <w14:solidFill>
              <w14:schemeClr w14:val="tx1"/>
            </w14:solidFill>
          </w14:textFill>
        </w:rPr>
        <w:t>基于湖北地貌特征的低空无人驾驶航空器非中心城区航线划设指南</w:t>
      </w:r>
    </w:p>
    <w:p w14:paraId="5B885506">
      <w:pPr>
        <w:framePr w:w="9639" w:h="6974" w:hRule="exact" w:wrap="around" w:vAnchor="page" w:hAnchor="page" w:x="1419" w:y="6408" w:anchorLock="1"/>
        <w:ind w:left="-1418"/>
        <w:rPr>
          <w:color w:val="000000" w:themeColor="text1"/>
          <w14:textFill>
            <w14:solidFill>
              <w14:schemeClr w14:val="tx1"/>
            </w14:solidFill>
          </w14:textFill>
        </w:rPr>
      </w:pPr>
    </w:p>
    <w:p w14:paraId="5B885507">
      <w:pPr>
        <w:pStyle w:val="130"/>
        <w:framePr w:w="9639" w:h="6974" w:hRule="exact" w:wrap="around" w:vAnchor="page" w:hAnchor="page" w:x="1419" w:y="6408" w:anchorLock="1"/>
        <w:textAlignment w:val="bottom"/>
        <w:rPr>
          <w:rFonts w:ascii="黑体" w:hAnsi="黑体" w:eastAsia="黑体"/>
          <w:color w:val="000000" w:themeColor="text1"/>
          <w:szCs w:val="28"/>
          <w14:textFill>
            <w14:solidFill>
              <w14:schemeClr w14:val="tx1"/>
            </w14:solidFill>
          </w14:textFill>
        </w:rPr>
      </w:pPr>
      <w:r>
        <w:rPr>
          <w:rFonts w:ascii="黑体" w:hAnsi="黑体" w:eastAsia="黑体"/>
          <w:color w:val="000000" w:themeColor="text1"/>
          <w:szCs w:val="28"/>
          <w14:textFill>
            <w14:solidFill>
              <w14:schemeClr w14:val="tx1"/>
            </w14:solidFill>
          </w14:textFill>
        </w:rPr>
        <w:fldChar w:fldCharType="begin">
          <w:ffData>
            <w:name w:val="ESTD_NAME"/>
            <w:enabled/>
            <w:calcOnExit w:val="0"/>
            <w:textInput>
              <w:default w:val="Guidelines for route planning of low-altitude unmanned aerial vehicles in non-central urban areas based on the geomorphic characteristics of Hubei province"/>
            </w:textInput>
          </w:ffData>
        </w:fldChar>
      </w:r>
      <w:bookmarkStart w:id="9" w:name="ESTD_NAME"/>
      <w:r>
        <w:rPr>
          <w:rFonts w:ascii="黑体" w:hAnsi="黑体" w:eastAsia="黑体"/>
          <w:color w:val="000000" w:themeColor="text1"/>
          <w:szCs w:val="28"/>
          <w14:textFill>
            <w14:solidFill>
              <w14:schemeClr w14:val="tx1"/>
            </w14:solidFill>
          </w14:textFill>
        </w:rPr>
        <w:instrText xml:space="preserve"> </w:instrText>
      </w:r>
      <w:r>
        <w:rPr>
          <w:rFonts w:hint="eastAsia" w:ascii="黑体" w:hAnsi="黑体" w:eastAsia="黑体"/>
          <w:color w:val="000000" w:themeColor="text1"/>
          <w:szCs w:val="28"/>
          <w14:textFill>
            <w14:solidFill>
              <w14:schemeClr w14:val="tx1"/>
            </w14:solidFill>
          </w14:textFill>
        </w:rPr>
        <w:instrText xml:space="preserve">FORMTEXT</w:instrText>
      </w:r>
      <w:r>
        <w:rPr>
          <w:rFonts w:ascii="黑体" w:hAnsi="黑体" w:eastAsia="黑体"/>
          <w:color w:val="000000" w:themeColor="text1"/>
          <w:szCs w:val="28"/>
          <w14:textFill>
            <w14:solidFill>
              <w14:schemeClr w14:val="tx1"/>
            </w14:solidFill>
          </w14:textFill>
        </w:rPr>
        <w:instrText xml:space="preserve"> </w:instrText>
      </w:r>
      <w:r>
        <w:rPr>
          <w:rFonts w:ascii="黑体" w:hAnsi="黑体" w:eastAsia="黑体"/>
          <w:color w:val="000000" w:themeColor="text1"/>
          <w:szCs w:val="28"/>
          <w14:textFill>
            <w14:solidFill>
              <w14:schemeClr w14:val="tx1"/>
            </w14:solidFill>
          </w14:textFill>
        </w:rPr>
        <w:fldChar w:fldCharType="separate"/>
      </w:r>
      <w:r>
        <w:rPr>
          <w:rFonts w:ascii="黑体" w:hAnsi="黑体" w:eastAsia="黑体"/>
          <w:color w:val="000000" w:themeColor="text1"/>
          <w:szCs w:val="28"/>
          <w14:textFill>
            <w14:solidFill>
              <w14:schemeClr w14:val="tx1"/>
            </w14:solidFill>
          </w14:textFill>
        </w:rPr>
        <w:t>Guidelines for route planning of low-altitude unmanned aerial vehicles in non-central urban areas based on the geomorphic characteristics of Hubei province</w:t>
      </w:r>
      <w:r>
        <w:rPr>
          <w:rFonts w:ascii="黑体" w:hAnsi="黑体" w:eastAsia="黑体"/>
          <w:color w:val="000000" w:themeColor="text1"/>
          <w:szCs w:val="28"/>
          <w14:textFill>
            <w14:solidFill>
              <w14:schemeClr w14:val="tx1"/>
            </w14:solidFill>
          </w14:textFill>
        </w:rPr>
        <w:fldChar w:fldCharType="end"/>
      </w:r>
      <w:bookmarkEnd w:id="9"/>
    </w:p>
    <w:p w14:paraId="5B885508">
      <w:pPr>
        <w:framePr w:w="9639" w:h="6974" w:hRule="exact" w:wrap="around" w:vAnchor="page" w:hAnchor="page" w:x="1419" w:y="6408" w:anchorLock="1"/>
        <w:spacing w:line="760" w:lineRule="exact"/>
        <w:ind w:left="-1418"/>
        <w:rPr>
          <w:color w:val="000000" w:themeColor="text1"/>
          <w14:textFill>
            <w14:solidFill>
              <w14:schemeClr w14:val="tx1"/>
            </w14:solidFill>
          </w14:textFill>
        </w:rPr>
      </w:pPr>
    </w:p>
    <w:p w14:paraId="5B885509">
      <w:pPr>
        <w:pStyle w:val="130"/>
        <w:framePr w:w="9639" w:h="6974" w:hRule="exact" w:wrap="around" w:vAnchor="page" w:hAnchor="page" w:x="1419" w:y="6408" w:anchorLock="1"/>
        <w:textAlignment w:val="bottom"/>
        <w:rPr>
          <w:rFonts w:eastAsia="黑体"/>
          <w:color w:val="000000" w:themeColor="text1"/>
          <w:szCs w:val="28"/>
          <w14:textFill>
            <w14:solidFill>
              <w14:schemeClr w14:val="tx1"/>
            </w14:solidFill>
          </w14:textFill>
        </w:rPr>
      </w:pPr>
    </w:p>
    <w:p w14:paraId="5B88550A">
      <w:pPr>
        <w:pStyle w:val="130"/>
        <w:framePr w:w="9639" w:h="6974" w:hRule="exact" w:wrap="around" w:vAnchor="page" w:hAnchor="page" w:x="1419" w:y="6408" w:anchorLock="1"/>
        <w:spacing w:before="180" w:line="240" w:lineRule="atLeast"/>
        <w:textAlignment w:val="bottom"/>
        <w:rPr>
          <w:color w:val="000000" w:themeColor="text1"/>
          <w:sz w:val="21"/>
          <w:szCs w:val="28"/>
          <w14:textFill>
            <w14:solidFill>
              <w14:schemeClr w14:val="tx1"/>
            </w14:solidFill>
          </w14:textFill>
        </w:rPr>
      </w:pPr>
      <w:r>
        <w:rPr>
          <w:color w:val="000000" w:themeColor="text1"/>
          <w:sz w:val="21"/>
          <w:szCs w:val="28"/>
          <w14:textFill>
            <w14:solidFill>
              <w14:schemeClr w14:val="tx1"/>
            </w14:solidFill>
          </w14:textFill>
        </w:rPr>
        <w:fldChar w:fldCharType="begin">
          <w:ffData>
            <w:name w:val="CMPLSH_DATE"/>
            <w:enabled/>
            <w:calcOnExit w:val="0"/>
            <w:textInput/>
          </w:ffData>
        </w:fldChar>
      </w:r>
      <w:bookmarkStart w:id="10" w:name="CMPLSH_DATE"/>
      <w:r>
        <w:rPr>
          <w:color w:val="000000" w:themeColor="text1"/>
          <w:sz w:val="21"/>
          <w:szCs w:val="28"/>
          <w14:textFill>
            <w14:solidFill>
              <w14:schemeClr w14:val="tx1"/>
            </w14:solidFill>
          </w14:textFill>
        </w:rPr>
        <w:instrText xml:space="preserve"> FORMTEXT </w:instrText>
      </w:r>
      <w:r>
        <w:rPr>
          <w:color w:val="000000" w:themeColor="text1"/>
          <w:sz w:val="21"/>
          <w:szCs w:val="28"/>
          <w14:textFill>
            <w14:solidFill>
              <w14:schemeClr w14:val="tx1"/>
            </w14:solidFill>
          </w14:textFill>
        </w:rPr>
        <w:fldChar w:fldCharType="separate"/>
      </w:r>
      <w:r>
        <w:rPr>
          <w:color w:val="000000" w:themeColor="text1"/>
          <w:sz w:val="21"/>
          <w:szCs w:val="28"/>
          <w14:textFill>
            <w14:solidFill>
              <w14:schemeClr w14:val="tx1"/>
            </w14:solidFill>
          </w14:textFill>
        </w:rPr>
        <w:t>     </w:t>
      </w:r>
      <w:r>
        <w:rPr>
          <w:color w:val="000000" w:themeColor="text1"/>
          <w:sz w:val="21"/>
          <w:szCs w:val="28"/>
          <w14:textFill>
            <w14:solidFill>
              <w14:schemeClr w14:val="tx1"/>
            </w14:solidFill>
          </w14:textFill>
        </w:rPr>
        <w:fldChar w:fldCharType="end"/>
      </w:r>
      <w:bookmarkEnd w:id="10"/>
    </w:p>
    <w:p w14:paraId="5B88550B">
      <w:pPr>
        <w:pStyle w:val="198"/>
        <w:framePr w:wrap="around" w:y="14176"/>
        <w:widowControl w:val="0"/>
        <w:rPr>
          <w:color w:val="000000" w:themeColor="text1"/>
          <w14:textFill>
            <w14:solidFill>
              <w14:schemeClr w14:val="tx1"/>
            </w14:solidFill>
          </w14:textFill>
        </w:rPr>
      </w:pPr>
      <w:r>
        <w:rPr>
          <w:rFonts w:ascii="黑体"/>
          <w:color w:val="000000" w:themeColor="text1"/>
          <w14:textFill>
            <w14:solidFill>
              <w14:schemeClr w14:val="tx1"/>
            </w14:solidFill>
          </w14:textFill>
        </w:rPr>
        <w:fldChar w:fldCharType="begin">
          <w:ffData>
            <w:name w:val="PLSH_DATE_Y"/>
            <w:enabled/>
            <w:calcOnExit w:val="0"/>
            <w:textInput>
              <w:default w:val="XXXX"/>
              <w:maxLength w:val="4"/>
            </w:textInput>
          </w:ffData>
        </w:fldChar>
      </w:r>
      <w:bookmarkStart w:id="11" w:name="PLSH_DATE_Y"/>
      <w:r>
        <w:rPr>
          <w:rFonts w:ascii="黑体"/>
          <w:color w:val="000000" w:themeColor="text1"/>
          <w14:textFill>
            <w14:solidFill>
              <w14:schemeClr w14:val="tx1"/>
            </w14:solidFill>
          </w14:textFill>
        </w:rPr>
        <w:instrText xml:space="preserve"> FORMTEXT </w:instrText>
      </w:r>
      <w:r>
        <w:rPr>
          <w:rFonts w:ascii="黑体"/>
          <w:color w:val="000000" w:themeColor="text1"/>
          <w14:textFill>
            <w14:solidFill>
              <w14:schemeClr w14:val="tx1"/>
            </w14:solidFill>
          </w14:textFill>
        </w:rPr>
        <w:fldChar w:fldCharType="separate"/>
      </w:r>
      <w:r>
        <w:rPr>
          <w:rFonts w:ascii="黑体"/>
          <w:color w:val="000000" w:themeColor="text1"/>
          <w14:textFill>
            <w14:solidFill>
              <w14:schemeClr w14:val="tx1"/>
            </w14:solidFill>
          </w14:textFill>
        </w:rPr>
        <w:t>XXXX</w:t>
      </w:r>
      <w:r>
        <w:rPr>
          <w:rFonts w:ascii="黑体"/>
          <w:color w:val="000000" w:themeColor="text1"/>
          <w14:textFill>
            <w14:solidFill>
              <w14:schemeClr w14:val="tx1"/>
            </w14:solidFill>
          </w14:textFill>
        </w:rPr>
        <w:fldChar w:fldCharType="end"/>
      </w:r>
      <w:bookmarkEnd w:id="11"/>
      <w:r>
        <w:rPr>
          <w:rFonts w:ascii="黑体"/>
          <w:color w:val="000000" w:themeColor="text1"/>
          <w14:textFill>
            <w14:solidFill>
              <w14:schemeClr w14:val="tx1"/>
            </w14:solidFill>
          </w14:textFill>
        </w:rPr>
        <w:t>-</w:t>
      </w:r>
      <w:r>
        <w:rPr>
          <w:rFonts w:ascii="黑体"/>
          <w:color w:val="000000" w:themeColor="text1"/>
          <w14:textFill>
            <w14:solidFill>
              <w14:schemeClr w14:val="tx1"/>
            </w14:solidFill>
          </w14:textFill>
        </w:rPr>
        <w:fldChar w:fldCharType="begin">
          <w:ffData>
            <w:name w:val="PLSH_DATE_M"/>
            <w:enabled/>
            <w:calcOnExit w:val="0"/>
            <w:textInput>
              <w:default w:val="XX"/>
              <w:maxLength w:val="2"/>
            </w:textInput>
          </w:ffData>
        </w:fldChar>
      </w:r>
      <w:bookmarkStart w:id="12" w:name="PLSH_DATE_M"/>
      <w:r>
        <w:rPr>
          <w:rFonts w:ascii="黑体"/>
          <w:color w:val="000000" w:themeColor="text1"/>
          <w14:textFill>
            <w14:solidFill>
              <w14:schemeClr w14:val="tx1"/>
            </w14:solidFill>
          </w14:textFill>
        </w:rPr>
        <w:instrText xml:space="preserve"> FORMTEXT </w:instrText>
      </w:r>
      <w:r>
        <w:rPr>
          <w:rFonts w:ascii="黑体"/>
          <w:color w:val="000000" w:themeColor="text1"/>
          <w14:textFill>
            <w14:solidFill>
              <w14:schemeClr w14:val="tx1"/>
            </w14:solidFill>
          </w14:textFill>
        </w:rPr>
        <w:fldChar w:fldCharType="separate"/>
      </w:r>
      <w:r>
        <w:rPr>
          <w:rFonts w:ascii="黑体"/>
          <w:color w:val="000000" w:themeColor="text1"/>
          <w14:textFill>
            <w14:solidFill>
              <w14:schemeClr w14:val="tx1"/>
            </w14:solidFill>
          </w14:textFill>
        </w:rPr>
        <w:t>XX</w:t>
      </w:r>
      <w:r>
        <w:rPr>
          <w:rFonts w:ascii="黑体"/>
          <w:color w:val="000000" w:themeColor="text1"/>
          <w14:textFill>
            <w14:solidFill>
              <w14:schemeClr w14:val="tx1"/>
            </w14:solidFill>
          </w14:textFill>
        </w:rPr>
        <w:fldChar w:fldCharType="end"/>
      </w:r>
      <w:bookmarkEnd w:id="12"/>
      <w:r>
        <w:rPr>
          <w:rFonts w:ascii="黑体"/>
          <w:color w:val="000000" w:themeColor="text1"/>
          <w14:textFill>
            <w14:solidFill>
              <w14:schemeClr w14:val="tx1"/>
            </w14:solidFill>
          </w14:textFill>
        </w:rPr>
        <w:t>-</w:t>
      </w:r>
      <w:r>
        <w:rPr>
          <w:rFonts w:ascii="黑体"/>
          <w:color w:val="000000" w:themeColor="text1"/>
          <w14:textFill>
            <w14:solidFill>
              <w14:schemeClr w14:val="tx1"/>
            </w14:solidFill>
          </w14:textFill>
        </w:rPr>
        <w:fldChar w:fldCharType="begin">
          <w:ffData>
            <w:name w:val="PLSH_DATE_D"/>
            <w:enabled/>
            <w:calcOnExit w:val="0"/>
            <w:textInput>
              <w:default w:val="XX"/>
              <w:maxLength w:val="2"/>
            </w:textInput>
          </w:ffData>
        </w:fldChar>
      </w:r>
      <w:bookmarkStart w:id="13" w:name="PLSH_DATE_D"/>
      <w:r>
        <w:rPr>
          <w:rFonts w:ascii="黑体"/>
          <w:color w:val="000000" w:themeColor="text1"/>
          <w14:textFill>
            <w14:solidFill>
              <w14:schemeClr w14:val="tx1"/>
            </w14:solidFill>
          </w14:textFill>
        </w:rPr>
        <w:instrText xml:space="preserve"> FORMTEXT </w:instrText>
      </w:r>
      <w:r>
        <w:rPr>
          <w:rFonts w:ascii="黑体"/>
          <w:color w:val="000000" w:themeColor="text1"/>
          <w14:textFill>
            <w14:solidFill>
              <w14:schemeClr w14:val="tx1"/>
            </w14:solidFill>
          </w14:textFill>
        </w:rPr>
        <w:fldChar w:fldCharType="separate"/>
      </w:r>
      <w:r>
        <w:rPr>
          <w:rFonts w:ascii="黑体"/>
          <w:color w:val="000000" w:themeColor="text1"/>
          <w14:textFill>
            <w14:solidFill>
              <w14:schemeClr w14:val="tx1"/>
            </w14:solidFill>
          </w14:textFill>
        </w:rPr>
        <w:t>XX</w:t>
      </w:r>
      <w:r>
        <w:rPr>
          <w:rFonts w:ascii="黑体"/>
          <w:color w:val="000000" w:themeColor="text1"/>
          <w14:textFill>
            <w14:solidFill>
              <w14:schemeClr w14:val="tx1"/>
            </w14:solidFill>
          </w14:textFill>
        </w:rPr>
        <w:fldChar w:fldCharType="end"/>
      </w:r>
      <w:bookmarkEnd w:id="13"/>
      <w:r>
        <w:rPr>
          <w:rFonts w:hint="eastAsia"/>
          <w:color w:val="000000" w:themeColor="text1"/>
          <w14:textFill>
            <w14:solidFill>
              <w14:schemeClr w14:val="tx1"/>
            </w14:solidFill>
          </w14:textFill>
        </w:rPr>
        <w:t>发布</w:t>
      </w:r>
    </w:p>
    <w:p w14:paraId="5B88550C">
      <w:pPr>
        <w:pStyle w:val="199"/>
        <w:framePr w:wrap="around" w:y="14176"/>
        <w:widowControl w:val="0"/>
        <w:rPr>
          <w:color w:val="000000" w:themeColor="text1"/>
          <w14:textFill>
            <w14:solidFill>
              <w14:schemeClr w14:val="tx1"/>
            </w14:solidFill>
          </w14:textFill>
        </w:rPr>
      </w:pPr>
      <w:r>
        <w:rPr>
          <w:rFonts w:ascii="黑体"/>
          <w:color w:val="000000" w:themeColor="text1"/>
          <w14:textFill>
            <w14:solidFill>
              <w14:schemeClr w14:val="tx1"/>
            </w14:solidFill>
          </w14:textFill>
        </w:rPr>
        <w:fldChar w:fldCharType="begin">
          <w:ffData>
            <w:name w:val="CROT_DATE_Y"/>
            <w:enabled/>
            <w:calcOnExit w:val="0"/>
            <w:textInput>
              <w:default w:val="XXXX"/>
              <w:maxLength w:val="4"/>
            </w:textInput>
          </w:ffData>
        </w:fldChar>
      </w:r>
      <w:bookmarkStart w:id="14" w:name="CROT_DATE_Y"/>
      <w:r>
        <w:rPr>
          <w:rFonts w:ascii="黑体"/>
          <w:color w:val="000000" w:themeColor="text1"/>
          <w14:textFill>
            <w14:solidFill>
              <w14:schemeClr w14:val="tx1"/>
            </w14:solidFill>
          </w14:textFill>
        </w:rPr>
        <w:instrText xml:space="preserve"> FORMTEXT </w:instrText>
      </w:r>
      <w:r>
        <w:rPr>
          <w:rFonts w:ascii="黑体"/>
          <w:color w:val="000000" w:themeColor="text1"/>
          <w14:textFill>
            <w14:solidFill>
              <w14:schemeClr w14:val="tx1"/>
            </w14:solidFill>
          </w14:textFill>
        </w:rPr>
        <w:fldChar w:fldCharType="separate"/>
      </w:r>
      <w:r>
        <w:rPr>
          <w:rFonts w:ascii="黑体"/>
          <w:color w:val="000000" w:themeColor="text1"/>
          <w14:textFill>
            <w14:solidFill>
              <w14:schemeClr w14:val="tx1"/>
            </w14:solidFill>
          </w14:textFill>
        </w:rPr>
        <w:t>XXXX</w:t>
      </w:r>
      <w:r>
        <w:rPr>
          <w:rFonts w:ascii="黑体"/>
          <w:color w:val="000000" w:themeColor="text1"/>
          <w14:textFill>
            <w14:solidFill>
              <w14:schemeClr w14:val="tx1"/>
            </w14:solidFill>
          </w14:textFill>
        </w:rPr>
        <w:fldChar w:fldCharType="end"/>
      </w:r>
      <w:bookmarkEnd w:id="14"/>
      <w:r>
        <w:rPr>
          <w:rFonts w:ascii="黑体"/>
          <w:color w:val="000000" w:themeColor="text1"/>
          <w14:textFill>
            <w14:solidFill>
              <w14:schemeClr w14:val="tx1"/>
            </w14:solidFill>
          </w14:textFill>
        </w:rPr>
        <w:t>-</w:t>
      </w:r>
      <w:r>
        <w:rPr>
          <w:rFonts w:ascii="黑体"/>
          <w:color w:val="000000" w:themeColor="text1"/>
          <w14:textFill>
            <w14:solidFill>
              <w14:schemeClr w14:val="tx1"/>
            </w14:solidFill>
          </w14:textFill>
        </w:rPr>
        <w:fldChar w:fldCharType="begin">
          <w:ffData>
            <w:name w:val="CROT_DATE_M"/>
            <w:enabled/>
            <w:calcOnExit w:val="0"/>
            <w:textInput>
              <w:default w:val="XX"/>
              <w:maxLength w:val="2"/>
            </w:textInput>
          </w:ffData>
        </w:fldChar>
      </w:r>
      <w:bookmarkStart w:id="15" w:name="CROT_DATE_M"/>
      <w:r>
        <w:rPr>
          <w:rFonts w:ascii="黑体"/>
          <w:color w:val="000000" w:themeColor="text1"/>
          <w14:textFill>
            <w14:solidFill>
              <w14:schemeClr w14:val="tx1"/>
            </w14:solidFill>
          </w14:textFill>
        </w:rPr>
        <w:instrText xml:space="preserve"> FORMTEXT </w:instrText>
      </w:r>
      <w:r>
        <w:rPr>
          <w:rFonts w:ascii="黑体"/>
          <w:color w:val="000000" w:themeColor="text1"/>
          <w14:textFill>
            <w14:solidFill>
              <w14:schemeClr w14:val="tx1"/>
            </w14:solidFill>
          </w14:textFill>
        </w:rPr>
        <w:fldChar w:fldCharType="separate"/>
      </w:r>
      <w:r>
        <w:rPr>
          <w:rFonts w:ascii="黑体"/>
          <w:color w:val="000000" w:themeColor="text1"/>
          <w14:textFill>
            <w14:solidFill>
              <w14:schemeClr w14:val="tx1"/>
            </w14:solidFill>
          </w14:textFill>
        </w:rPr>
        <w:t>XX</w:t>
      </w:r>
      <w:r>
        <w:rPr>
          <w:rFonts w:ascii="黑体"/>
          <w:color w:val="000000" w:themeColor="text1"/>
          <w14:textFill>
            <w14:solidFill>
              <w14:schemeClr w14:val="tx1"/>
            </w14:solidFill>
          </w14:textFill>
        </w:rPr>
        <w:fldChar w:fldCharType="end"/>
      </w:r>
      <w:bookmarkEnd w:id="15"/>
      <w:r>
        <w:rPr>
          <w:rFonts w:ascii="黑体"/>
          <w:color w:val="000000" w:themeColor="text1"/>
          <w14:textFill>
            <w14:solidFill>
              <w14:schemeClr w14:val="tx1"/>
            </w14:solidFill>
          </w14:textFill>
        </w:rPr>
        <w:t>-</w:t>
      </w:r>
      <w:r>
        <w:rPr>
          <w:rFonts w:ascii="黑体"/>
          <w:color w:val="000000" w:themeColor="text1"/>
          <w14:textFill>
            <w14:solidFill>
              <w14:schemeClr w14:val="tx1"/>
            </w14:solidFill>
          </w14:textFill>
        </w:rPr>
        <w:fldChar w:fldCharType="begin">
          <w:ffData>
            <w:name w:val="CROT_DATE_D"/>
            <w:enabled/>
            <w:calcOnExit w:val="0"/>
            <w:textInput>
              <w:default w:val="XX"/>
              <w:maxLength w:val="2"/>
            </w:textInput>
          </w:ffData>
        </w:fldChar>
      </w:r>
      <w:bookmarkStart w:id="16" w:name="CROT_DATE_D"/>
      <w:r>
        <w:rPr>
          <w:rFonts w:ascii="黑体"/>
          <w:color w:val="000000" w:themeColor="text1"/>
          <w14:textFill>
            <w14:solidFill>
              <w14:schemeClr w14:val="tx1"/>
            </w14:solidFill>
          </w14:textFill>
        </w:rPr>
        <w:instrText xml:space="preserve"> FORMTEXT </w:instrText>
      </w:r>
      <w:r>
        <w:rPr>
          <w:rFonts w:ascii="黑体"/>
          <w:color w:val="000000" w:themeColor="text1"/>
          <w14:textFill>
            <w14:solidFill>
              <w14:schemeClr w14:val="tx1"/>
            </w14:solidFill>
          </w14:textFill>
        </w:rPr>
        <w:fldChar w:fldCharType="separate"/>
      </w:r>
      <w:r>
        <w:rPr>
          <w:rFonts w:ascii="黑体"/>
          <w:color w:val="000000" w:themeColor="text1"/>
          <w14:textFill>
            <w14:solidFill>
              <w14:schemeClr w14:val="tx1"/>
            </w14:solidFill>
          </w14:textFill>
        </w:rPr>
        <w:t>XX</w:t>
      </w:r>
      <w:r>
        <w:rPr>
          <w:rFonts w:ascii="黑体"/>
          <w:color w:val="000000" w:themeColor="text1"/>
          <w14:textFill>
            <w14:solidFill>
              <w14:schemeClr w14:val="tx1"/>
            </w14:solidFill>
          </w14:textFill>
        </w:rPr>
        <w:fldChar w:fldCharType="end"/>
      </w:r>
      <w:bookmarkEnd w:id="16"/>
      <w:r>
        <w:rPr>
          <w:rFonts w:hint="eastAsia"/>
          <w:color w:val="000000" w:themeColor="text1"/>
          <w14:textFill>
            <w14:solidFill>
              <w14:schemeClr w14:val="tx1"/>
            </w14:solidFill>
          </w14:textFill>
        </w:rPr>
        <w:t>实施</w:t>
      </w:r>
    </w:p>
    <w:p w14:paraId="5B88550D">
      <w:pPr>
        <w:pStyle w:val="156"/>
        <w:framePr w:h="584" w:hRule="exact" w:hSpace="181" w:vSpace="181" w:wrap="around" w:y="15027"/>
        <w:widowControl w:val="0"/>
        <w:rPr>
          <w:rFonts w:hAnsi="黑体"/>
          <w:color w:val="000000" w:themeColor="text1"/>
          <w14:textFill>
            <w14:solidFill>
              <w14:schemeClr w14:val="tx1"/>
            </w14:solidFill>
          </w14:textFill>
        </w:rPr>
      </w:pPr>
      <w:r>
        <w:rPr>
          <w:rFonts w:hint="eastAsia" w:hAnsi="黑体"/>
          <w:color w:val="000000" w:themeColor="text1"/>
          <w:spacing w:val="20"/>
          <w:sz w:val="28"/>
          <w14:textFill>
            <w14:solidFill>
              <w14:schemeClr w14:val="tx1"/>
            </w14:solidFill>
          </w14:textFill>
        </w:rPr>
        <w:t>湖北省市场监督管理局</w:t>
      </w:r>
      <w:r>
        <w:rPr>
          <w:rFonts w:ascii="Times New Roman"/>
          <w:color w:val="000000" w:themeColor="text1"/>
          <w:w w:val="100"/>
          <w:sz w:val="28"/>
          <w14:textFill>
            <w14:solidFill>
              <w14:schemeClr w14:val="tx1"/>
            </w14:solidFill>
          </w14:textFill>
        </w:rPr>
        <w:t>  </w:t>
      </w:r>
      <w:r>
        <w:rPr>
          <w:rStyle w:val="234"/>
          <w:rFonts w:hint="eastAsia" w:hAnsi="黑体"/>
          <w:color w:val="000000" w:themeColor="text1"/>
          <w:position w:val="0"/>
          <w14:textFill>
            <w14:solidFill>
              <w14:schemeClr w14:val="tx1"/>
            </w14:solidFill>
          </w14:textFill>
        </w:rPr>
        <w:t>发</w:t>
      </w:r>
      <w:r>
        <w:rPr>
          <w:rStyle w:val="234"/>
          <w:rFonts w:hint="eastAsia" w:hAnsi="黑体"/>
          <w:color w:val="000000" w:themeColor="text1"/>
          <w:spacing w:val="0"/>
          <w:position w:val="0"/>
          <w14:textFill>
            <w14:solidFill>
              <w14:schemeClr w14:val="tx1"/>
            </w14:solidFill>
          </w14:textFill>
        </w:rPr>
        <w:t>布</w:t>
      </w:r>
    </w:p>
    <w:p w14:paraId="5B88550E">
      <w:pPr>
        <w:rPr>
          <w:rFonts w:ascii="宋体" w:hAnsi="宋体"/>
          <w:color w:val="000000" w:themeColor="text1"/>
          <w:sz w:val="28"/>
          <w:szCs w:val="28"/>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ascii="宋体" w:hAnsi="宋体"/>
          <w:color w:val="000000" w:themeColor="text1"/>
          <w:sz w:val="28"/>
          <w:szCs w:val="28"/>
          <w14:textFill>
            <w14:solidFill>
              <w14:schemeClr w14:val="tx1"/>
            </w14:solidFill>
          </w14:textFill>
        </w:rPr>
        <mc:AlternateContent>
          <mc:Choice Requires="wps">
            <w:drawing>
              <wp:anchor distT="0" distB="0" distL="114300" distR="114300" simplePos="0" relativeHeight="251659264" behindDoc="0" locked="1" layoutInCell="1" allowOverlap="1">
                <wp:simplePos x="0" y="0"/>
                <wp:positionH relativeFrom="page">
                  <wp:posOffset>899795</wp:posOffset>
                </wp:positionH>
                <wp:positionV relativeFrom="page">
                  <wp:posOffset>9252585</wp:posOffset>
                </wp:positionV>
                <wp:extent cx="6120130" cy="0"/>
                <wp:effectExtent l="0" t="0" r="1397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55pt;height:0pt;width:481.9pt;mso-position-horizontal-relative:page;mso-position-vertical-relative:page;z-index:251659264;mso-width-relative:page;mso-height-relative:page;" filled="f" stroked="t" coordsize="21600,21600" o:gfxdata="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5qdGL1wAAAA4B&#10;AAAPAAAAAAAAAAEAIAAAACIAAABkcnMvZG93bnJldi54bWxQSwECFAAUAAAACACHTuJAAzUM5uMB&#10;AACqAwAADgAAAAAAAAABACAAAAAmAQAAZHJzL2Uyb0RvYy54bWxQSwUGAAAAAAYABgBZAQAAewUA&#10;AAAA&#10;">
                <v:fill on="f" focussize="0,0"/>
                <v:stroke color="#000000" joinstyle="round"/>
                <v:imagedata o:title=""/>
                <o:lock v:ext="edit" aspectratio="f"/>
                <w10:anchorlock/>
              </v:line>
            </w:pict>
          </mc:Fallback>
        </mc:AlternateContent>
      </w:r>
    </w:p>
    <w:p w14:paraId="5B88550F">
      <w:pPr>
        <w:pStyle w:val="96"/>
        <w:spacing w:after="468"/>
        <w:rPr>
          <w:color w:val="000000" w:themeColor="text1"/>
          <w14:textFill>
            <w14:solidFill>
              <w14:schemeClr w14:val="tx1"/>
            </w14:solidFill>
          </w14:textFill>
        </w:rPr>
      </w:pPr>
      <w:bookmarkStart w:id="17" w:name="BookMark1"/>
      <w:r>
        <w:rPr>
          <w:rFonts w:hint="eastAsia"/>
          <w:color w:val="000000" w:themeColor="text1"/>
          <w:spacing w:val="320"/>
          <w14:textFill>
            <w14:solidFill>
              <w14:schemeClr w14:val="tx1"/>
            </w14:solidFill>
          </w14:textFill>
        </w:rPr>
        <w:t>目</w:t>
      </w:r>
      <w:r>
        <w:rPr>
          <w:rFonts w:hint="eastAsia"/>
          <w:color w:val="000000" w:themeColor="text1"/>
          <w14:textFill>
            <w14:solidFill>
              <w14:schemeClr w14:val="tx1"/>
            </w14:solidFill>
          </w14:textFill>
        </w:rPr>
        <w:t>次</w:t>
      </w:r>
    </w:p>
    <w:p w14:paraId="3AB1615A">
      <w:pPr>
        <w:pStyle w:val="22"/>
        <w:tabs>
          <w:tab w:val="right" w:leader="dot" w:pos="9344"/>
        </w:tabs>
        <w:rPr>
          <w:rFonts w:asciiTheme="minorHAnsi" w:hAnsiTheme="minorHAnsi" w:eastAsiaTheme="minorEastAsia" w:cstheme="minorBidi"/>
          <w:sz w:val="22"/>
          <w:szCs w:val="24"/>
          <w14:ligatures w14:val="standardContextua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TOC \o "1-1" \h </w:instrText>
      </w:r>
      <w:r>
        <w:rPr>
          <w:color w:val="000000" w:themeColor="text1"/>
          <w14:textFill>
            <w14:solidFill>
              <w14:schemeClr w14:val="tx1"/>
            </w14:solidFill>
          </w14:textFill>
        </w:rPr>
        <w:fldChar w:fldCharType="separate"/>
      </w:r>
      <w:r>
        <w:fldChar w:fldCharType="begin"/>
      </w:r>
      <w:r>
        <w:instrText xml:space="preserve"> HYPERLINK \l "_Toc240381769" </w:instrText>
      </w:r>
      <w:r>
        <w:fldChar w:fldCharType="separate"/>
      </w:r>
      <w:r>
        <w:rPr>
          <w:rStyle w:val="36"/>
          <w:spacing w:val="320"/>
        </w:rPr>
        <w:t>前</w:t>
      </w:r>
      <w:r>
        <w:rPr>
          <w:rStyle w:val="36"/>
        </w:rPr>
        <w:t>言</w:t>
      </w:r>
      <w:r>
        <w:rPr>
          <w:rFonts w:hint="eastAsia"/>
        </w:rPr>
        <w:tab/>
      </w:r>
      <w:r>
        <w:rPr>
          <w:rFonts w:hint="eastAsia"/>
        </w:rPr>
        <w:fldChar w:fldCharType="begin"/>
      </w:r>
      <w:r>
        <w:rPr>
          <w:rFonts w:hint="eastAsia"/>
        </w:rPr>
        <w:instrText xml:space="preserve"> </w:instrText>
      </w:r>
      <w:r>
        <w:instrText xml:space="preserve">PAGEREF _Toc240381769 \h</w:instrText>
      </w:r>
      <w:r>
        <w:rPr>
          <w:rFonts w:hint="eastAsia"/>
        </w:rPr>
        <w:instrText xml:space="preserve"> </w:instrText>
      </w:r>
      <w:r>
        <w:rPr>
          <w:rFonts w:hint="eastAsia"/>
        </w:rPr>
        <w:fldChar w:fldCharType="separate"/>
      </w:r>
      <w:r>
        <w:t>II</w:t>
      </w:r>
      <w:r>
        <w:rPr>
          <w:rFonts w:hint="eastAsia"/>
        </w:rPr>
        <w:fldChar w:fldCharType="end"/>
      </w:r>
      <w:r>
        <w:rPr>
          <w:rFonts w:hint="eastAsia"/>
        </w:rPr>
        <w:fldChar w:fldCharType="end"/>
      </w:r>
    </w:p>
    <w:p w14:paraId="41F094E2">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"_Toc240381770" </w:instrText>
      </w:r>
      <w:r>
        <w:fldChar w:fldCharType="separate"/>
      </w:r>
      <w:r>
        <w:rPr>
          <w:rStyle w:val="36"/>
        </w:rPr>
        <w:t>1 范围</w:t>
      </w:r>
      <w:r>
        <w:rPr>
          <w:rFonts w:hint="eastAsia"/>
        </w:rPr>
        <w:tab/>
      </w:r>
      <w:r>
        <w:rPr>
          <w:rFonts w:hint="eastAsia"/>
        </w:rPr>
        <w:fldChar w:fldCharType="begin"/>
      </w:r>
      <w:r>
        <w:rPr>
          <w:rFonts w:hint="eastAsia"/>
        </w:rPr>
        <w:instrText xml:space="preserve"> </w:instrText>
      </w:r>
      <w:r>
        <w:instrText xml:space="preserve">PAGEREF _Toc240381770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458C7E1D">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"_Toc240381771" </w:instrText>
      </w:r>
      <w:r>
        <w:fldChar w:fldCharType="separate"/>
      </w:r>
      <w:r>
        <w:rPr>
          <w:rStyle w:val="36"/>
        </w:rPr>
        <w:t>2 规范性引用文件</w:t>
      </w:r>
      <w:r>
        <w:rPr>
          <w:rFonts w:hint="eastAsia"/>
        </w:rPr>
        <w:tab/>
      </w:r>
      <w:r>
        <w:rPr>
          <w:rFonts w:hint="eastAsia"/>
        </w:rPr>
        <w:fldChar w:fldCharType="begin"/>
      </w:r>
      <w:r>
        <w:rPr>
          <w:rFonts w:hint="eastAsia"/>
        </w:rPr>
        <w:instrText xml:space="preserve"> </w:instrText>
      </w:r>
      <w:r>
        <w:instrText xml:space="preserve">PAGEREF _Toc240381771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39CEFA79">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"_Toc240381772" </w:instrText>
      </w:r>
      <w:r>
        <w:fldChar w:fldCharType="separate"/>
      </w:r>
      <w:r>
        <w:rPr>
          <w:rStyle w:val="36"/>
        </w:rPr>
        <w:t>3 术语和定义</w:t>
      </w:r>
      <w:r>
        <w:rPr>
          <w:rFonts w:hint="eastAsia"/>
        </w:rPr>
        <w:tab/>
      </w:r>
      <w:r>
        <w:rPr>
          <w:rFonts w:hint="eastAsia"/>
        </w:rPr>
        <w:fldChar w:fldCharType="begin"/>
      </w:r>
      <w:r>
        <w:rPr>
          <w:rFonts w:hint="eastAsia"/>
        </w:rPr>
        <w:instrText xml:space="preserve"> </w:instrText>
      </w:r>
      <w:r>
        <w:instrText xml:space="preserve">PAGEREF _Toc240381772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546BC8ED">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"_Toc240381773" </w:instrText>
      </w:r>
      <w:r>
        <w:fldChar w:fldCharType="separate"/>
      </w:r>
      <w:r>
        <w:rPr>
          <w:rStyle w:val="36"/>
        </w:rPr>
        <w:t>4 缩略语</w:t>
      </w:r>
      <w:r>
        <w:rPr>
          <w:rFonts w:hint="eastAsia"/>
        </w:rPr>
        <w:tab/>
      </w:r>
      <w:r>
        <w:rPr>
          <w:rFonts w:hint="eastAsia"/>
        </w:rPr>
        <w:fldChar w:fldCharType="begin"/>
      </w:r>
      <w:r>
        <w:rPr>
          <w:rFonts w:hint="eastAsia"/>
        </w:rPr>
        <w:instrText xml:space="preserve"> </w:instrText>
      </w:r>
      <w:r>
        <w:instrText xml:space="preserve">PAGEREF _Toc240381773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46080530">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"_Toc240381774" </w:instrText>
      </w:r>
      <w:r>
        <w:fldChar w:fldCharType="separate"/>
      </w:r>
      <w:r>
        <w:rPr>
          <w:rStyle w:val="36"/>
        </w:rPr>
        <w:t>5 划设原则</w:t>
      </w:r>
      <w:r>
        <w:rPr>
          <w:rFonts w:hint="eastAsia"/>
        </w:rPr>
        <w:tab/>
      </w:r>
      <w:r>
        <w:rPr>
          <w:rFonts w:hint="eastAsia"/>
        </w:rPr>
        <w:fldChar w:fldCharType="begin"/>
      </w:r>
      <w:r>
        <w:rPr>
          <w:rFonts w:hint="eastAsia"/>
        </w:rPr>
        <w:instrText xml:space="preserve"> </w:instrText>
      </w:r>
      <w:r>
        <w:instrText xml:space="preserve">PAGEREF _Toc240381774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3CBBDB27">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"_Toc240381775" </w:instrText>
      </w:r>
      <w:r>
        <w:fldChar w:fldCharType="separate"/>
      </w:r>
      <w:r>
        <w:rPr>
          <w:rStyle w:val="36"/>
        </w:rPr>
        <w:t>6 划设要求</w:t>
      </w:r>
      <w:r>
        <w:rPr>
          <w:rFonts w:hint="eastAsia"/>
        </w:rPr>
        <w:tab/>
      </w:r>
      <w:r>
        <w:rPr>
          <w:rFonts w:hint="eastAsia"/>
        </w:rPr>
        <w:fldChar w:fldCharType="begin"/>
      </w:r>
      <w:r>
        <w:rPr>
          <w:rFonts w:hint="eastAsia"/>
        </w:rPr>
        <w:instrText xml:space="preserve"> </w:instrText>
      </w:r>
      <w:r>
        <w:instrText xml:space="preserve">PAGEREF _Toc240381775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0DD34368">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"_Toc240381776" </w:instrText>
      </w:r>
      <w:r>
        <w:fldChar w:fldCharType="separate"/>
      </w:r>
      <w:r>
        <w:rPr>
          <w:rStyle w:val="36"/>
        </w:rPr>
        <w:t>7 划设方法</w:t>
      </w:r>
      <w:r>
        <w:rPr>
          <w:rFonts w:hint="eastAsia"/>
        </w:rPr>
        <w:tab/>
      </w:r>
      <w:r>
        <w:rPr>
          <w:rFonts w:hint="eastAsia"/>
        </w:rPr>
        <w:fldChar w:fldCharType="begin"/>
      </w:r>
      <w:r>
        <w:rPr>
          <w:rFonts w:hint="eastAsia"/>
        </w:rPr>
        <w:instrText xml:space="preserve"> </w:instrText>
      </w:r>
      <w:r>
        <w:instrText xml:space="preserve">PAGEREF _Toc240381776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7CCDB742">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"_Toc240381777" </w:instrText>
      </w:r>
      <w:r>
        <w:fldChar w:fldCharType="separate"/>
      </w:r>
      <w:r>
        <w:rPr>
          <w:rStyle w:val="36"/>
        </w:rPr>
        <w:t>8 划设评估指标要素</w:t>
      </w:r>
      <w:r>
        <w:rPr>
          <w:rFonts w:hint="eastAsia"/>
        </w:rPr>
        <w:tab/>
      </w:r>
      <w:r>
        <w:rPr>
          <w:rFonts w:hint="eastAsia"/>
        </w:rPr>
        <w:fldChar w:fldCharType="begin"/>
      </w:r>
      <w:r>
        <w:rPr>
          <w:rFonts w:hint="eastAsia"/>
        </w:rPr>
        <w:instrText xml:space="preserve"> </w:instrText>
      </w:r>
      <w:r>
        <w:instrText xml:space="preserve">PAGEREF _Toc240381777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7AFC4DF1">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"_Toc240381778" </w:instrText>
      </w:r>
      <w:r>
        <w:fldChar w:fldCharType="separate"/>
      </w:r>
      <w:r>
        <w:rPr>
          <w:rStyle w:val="36"/>
        </w:rPr>
        <w:t>9 划设流程</w:t>
      </w:r>
      <w:r>
        <w:rPr>
          <w:rFonts w:hint="eastAsia"/>
        </w:rPr>
        <w:tab/>
      </w:r>
      <w:r>
        <w:rPr>
          <w:rFonts w:hint="eastAsia"/>
        </w:rPr>
        <w:fldChar w:fldCharType="begin"/>
      </w:r>
      <w:r>
        <w:rPr>
          <w:rFonts w:hint="eastAsia"/>
        </w:rPr>
        <w:instrText xml:space="preserve"> </w:instrText>
      </w:r>
      <w:r>
        <w:instrText xml:space="preserve">PAGEREF _Toc240381778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3C471734">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"_Toc240381779" </w:instrText>
      </w:r>
      <w:r>
        <w:fldChar w:fldCharType="separate"/>
      </w:r>
      <w:r>
        <w:rPr>
          <w:rStyle w:val="36"/>
        </w:rPr>
        <w:t>10 标准实施及评价</w:t>
      </w:r>
      <w:r>
        <w:rPr>
          <w:rFonts w:hint="eastAsia"/>
        </w:rPr>
        <w:tab/>
      </w:r>
      <w:r>
        <w:rPr>
          <w:rFonts w:hint="eastAsia"/>
        </w:rPr>
        <w:fldChar w:fldCharType="begin"/>
      </w:r>
      <w:r>
        <w:rPr>
          <w:rFonts w:hint="eastAsia"/>
        </w:rPr>
        <w:instrText xml:space="preserve"> </w:instrText>
      </w:r>
      <w:r>
        <w:instrText xml:space="preserve">PAGEREF _Toc240381779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0E51FB16">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"_Toc240381780" </w:instrText>
      </w:r>
      <w:r>
        <w:fldChar w:fldCharType="separate"/>
      </w:r>
      <w:r>
        <w:rPr>
          <w:rStyle w:val="36"/>
          <w:spacing w:val="100"/>
        </w:rPr>
        <w:t>附录A</w:t>
      </w:r>
      <w:r>
        <w:rPr>
          <w:rStyle w:val="36"/>
        </w:rPr>
        <w:t xml:space="preserve"> （资料性） 低空航路/航线划设评估指标要素计算参考方法</w:t>
      </w:r>
      <w:r>
        <w:rPr>
          <w:rFonts w:hint="eastAsia"/>
        </w:rPr>
        <w:tab/>
      </w:r>
      <w:r>
        <w:rPr>
          <w:rFonts w:hint="eastAsia"/>
        </w:rPr>
        <w:fldChar w:fldCharType="begin"/>
      </w:r>
      <w:r>
        <w:rPr>
          <w:rFonts w:hint="eastAsia"/>
        </w:rPr>
        <w:instrText xml:space="preserve"> </w:instrText>
      </w:r>
      <w:r>
        <w:instrText xml:space="preserve">PAGEREF _Toc240381780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7A1A429F">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"_Toc240381781" </w:instrText>
      </w:r>
      <w:r>
        <w:fldChar w:fldCharType="separate"/>
      </w:r>
      <w:r>
        <w:rPr>
          <w:rStyle w:val="36"/>
          <w:spacing w:val="100"/>
        </w:rPr>
        <w:t>附录B</w:t>
      </w:r>
      <w:r>
        <w:rPr>
          <w:rStyle w:val="36"/>
        </w:rPr>
        <w:t xml:space="preserve"> （资料性） 低空航路/航线发布信息参考</w:t>
      </w:r>
      <w:r>
        <w:rPr>
          <w:rFonts w:hint="eastAsia"/>
        </w:rPr>
        <w:tab/>
      </w:r>
      <w:r>
        <w:rPr>
          <w:rFonts w:hint="eastAsia"/>
        </w:rPr>
        <w:fldChar w:fldCharType="begin"/>
      </w:r>
      <w:r>
        <w:rPr>
          <w:rFonts w:hint="eastAsia"/>
        </w:rPr>
        <w:instrText xml:space="preserve"> </w:instrText>
      </w:r>
      <w:r>
        <w:instrText xml:space="preserve">PAGEREF _Toc240381781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5C7AC07A">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"_Toc240381782" </w:instrText>
      </w:r>
      <w:r>
        <w:fldChar w:fldCharType="separate"/>
      </w:r>
      <w:r>
        <w:rPr>
          <w:rStyle w:val="36"/>
          <w:spacing w:val="100"/>
        </w:rPr>
        <w:t>附录C</w:t>
      </w:r>
      <w:r>
        <w:rPr>
          <w:rStyle w:val="36"/>
        </w:rPr>
        <w:t xml:space="preserve"> （资料性） 湖北省地方标准实施信息及意见反馈表</w:t>
      </w:r>
      <w:r>
        <w:rPr>
          <w:rFonts w:hint="eastAsia"/>
        </w:rPr>
        <w:tab/>
      </w:r>
      <w:r>
        <w:rPr>
          <w:rFonts w:hint="eastAsia"/>
        </w:rPr>
        <w:fldChar w:fldCharType="begin"/>
      </w:r>
      <w:r>
        <w:rPr>
          <w:rFonts w:hint="eastAsia"/>
        </w:rPr>
        <w:instrText xml:space="preserve"> </w:instrText>
      </w:r>
      <w:r>
        <w:instrText xml:space="preserve">PAGEREF _Toc240381782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6C36E5C1">
      <w:pPr>
        <w:pStyle w:val="22"/>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"_Toc240381783" </w:instrText>
      </w:r>
      <w:r>
        <w:fldChar w:fldCharType="separate"/>
      </w:r>
      <w:r>
        <w:rPr>
          <w:rStyle w:val="36"/>
          <w:spacing w:val="105"/>
        </w:rPr>
        <w:t>参考文</w:t>
      </w:r>
      <w:r>
        <w:rPr>
          <w:rStyle w:val="36"/>
        </w:rPr>
        <w:t>献</w:t>
      </w:r>
      <w:r>
        <w:rPr>
          <w:rFonts w:hint="eastAsia"/>
        </w:rPr>
        <w:tab/>
      </w:r>
      <w:r>
        <w:rPr>
          <w:rFonts w:hint="eastAsia"/>
        </w:rPr>
        <w:fldChar w:fldCharType="begin"/>
      </w:r>
      <w:r>
        <w:rPr>
          <w:rFonts w:hint="eastAsia"/>
        </w:rPr>
        <w:instrText xml:space="preserve"> </w:instrText>
      </w:r>
      <w:r>
        <w:instrText xml:space="preserve">PAGEREF _Toc240381783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5B88551F">
      <w:pPr>
        <w:pStyle w:val="96"/>
        <w:spacing w:after="468"/>
        <w:rPr>
          <w:color w:val="000000" w:themeColor="text1"/>
          <w14:textFill>
            <w14:solidFill>
              <w14:schemeClr w14:val="tx1"/>
            </w14:solidFill>
          </w14:textFill>
        </w:rPr>
        <w:sectPr>
          <w:headerReference r:id="rId11" w:type="default"/>
          <w:footerReference r:id="rId13" w:type="default"/>
          <w:headerReference r:id="rId12" w:type="even"/>
          <w:pgSz w:w="11906" w:h="16838"/>
          <w:pgMar w:top="2410" w:right="1134" w:bottom="1134" w:left="1134" w:header="1418" w:footer="1134" w:gutter="284"/>
          <w:pgNumType w:fmt="upperRoman" w:start="1"/>
          <w:cols w:space="425" w:num="1"/>
          <w:formProt w:val="0"/>
          <w:docGrid w:type="lines" w:linePitch="312" w:charSpace="0"/>
        </w:sectPr>
      </w:pPr>
      <w:r>
        <w:rPr>
          <w:color w:val="000000" w:themeColor="text1"/>
          <w14:textFill>
            <w14:solidFill>
              <w14:schemeClr w14:val="tx1"/>
            </w14:solidFill>
          </w14:textFill>
        </w:rPr>
        <w:fldChar w:fldCharType="end"/>
      </w:r>
    </w:p>
    <w:bookmarkEnd w:id="17"/>
    <w:p w14:paraId="5B885520">
      <w:pPr>
        <w:pStyle w:val="94"/>
        <w:widowControl w:val="0"/>
        <w:spacing w:after="468"/>
        <w:rPr>
          <w:color w:val="000000" w:themeColor="text1"/>
          <w14:textFill>
            <w14:solidFill>
              <w14:schemeClr w14:val="tx1"/>
            </w14:solidFill>
          </w14:textFill>
        </w:rPr>
      </w:pPr>
      <w:bookmarkStart w:id="18" w:name="_Toc240381769"/>
      <w:bookmarkStart w:id="19" w:name="BookMark2"/>
      <w:r>
        <w:rPr>
          <w:color w:val="000000" w:themeColor="text1"/>
          <w:spacing w:val="320"/>
          <w14:textFill>
            <w14:solidFill>
              <w14:schemeClr w14:val="tx1"/>
            </w14:solidFill>
          </w14:textFill>
        </w:rPr>
        <w:t>前</w:t>
      </w:r>
      <w:r>
        <w:rPr>
          <w:color w:val="000000" w:themeColor="text1"/>
          <w14:textFill>
            <w14:solidFill>
              <w14:schemeClr w14:val="tx1"/>
            </w14:solidFill>
          </w14:textFill>
        </w:rPr>
        <w:t>言</w:t>
      </w:r>
      <w:bookmarkEnd w:id="18"/>
    </w:p>
    <w:p w14:paraId="5B885521">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本文件按照GB/T 1.1—2020《标准化工作导则  第1部分：标准化文件的结构和起草规则》的规定起草。</w:t>
      </w:r>
    </w:p>
    <w:p w14:paraId="5B885522">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请注意本文件中的某些内容可能涉及专利。本文件的发布机构不负责承担识别这些专利的责任。</w:t>
      </w:r>
    </w:p>
    <w:p w14:paraId="5B885523">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本文件由湖北省低空综合服务有限责任公司提出。</w:t>
      </w:r>
    </w:p>
    <w:p w14:paraId="5B885524">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本文件由</w:t>
      </w:r>
      <w:r>
        <w:rPr>
          <w:rFonts w:hint="eastAsia" w:hAnsi="宋体"/>
          <w:color w:val="000000" w:themeColor="text1"/>
          <w:szCs w:val="21"/>
          <w14:textFill>
            <w14:solidFill>
              <w14:schemeClr w14:val="tx1"/>
            </w14:solidFill>
          </w14:textFill>
        </w:rPr>
        <w:t>湖北省发展和改革委员会</w:t>
      </w:r>
      <w:r>
        <w:rPr>
          <w:rFonts w:hint="eastAsia"/>
          <w:color w:val="000000" w:themeColor="text1"/>
          <w14:textFill>
            <w14:solidFill>
              <w14:schemeClr w14:val="tx1"/>
            </w14:solidFill>
          </w14:textFill>
        </w:rPr>
        <w:t>归口。</w:t>
      </w:r>
    </w:p>
    <w:p w14:paraId="5B885525">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本文件起草单位：湖北省低空综合服务有限责任公司、湖北省标准化与质量研究院、中国民航大学科技创新研究院、北京航空航天大学杭州创新研究院</w:t>
      </w:r>
      <w:bookmarkStart w:id="671" w:name="_GoBack"/>
      <w:bookmarkEnd w:id="671"/>
      <w:r>
        <w:rPr>
          <w:rFonts w:hint="eastAsia"/>
          <w:color w:val="000000" w:themeColor="text1"/>
          <w14:textFill>
            <w14:solidFill>
              <w14:schemeClr w14:val="tx1"/>
            </w14:solidFill>
          </w14:textFill>
        </w:rPr>
        <w:t>。</w:t>
      </w:r>
    </w:p>
    <w:p w14:paraId="5B885526">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本文件主要起草人：</w:t>
      </w:r>
      <w:r>
        <w:rPr>
          <w:color w:val="000000" w:themeColor="text1"/>
          <w14:textFill>
            <w14:solidFill>
              <w14:schemeClr w14:val="tx1"/>
            </w14:solidFill>
          </w14:textFill>
        </w:rPr>
        <w:t xml:space="preserve">XX、XX、XX、XX、XX、XX、XX、XX、XX。 </w:t>
      </w:r>
    </w:p>
    <w:p w14:paraId="5B885527">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本文件实施应用中的疑问，可咨询湖北省发展和改革委员会，联系电话：027-</w:t>
      </w:r>
      <w:r>
        <w:rPr>
          <w:color w:val="000000" w:themeColor="text1"/>
          <w14:textFill>
            <w14:solidFill>
              <w14:schemeClr w14:val="tx1"/>
            </w14:solidFill>
          </w14:textFill>
        </w:rPr>
        <w:t>XXXXXXXX</w:t>
      </w:r>
      <w:r>
        <w:rPr>
          <w:rFonts w:hint="eastAsia"/>
          <w:color w:val="000000" w:themeColor="text1"/>
          <w14:textFill>
            <w14:solidFill>
              <w14:schemeClr w14:val="tx1"/>
            </w14:solidFill>
          </w14:textFill>
        </w:rPr>
        <w:t>，邮箱：X</w:t>
      </w:r>
      <w:r>
        <w:rPr>
          <w:color w:val="000000" w:themeColor="text1"/>
          <w14:textFill>
            <w14:solidFill>
              <w14:schemeClr w14:val="tx1"/>
            </w14:solidFill>
          </w14:textFill>
        </w:rPr>
        <w:t>XXXXXXXXXXXX</w:t>
      </w:r>
      <w:r>
        <w:rPr>
          <w:rFonts w:hint="eastAsia"/>
          <w:color w:val="000000" w:themeColor="text1"/>
          <w14:textFill>
            <w14:solidFill>
              <w14:schemeClr w14:val="tx1"/>
            </w14:solidFill>
          </w14:textFill>
        </w:rPr>
        <w:t>；或者牵头单位，联系电话：027-</w:t>
      </w:r>
      <w:r>
        <w:rPr>
          <w:color w:val="000000" w:themeColor="text1"/>
          <w14:textFill>
            <w14:solidFill>
              <w14:schemeClr w14:val="tx1"/>
            </w14:solidFill>
          </w14:textFill>
        </w:rPr>
        <w:t>XXXXXXXX</w:t>
      </w:r>
      <w:r>
        <w:rPr>
          <w:rFonts w:hint="eastAsia"/>
          <w:color w:val="000000" w:themeColor="text1"/>
          <w14:textFill>
            <w14:solidFill>
              <w14:schemeClr w14:val="tx1"/>
            </w14:solidFill>
          </w14:textFill>
        </w:rPr>
        <w:t>，邮箱：X</w:t>
      </w:r>
      <w:r>
        <w:rPr>
          <w:color w:val="000000" w:themeColor="text1"/>
          <w14:textFill>
            <w14:solidFill>
              <w14:schemeClr w14:val="tx1"/>
            </w14:solidFill>
          </w14:textFill>
        </w:rPr>
        <w:t>XXXXXXXXXXXX</w:t>
      </w:r>
      <w:r>
        <w:rPr>
          <w:rFonts w:hint="eastAsia"/>
          <w:color w:val="000000" w:themeColor="text1"/>
          <w14:textFill>
            <w14:solidFill>
              <w14:schemeClr w14:val="tx1"/>
            </w14:solidFill>
          </w14:textFill>
        </w:rPr>
        <w:t>。对本文件的有关修改意见建议请反馈至湖北省发展和改革委员会，联系电话：027-</w:t>
      </w:r>
      <w:r>
        <w:rPr>
          <w:color w:val="000000" w:themeColor="text1"/>
          <w14:textFill>
            <w14:solidFill>
              <w14:schemeClr w14:val="tx1"/>
            </w14:solidFill>
          </w14:textFill>
        </w:rPr>
        <w:t>XXXXXXXX</w:t>
      </w:r>
      <w:r>
        <w:rPr>
          <w:rFonts w:hint="eastAsia"/>
          <w:color w:val="000000" w:themeColor="text1"/>
          <w14:textFill>
            <w14:solidFill>
              <w14:schemeClr w14:val="tx1"/>
            </w14:solidFill>
          </w14:textFill>
        </w:rPr>
        <w:t>，邮箱：X</w:t>
      </w:r>
      <w:r>
        <w:rPr>
          <w:color w:val="000000" w:themeColor="text1"/>
          <w14:textFill>
            <w14:solidFill>
              <w14:schemeClr w14:val="tx1"/>
            </w14:solidFill>
          </w14:textFill>
        </w:rPr>
        <w:t>XXXXXXXXXXXX</w:t>
      </w:r>
      <w:r>
        <w:rPr>
          <w:rFonts w:hint="eastAsia"/>
          <w:color w:val="000000" w:themeColor="text1"/>
          <w14:textFill>
            <w14:solidFill>
              <w14:schemeClr w14:val="tx1"/>
            </w14:solidFill>
          </w14:textFill>
        </w:rPr>
        <w:t>；或者湖北省市场监督管理局，联系电话：027-</w:t>
      </w:r>
      <w:r>
        <w:rPr>
          <w:color w:val="000000" w:themeColor="text1"/>
          <w14:textFill>
            <w14:solidFill>
              <w14:schemeClr w14:val="tx1"/>
            </w14:solidFill>
          </w14:textFill>
        </w:rPr>
        <w:t>XXXXXXXX</w:t>
      </w:r>
      <w:r>
        <w:rPr>
          <w:rFonts w:hint="eastAsia"/>
          <w:color w:val="000000" w:themeColor="text1"/>
          <w14:textFill>
            <w14:solidFill>
              <w14:schemeClr w14:val="tx1"/>
            </w14:solidFill>
          </w14:textFill>
        </w:rPr>
        <w:t>，邮箱：X</w:t>
      </w:r>
      <w:r>
        <w:rPr>
          <w:color w:val="000000" w:themeColor="text1"/>
          <w14:textFill>
            <w14:solidFill>
              <w14:schemeClr w14:val="tx1"/>
            </w14:solidFill>
          </w14:textFill>
        </w:rPr>
        <w:t>XXXXXXXXXXXX</w:t>
      </w:r>
      <w:r>
        <w:rPr>
          <w:rFonts w:hint="eastAsia"/>
          <w:color w:val="000000" w:themeColor="text1"/>
          <w14:textFill>
            <w14:solidFill>
              <w14:schemeClr w14:val="tx1"/>
            </w14:solidFill>
          </w14:textFill>
        </w:rPr>
        <w:t>。</w:t>
      </w:r>
    </w:p>
    <w:p w14:paraId="5B885528">
      <w:pPr>
        <w:pStyle w:val="61"/>
        <w:widowControl w:val="0"/>
        <w:ind w:firstLine="420"/>
        <w:rPr>
          <w:color w:val="000000" w:themeColor="text1"/>
          <w14:textFill>
            <w14:solidFill>
              <w14:schemeClr w14:val="tx1"/>
            </w14:solidFill>
          </w14:textFill>
        </w:rPr>
        <w:sectPr>
          <w:pgSz w:w="11906" w:h="16838"/>
          <w:pgMar w:top="2410" w:right="1134" w:bottom="1134" w:left="1134" w:header="1418" w:footer="1134" w:gutter="284"/>
          <w:pgNumType w:fmt="upperRoman"/>
          <w:cols w:space="425" w:num="1"/>
          <w:formProt w:val="0"/>
          <w:docGrid w:type="lines" w:linePitch="312" w:charSpace="0"/>
        </w:sectPr>
      </w:pPr>
    </w:p>
    <w:bookmarkEnd w:id="19"/>
    <w:p w14:paraId="5B885529">
      <w:pPr>
        <w:spacing w:line="20" w:lineRule="exact"/>
        <w:jc w:val="center"/>
        <w:rPr>
          <w:rFonts w:ascii="黑体" w:hAnsi="黑体" w:eastAsia="黑体"/>
          <w:color w:val="000000" w:themeColor="text1"/>
          <w:sz w:val="32"/>
          <w:szCs w:val="32"/>
          <w14:textFill>
            <w14:solidFill>
              <w14:schemeClr w14:val="tx1"/>
            </w14:solidFill>
          </w14:textFill>
        </w:rPr>
      </w:pPr>
      <w:bookmarkStart w:id="20" w:name="BookMark4"/>
    </w:p>
    <w:p w14:paraId="5B88552A">
      <w:pPr>
        <w:spacing w:line="20" w:lineRule="exact"/>
        <w:jc w:val="center"/>
        <w:rPr>
          <w:rFonts w:ascii="黑体" w:hAnsi="黑体" w:eastAsia="黑体"/>
          <w:color w:val="000000" w:themeColor="text1"/>
          <w:sz w:val="32"/>
          <w:szCs w:val="32"/>
          <w14:textFill>
            <w14:solidFill>
              <w14:schemeClr w14:val="tx1"/>
            </w14:solidFill>
          </w14:textFill>
        </w:rPr>
      </w:pPr>
    </w:p>
    <w:sdt>
      <w:sdtPr>
        <w:rPr>
          <w:color w:val="000000" w:themeColor="text1"/>
          <w14:textFill>
            <w14:solidFill>
              <w14:schemeClr w14:val="tx1"/>
            </w14:solidFill>
          </w14:textFill>
        </w:rPr>
        <w:tag w:val="NEW_STAND_NAME"/>
        <w:id w:val="595910757"/>
        <w:lock w:val="sdtLocked"/>
        <w:placeholder>
          <w:docPart w:val="DCA9705200F54D5DA63CB215674CDF32"/>
        </w:placeholder>
      </w:sdtPr>
      <w:sdtEndPr>
        <w:rPr>
          <w:color w:val="000000" w:themeColor="text1"/>
          <w14:textFill>
            <w14:solidFill>
              <w14:schemeClr w14:val="tx1"/>
            </w14:solidFill>
          </w14:textFill>
        </w:rPr>
      </w:sdtEndPr>
      <w:sdtContent>
        <w:p w14:paraId="5B88552B">
          <w:pPr>
            <w:pStyle w:val="182"/>
            <w:widowControl w:val="0"/>
            <w:spacing w:before="3" w:beforeLines="1" w:after="0"/>
            <w:rPr>
              <w:color w:val="000000" w:themeColor="text1"/>
              <w14:textFill>
                <w14:solidFill>
                  <w14:schemeClr w14:val="tx1"/>
                </w14:solidFill>
              </w14:textFill>
            </w:rPr>
          </w:pPr>
          <w:bookmarkStart w:id="21" w:name="NEW_STAND_NAME"/>
          <w:r>
            <w:rPr>
              <w:rFonts w:hint="eastAsia"/>
              <w:color w:val="000000" w:themeColor="text1"/>
              <w14:textFill>
                <w14:solidFill>
                  <w14:schemeClr w14:val="tx1"/>
                </w14:solidFill>
              </w14:textFill>
            </w:rPr>
            <w:t>基于湖北地貌特征的低空无人驾驶航空器</w:t>
          </w:r>
        </w:p>
        <w:p w14:paraId="5B88552C">
          <w:pPr>
            <w:pStyle w:val="182"/>
            <w:widowControl w:val="0"/>
            <w:spacing w:before="3" w:beforeLines="1" w:after="686" w:afterLines="220"/>
            <w:rPr>
              <w:color w:val="000000" w:themeColor="text1"/>
              <w14:textFill>
                <w14:solidFill>
                  <w14:schemeClr w14:val="tx1"/>
                </w14:solidFill>
              </w14:textFill>
            </w:rPr>
          </w:pPr>
          <w:r>
            <w:rPr>
              <w:rFonts w:hint="eastAsia"/>
              <w:color w:val="000000" w:themeColor="text1"/>
              <w14:textFill>
                <w14:solidFill>
                  <w14:schemeClr w14:val="tx1"/>
                </w14:solidFill>
              </w14:textFill>
            </w:rPr>
            <w:t>非中心城区航线划设指南</w:t>
          </w:r>
        </w:p>
      </w:sdtContent>
    </w:sdt>
    <w:bookmarkEnd w:id="21"/>
    <w:p w14:paraId="5B88552D">
      <w:pPr>
        <w:pStyle w:val="109"/>
        <w:widowControl w:val="0"/>
        <w:spacing w:before="312" w:after="312"/>
        <w:ind w:left="0"/>
        <w:rPr>
          <w:color w:val="000000" w:themeColor="text1"/>
          <w14:textFill>
            <w14:solidFill>
              <w14:schemeClr w14:val="tx1"/>
            </w14:solidFill>
          </w14:textFill>
        </w:rPr>
      </w:pPr>
      <w:bookmarkStart w:id="22" w:name="_Toc24884218"/>
      <w:bookmarkStart w:id="23" w:name="_Toc26648465"/>
      <w:bookmarkStart w:id="24" w:name="_Toc26718930"/>
      <w:bookmarkStart w:id="25" w:name="_Toc240381770"/>
      <w:bookmarkStart w:id="26" w:name="_Toc17233333"/>
      <w:bookmarkStart w:id="27" w:name="_Toc17233325"/>
      <w:bookmarkStart w:id="28" w:name="_Toc24884211"/>
      <w:bookmarkStart w:id="29" w:name="_Toc26986771"/>
      <w:bookmarkStart w:id="30" w:name="_Toc26986530"/>
      <w:r>
        <w:rPr>
          <w:rFonts w:hint="eastAsia"/>
          <w:color w:val="000000" w:themeColor="text1"/>
          <w14:textFill>
            <w14:solidFill>
              <w14:schemeClr w14:val="tx1"/>
            </w14:solidFill>
          </w14:textFill>
        </w:rPr>
        <w:t>范围</w:t>
      </w:r>
      <w:bookmarkEnd w:id="22"/>
      <w:bookmarkEnd w:id="23"/>
      <w:bookmarkEnd w:id="24"/>
      <w:bookmarkEnd w:id="25"/>
      <w:bookmarkEnd w:id="26"/>
      <w:bookmarkEnd w:id="27"/>
      <w:bookmarkEnd w:id="28"/>
      <w:bookmarkEnd w:id="29"/>
      <w:bookmarkEnd w:id="30"/>
    </w:p>
    <w:p w14:paraId="5B88552E">
      <w:pPr>
        <w:pStyle w:val="61"/>
        <w:widowControl w:val="0"/>
        <w:ind w:firstLine="420"/>
        <w:rPr>
          <w:color w:val="000000" w:themeColor="text1"/>
          <w14:textFill>
            <w14:solidFill>
              <w14:schemeClr w14:val="tx1"/>
            </w14:solidFill>
          </w14:textFill>
        </w:rPr>
      </w:pPr>
      <w:bookmarkStart w:id="31" w:name="_Toc24884212"/>
      <w:bookmarkStart w:id="32" w:name="_Toc17233334"/>
      <w:bookmarkStart w:id="33" w:name="_Toc24884219"/>
      <w:bookmarkStart w:id="34" w:name="_Toc26648466"/>
      <w:bookmarkStart w:id="35" w:name="_Toc17233326"/>
      <w:r>
        <w:rPr>
          <w:rFonts w:hint="eastAsia"/>
          <w:color w:val="000000" w:themeColor="text1"/>
          <w14:textFill>
            <w14:solidFill>
              <w14:schemeClr w14:val="tx1"/>
            </w14:solidFill>
          </w14:textFill>
        </w:rPr>
        <w:t>本文件提供了基于湖北地貌特征的低空无人驾驶航空器航路/航线的划设原则、要求、方法、指标要素、流程等方面的指导与参考。</w:t>
      </w:r>
    </w:p>
    <w:p w14:paraId="5B88552F">
      <w:pPr>
        <w:pStyle w:val="61"/>
        <w:widowControl w:val="0"/>
        <w:ind w:firstLine="420"/>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本文件适用于湖北省内最大起飞重量不超过150千克的低空无人驾驶航空器的航路/航线划设及管理工作</w:t>
      </w:r>
      <w:r>
        <w:rPr>
          <w:rFonts w:hint="eastAsia"/>
          <w:color w:val="000000" w:themeColor="text1"/>
          <w:szCs w:val="21"/>
          <w14:textFill>
            <w14:solidFill>
              <w14:schemeClr w14:val="tx1"/>
            </w14:solidFill>
          </w14:textFill>
        </w:rPr>
        <w:t>。最大起飞重量超过150千克的低空无人驾驶航空器的航路/航线划设及管理工作可参照执行，同时需结合此类航空器性能和运行风险，统筹考虑增强通信导航监视能力、扩大低空航路/航线的保护区范围等要求。</w:t>
      </w:r>
    </w:p>
    <w:p w14:paraId="5B885530">
      <w:pPr>
        <w:pStyle w:val="109"/>
        <w:widowControl w:val="0"/>
        <w:spacing w:before="312" w:after="312"/>
        <w:ind w:left="0"/>
        <w:rPr>
          <w:color w:val="000000" w:themeColor="text1"/>
          <w14:textFill>
            <w14:solidFill>
              <w14:schemeClr w14:val="tx1"/>
            </w14:solidFill>
          </w14:textFill>
        </w:rPr>
      </w:pPr>
      <w:bookmarkStart w:id="36" w:name="_Toc234855668"/>
      <w:bookmarkEnd w:id="36"/>
      <w:bookmarkStart w:id="37" w:name="_Toc234855271"/>
      <w:bookmarkEnd w:id="37"/>
      <w:bookmarkStart w:id="38" w:name="_Toc234855385"/>
      <w:bookmarkEnd w:id="38"/>
      <w:bookmarkStart w:id="39" w:name="_Toc234424765"/>
      <w:bookmarkEnd w:id="39"/>
      <w:bookmarkStart w:id="40" w:name="_Toc234856456"/>
      <w:bookmarkEnd w:id="40"/>
      <w:bookmarkStart w:id="41" w:name="_Toc26986531"/>
      <w:bookmarkStart w:id="42" w:name="_Toc240381771"/>
      <w:bookmarkStart w:id="43" w:name="_Toc26986772"/>
      <w:bookmarkStart w:id="44" w:name="_Toc26718931"/>
      <w:r>
        <w:rPr>
          <w:rFonts w:hint="eastAsia"/>
          <w:color w:val="000000" w:themeColor="text1"/>
          <w14:textFill>
            <w14:solidFill>
              <w14:schemeClr w14:val="tx1"/>
            </w14:solidFill>
          </w14:textFill>
        </w:rPr>
        <w:t>规范性引用文件</w:t>
      </w:r>
      <w:bookmarkEnd w:id="31"/>
      <w:bookmarkEnd w:id="32"/>
      <w:bookmarkEnd w:id="33"/>
      <w:bookmarkEnd w:id="34"/>
      <w:bookmarkEnd w:id="35"/>
      <w:bookmarkEnd w:id="41"/>
      <w:bookmarkEnd w:id="42"/>
      <w:bookmarkEnd w:id="43"/>
      <w:bookmarkEnd w:id="44"/>
    </w:p>
    <w:sdt>
      <w:sdtPr>
        <w:rPr>
          <w:rFonts w:hint="eastAsia"/>
          <w:color w:val="000000" w:themeColor="text1"/>
          <w14:textFill>
            <w14:solidFill>
              <w14:schemeClr w14:val="tx1"/>
            </w14:solidFill>
          </w14:textFill>
        </w:rPr>
        <w:id w:val="715848253"/>
        <w:placeholder>
          <w:docPart w:val="A78AD1C4A6FE4F85BA56B7411691F9B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000000" w:themeColor="text1"/>
          <w14:textFill>
            <w14:solidFill>
              <w14:schemeClr w14:val="tx1"/>
            </w14:solidFill>
          </w14:textFill>
        </w:rPr>
      </w:sdtEndPr>
      <w:sdtContent>
        <w:p w14:paraId="5B885531">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本文件没有规范性引用文件。</w:t>
          </w:r>
        </w:p>
      </w:sdtContent>
    </w:sdt>
    <w:p w14:paraId="5B885532">
      <w:pPr>
        <w:pStyle w:val="109"/>
        <w:widowControl w:val="0"/>
        <w:spacing w:before="312" w:after="312"/>
        <w:ind w:left="0"/>
        <w:rPr>
          <w:color w:val="000000" w:themeColor="text1"/>
          <w:szCs w:val="21"/>
          <w14:textFill>
            <w14:solidFill>
              <w14:schemeClr w14:val="tx1"/>
            </w14:solidFill>
          </w14:textFill>
        </w:rPr>
      </w:pPr>
      <w:bookmarkStart w:id="45" w:name="_Toc236041840"/>
      <w:bookmarkEnd w:id="45"/>
      <w:bookmarkStart w:id="46" w:name="_Toc234856458"/>
      <w:bookmarkEnd w:id="46"/>
      <w:bookmarkStart w:id="47" w:name="_Toc234855387"/>
      <w:bookmarkEnd w:id="47"/>
      <w:bookmarkStart w:id="48" w:name="_Toc234855273"/>
      <w:bookmarkEnd w:id="48"/>
      <w:bookmarkStart w:id="49" w:name="_Toc234855670"/>
      <w:bookmarkEnd w:id="49"/>
      <w:bookmarkStart w:id="50" w:name="_Toc240381772"/>
      <w:r>
        <w:rPr>
          <w:rFonts w:hint="eastAsia"/>
          <w:color w:val="000000" w:themeColor="text1"/>
          <w:szCs w:val="21"/>
          <w14:textFill>
            <w14:solidFill>
              <w14:schemeClr w14:val="tx1"/>
            </w14:solidFill>
          </w14:textFill>
        </w:rPr>
        <w:t>术语和定义</w:t>
      </w:r>
      <w:bookmarkEnd w:id="50"/>
    </w:p>
    <w:sdt>
      <w:sdtPr>
        <w:rPr>
          <w:rFonts w:hint="eastAsia"/>
          <w:color w:val="000000" w:themeColor="text1"/>
          <w14:textFill>
            <w14:solidFill>
              <w14:schemeClr w14:val="tx1"/>
            </w14:solidFill>
          </w14:textFill>
        </w:rPr>
        <w:id w:val="-1909835108"/>
        <w:placeholder>
          <w:docPart w:val="85EDC9AD9BB14E2D8D4D102E2FF55561"/>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color w:val="000000" w:themeColor="text1"/>
          <w14:textFill>
            <w14:solidFill>
              <w14:schemeClr w14:val="tx1"/>
            </w14:solidFill>
          </w14:textFill>
        </w:rPr>
      </w:sdtEndPr>
      <w:sdtContent>
        <w:p w14:paraId="5B885533">
          <w:pPr>
            <w:pStyle w:val="61"/>
            <w:widowControl w:val="0"/>
            <w:ind w:firstLine="420"/>
            <w:rPr>
              <w:color w:val="000000" w:themeColor="text1"/>
              <w14:textFill>
                <w14:solidFill>
                  <w14:schemeClr w14:val="tx1"/>
                </w14:solidFill>
              </w14:textFill>
            </w:rPr>
          </w:pPr>
          <w:bookmarkStart w:id="51" w:name="_Toc26986532"/>
          <w:bookmarkEnd w:id="51"/>
          <w:r>
            <w:rPr>
              <w:rFonts w:hint="eastAsia"/>
              <w:color w:val="000000" w:themeColor="text1"/>
              <w14:textFill>
                <w14:solidFill>
                  <w14:schemeClr w14:val="tx1"/>
                </w14:solidFill>
              </w14:textFill>
            </w:rPr>
            <w:t>下列术语和定义适用于本文件。</w:t>
          </w:r>
        </w:p>
      </w:sdtContent>
    </w:sdt>
    <w:p w14:paraId="5B885534">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复杂地形区  complex</w:t>
      </w:r>
      <w:r>
        <w:rPr>
          <w:rFonts w:ascii="黑体" w:hAnsi="黑体" w:eastAsia="黑体"/>
          <w:color w:val="000000" w:themeColor="text1"/>
          <w14:textFill>
            <w14:solidFill>
              <w14:schemeClr w14:val="tx1"/>
            </w14:solidFill>
          </w14:textFill>
        </w:rPr>
        <w:t xml:space="preserve"> terrain area</w:t>
      </w:r>
    </w:p>
    <w:p w14:paraId="5B885535">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指地形起伏显著（地形剖面在18.5公里内地形变化超过900米）或障碍物分布复杂的区域，此类区域对低空航路/航线划设和飞行安全有特殊要求。</w:t>
      </w:r>
    </w:p>
    <w:p w14:paraId="5B885536">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低空航路</w:t>
      </w:r>
      <w:r>
        <w:rPr>
          <w:rFonts w:ascii="黑体" w:hAnsi="黑体" w:eastAsia="黑体"/>
          <w:color w:val="000000" w:themeColor="text1"/>
          <w14:textFill>
            <w14:solidFill>
              <w14:schemeClr w14:val="tx1"/>
            </w14:solidFill>
          </w14:textFill>
        </w:rPr>
        <w:t xml:space="preserve"> </w:t>
      </w:r>
      <w:r>
        <w:rPr>
          <w:rFonts w:hint="eastAsia" w:ascii="黑体" w:hAnsi="黑体" w:eastAsia="黑体"/>
          <w:color w:val="000000" w:themeColor="text1"/>
          <w14:textFill>
            <w14:solidFill>
              <w14:schemeClr w14:val="tx1"/>
            </w14:solidFill>
          </w14:textFill>
        </w:rPr>
        <w:t xml:space="preserve"> </w:t>
      </w:r>
      <w:r>
        <w:rPr>
          <w:rFonts w:ascii="黑体" w:hAnsi="黑体" w:eastAsia="黑体"/>
          <w:color w:val="000000" w:themeColor="text1"/>
          <w14:textFill>
            <w14:solidFill>
              <w14:schemeClr w14:val="tx1"/>
            </w14:solidFill>
          </w14:textFill>
        </w:rPr>
        <w:t>low-altitude airway</w:t>
      </w:r>
    </w:p>
    <w:p w14:paraId="5B885537">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指具有走向和宽度范围、垂直范围的走廊式飞行空域，供航空器从一个地点通行到另一个地点使用，主要保障大流量低空飞行活动。</w:t>
      </w:r>
    </w:p>
    <w:p w14:paraId="5B885538">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低空航线  low</w:t>
      </w:r>
      <w:r>
        <w:rPr>
          <w:rFonts w:ascii="黑体" w:hAnsi="黑体" w:eastAsia="黑体"/>
          <w:color w:val="000000" w:themeColor="text1"/>
          <w14:textFill>
            <w14:solidFill>
              <w14:schemeClr w14:val="tx1"/>
            </w14:solidFill>
          </w14:textFill>
        </w:rPr>
        <w:t>-altitude route</w:t>
      </w:r>
    </w:p>
    <w:p w14:paraId="5B885539">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指具有走向和垂直范围的线状式飞行空域，供航空器从一个地点通行到另一个地点使用，主要保障小流量低空飞行活动。</w:t>
      </w:r>
    </w:p>
    <w:p w14:paraId="5B88553A">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低空作业空域  low-altitude operational airspace</w:t>
      </w:r>
    </w:p>
    <w:p w14:paraId="5B88553B">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指具有一定宽度范围和垂直范围的块状式飞行空域，供低空无人驾驶航空器不规则飞行使用。</w:t>
      </w:r>
    </w:p>
    <w:p w14:paraId="5B88553C">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标称航径  nominal path</w:t>
      </w:r>
    </w:p>
    <w:p w14:paraId="5B88553D">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为完成飞行任务，低空交通服务提供方或运营人</w:t>
      </w:r>
      <w:r>
        <w:rPr>
          <w:rFonts w:hint="eastAsia" w:hAnsi="宋体"/>
          <w:color w:val="000000" w:themeColor="text1"/>
          <w14:textFill>
            <w14:solidFill>
              <w14:schemeClr w14:val="tx1"/>
            </w14:solidFill>
          </w14:textFill>
        </w:rPr>
        <w:t>（单位、个人，下同）</w:t>
      </w:r>
      <w:r>
        <w:rPr>
          <w:rFonts w:hint="eastAsia"/>
          <w:color w:val="000000" w:themeColor="text1"/>
          <w14:textFill>
            <w14:solidFill>
              <w14:schemeClr w14:val="tx1"/>
            </w14:solidFill>
          </w14:textFill>
        </w:rPr>
        <w:t>对低空无人驾驶航空器规划的飞行路径。</w:t>
      </w:r>
    </w:p>
    <w:p w14:paraId="5B88553E">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低空航路/航线保护区  low-altitude airway/route protection area</w:t>
      </w:r>
    </w:p>
    <w:p w14:paraId="5B88553F">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指为保障低空无人驾驶航空器在低空航路/航线上的安全飞行，以低空航路/航线标称航径（3.5）为基准向水平两侧和垂直上下延伸划定的缓冲空域，用以容纳导航误差、侧风偏移和机动偏差，防止航空器偏离低空航路/航线而引发不可接受的风险。</w:t>
      </w:r>
    </w:p>
    <w:p w14:paraId="5B885540">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航路点  way point</w:t>
      </w:r>
    </w:p>
    <w:p w14:paraId="5B885541">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指</w:t>
      </w:r>
      <w:r>
        <w:rPr>
          <w:color w:val="000000" w:themeColor="text1"/>
          <w14:textFill>
            <w14:solidFill>
              <w14:schemeClr w14:val="tx1"/>
            </w14:solidFill>
          </w14:textFill>
        </w:rPr>
        <w:t>用于</w:t>
      </w:r>
      <w:r>
        <w:rPr>
          <w:rFonts w:hint="eastAsia"/>
          <w:color w:val="000000" w:themeColor="text1"/>
          <w14:textFill>
            <w14:solidFill>
              <w14:schemeClr w14:val="tx1"/>
            </w14:solidFill>
          </w14:textFill>
        </w:rPr>
        <w:t>低空无人驾驶航空器</w:t>
      </w:r>
      <w:r>
        <w:rPr>
          <w:color w:val="000000" w:themeColor="text1"/>
          <w14:textFill>
            <w14:solidFill>
              <w14:schemeClr w14:val="tx1"/>
            </w14:solidFill>
          </w14:textFill>
        </w:rPr>
        <w:t>转弯控制、地形超障、导航定位、冲突避让的关键空间坐标点，</w:t>
      </w:r>
      <w:r>
        <w:rPr>
          <w:rFonts w:hint="eastAsia"/>
          <w:color w:val="000000" w:themeColor="text1"/>
          <w14:textFill>
            <w14:solidFill>
              <w14:schemeClr w14:val="tx1"/>
            </w14:solidFill>
          </w14:textFill>
        </w:rPr>
        <w:t>位于低空航路/航线标称航径（3.5）上，</w:t>
      </w:r>
      <w:r>
        <w:rPr>
          <w:color w:val="000000" w:themeColor="text1"/>
          <w14:textFill>
            <w14:solidFill>
              <w14:schemeClr w14:val="tx1"/>
            </w14:solidFill>
          </w14:textFill>
        </w:rPr>
        <w:t>是</w:t>
      </w:r>
      <w:r>
        <w:rPr>
          <w:rFonts w:hint="eastAsia"/>
          <w:color w:val="000000" w:themeColor="text1"/>
          <w14:textFill>
            <w14:solidFill>
              <w14:schemeClr w14:val="tx1"/>
            </w14:solidFill>
          </w14:textFill>
        </w:rPr>
        <w:t>低空航路/航线分段和</w:t>
      </w:r>
      <w:r>
        <w:rPr>
          <w:color w:val="000000" w:themeColor="text1"/>
          <w14:textFill>
            <w14:solidFill>
              <w14:schemeClr w14:val="tx1"/>
            </w14:solidFill>
          </w14:textFill>
        </w:rPr>
        <w:t>定位</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核心</w:t>
      </w:r>
      <w:r>
        <w:rPr>
          <w:rFonts w:hint="eastAsia"/>
          <w:color w:val="000000" w:themeColor="text1"/>
          <w14:textFill>
            <w14:solidFill>
              <w14:schemeClr w14:val="tx1"/>
            </w14:solidFill>
          </w14:textFill>
        </w:rPr>
        <w:t>地理位置</w:t>
      </w:r>
      <w:r>
        <w:rPr>
          <w:color w:val="000000" w:themeColor="text1"/>
          <w14:textFill>
            <w14:solidFill>
              <w14:schemeClr w14:val="tx1"/>
            </w14:solidFill>
          </w14:textFill>
        </w:rPr>
        <w:t>点</w:t>
      </w:r>
      <w:r>
        <w:rPr>
          <w:rFonts w:hint="eastAsia"/>
          <w:color w:val="000000" w:themeColor="text1"/>
          <w14:textFill>
            <w14:solidFill>
              <w14:schemeClr w14:val="tx1"/>
            </w14:solidFill>
          </w14:textFill>
        </w:rPr>
        <w:t>。</w:t>
      </w:r>
    </w:p>
    <w:p w14:paraId="5B885542">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 xml:space="preserve">进离场点  arrival </w:t>
      </w:r>
      <w:r>
        <w:rPr>
          <w:rFonts w:ascii="黑体" w:hAnsi="黑体" w:eastAsia="黑体"/>
          <w:color w:val="000000" w:themeColor="text1"/>
          <w14:textFill>
            <w14:solidFill>
              <w14:schemeClr w14:val="tx1"/>
            </w14:solidFill>
          </w14:textFill>
        </w:rPr>
        <w:t xml:space="preserve">and </w:t>
      </w:r>
      <w:r>
        <w:rPr>
          <w:rFonts w:hint="eastAsia" w:ascii="黑体" w:hAnsi="黑体" w:eastAsia="黑体"/>
          <w:color w:val="000000" w:themeColor="text1"/>
          <w14:textFill>
            <w14:solidFill>
              <w14:schemeClr w14:val="tx1"/>
            </w14:solidFill>
          </w14:textFill>
        </w:rPr>
        <w:t>departure point</w:t>
      </w:r>
    </w:p>
    <w:p w14:paraId="5B885543">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低空无人驾驶航空器开始进近着陆飞行的起点和结束起飞爬升的终点。</w:t>
      </w:r>
    </w:p>
    <w:p w14:paraId="5B885544">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等待点  holding point</w:t>
      </w:r>
    </w:p>
    <w:p w14:paraId="5B885545">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在起降场（3.12）/起降点（3.13）空域内，为避免多架无人驾驶航空器飞行冲突，实施起降等待命令的位置点。</w:t>
      </w:r>
    </w:p>
    <w:p w14:paraId="5B885546">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 xml:space="preserve">低空进离场航线  </w:t>
      </w:r>
      <w:r>
        <w:rPr>
          <w:rFonts w:ascii="黑体" w:hAnsi="黑体" w:eastAsia="黑体"/>
          <w:color w:val="000000" w:themeColor="text1"/>
          <w14:textFill>
            <w14:solidFill>
              <w14:schemeClr w14:val="tx1"/>
            </w14:solidFill>
          </w14:textFill>
        </w:rPr>
        <w:t>l</w:t>
      </w:r>
      <w:r>
        <w:rPr>
          <w:rFonts w:hint="eastAsia" w:ascii="黑体" w:hAnsi="黑体" w:eastAsia="黑体"/>
          <w:color w:val="000000" w:themeColor="text1"/>
          <w14:textFill>
            <w14:solidFill>
              <w14:schemeClr w14:val="tx1"/>
            </w14:solidFill>
          </w14:textFill>
        </w:rPr>
        <w:t>ow</w:t>
      </w:r>
      <w:r>
        <w:rPr>
          <w:rFonts w:ascii="黑体" w:hAnsi="黑体" w:eastAsia="黑体"/>
          <w:color w:val="000000" w:themeColor="text1"/>
          <w14:textFill>
            <w14:solidFill>
              <w14:schemeClr w14:val="tx1"/>
            </w14:solidFill>
          </w14:textFill>
        </w:rPr>
        <w:t xml:space="preserve">-altitude </w:t>
      </w:r>
      <w:r>
        <w:rPr>
          <w:rFonts w:hint="eastAsia" w:ascii="黑体" w:hAnsi="黑体" w:eastAsia="黑体"/>
          <w:color w:val="000000" w:themeColor="text1"/>
          <w14:textFill>
            <w14:solidFill>
              <w14:schemeClr w14:val="tx1"/>
            </w14:solidFill>
          </w14:textFill>
        </w:rPr>
        <w:t>arrival and departure route</w:t>
      </w:r>
    </w:p>
    <w:p w14:paraId="5B885547">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包括进场航线、离场航线。进场航线是指连接进场点（或低空作业空域（3.4）中的某一点）和等待点（3.9），供低空无人驾驶航空器实施进场飞行的航段。离场航线是指连接等待点（3.9）和离场点（或低空作业空域（3.4）中的某一点），供低空无人驾驶航空器实施离场飞行的航段。</w:t>
      </w:r>
    </w:p>
    <w:p w14:paraId="5B885548">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起降单元  takeoff and landing unit</w:t>
      </w:r>
    </w:p>
    <w:p w14:paraId="5B885549">
      <w:pPr>
        <w:pStyle w:val="61"/>
        <w:widowControl w:val="0"/>
        <w:ind w:firstLine="420"/>
      </w:pPr>
      <w:r>
        <w:rPr>
          <w:rFonts w:hint="eastAsia"/>
        </w:rPr>
        <w:t>供单架低空无人驾驶航空器起飞、降落及临时停放使用的划定区域，具有明确的边界和满足适配机型承载要求的物理条件，是构成起降场（3.12）</w:t>
      </w:r>
      <w:r>
        <w:rPr>
          <w:rFonts w:hint="eastAsia"/>
          <w:color w:val="000000" w:themeColor="text1"/>
          <w14:textFill>
            <w14:solidFill>
              <w14:schemeClr w14:val="tx1"/>
            </w14:solidFill>
          </w14:textFill>
        </w:rPr>
        <w:t>/起降点（3.13）</w:t>
      </w:r>
      <w:r>
        <w:rPr>
          <w:rFonts w:hint="eastAsia"/>
        </w:rPr>
        <w:t>的基本功能单元。</w:t>
      </w:r>
    </w:p>
    <w:p w14:paraId="5B88554A">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起降场  takeoff and landing port</w:t>
      </w:r>
    </w:p>
    <w:p w14:paraId="5B88554B">
      <w:pPr>
        <w:pStyle w:val="61"/>
        <w:widowControl w:val="0"/>
        <w:ind w:firstLine="420"/>
      </w:pPr>
      <w:r>
        <w:rPr>
          <w:rFonts w:hint="eastAsia"/>
        </w:rPr>
        <w:t>供低空无人驾驶航空器在城区间起飞、降落、固定停放、中长途中转、充换电补给、保养、维修以及其他活动使用的划定地面区域，包含2个（含）以上满足适配机型承载要求的起降单元（3.11）。</w:t>
      </w:r>
    </w:p>
    <w:p w14:paraId="5B88554C">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起降点  takeoff and landing stop</w:t>
      </w:r>
    </w:p>
    <w:p w14:paraId="5B88554D">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供低空无人驾驶航空器在城区内起飞、降落、临时停放、短途中转以及其他活动使用的划定地面区域，包含1个满足适配机型承载要求的起降单元（3.11）。</w:t>
      </w:r>
    </w:p>
    <w:p w14:paraId="5B88554E">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 xml:space="preserve">低空起落航线  </w:t>
      </w:r>
      <w:r>
        <w:rPr>
          <w:rFonts w:ascii="黑体" w:hAnsi="黑体" w:eastAsia="黑体"/>
          <w:color w:val="000000" w:themeColor="text1"/>
          <w14:textFill>
            <w14:solidFill>
              <w14:schemeClr w14:val="tx1"/>
            </w14:solidFill>
          </w14:textFill>
        </w:rPr>
        <w:t>l</w:t>
      </w:r>
      <w:r>
        <w:rPr>
          <w:rFonts w:hint="eastAsia" w:ascii="黑体" w:hAnsi="黑体" w:eastAsia="黑体"/>
          <w:color w:val="000000" w:themeColor="text1"/>
          <w14:textFill>
            <w14:solidFill>
              <w14:schemeClr w14:val="tx1"/>
            </w14:solidFill>
          </w14:textFill>
        </w:rPr>
        <w:t>ow</w:t>
      </w:r>
      <w:r>
        <w:rPr>
          <w:rFonts w:ascii="黑体" w:hAnsi="黑体" w:eastAsia="黑体"/>
          <w:color w:val="000000" w:themeColor="text1"/>
          <w14:textFill>
            <w14:solidFill>
              <w14:schemeClr w14:val="tx1"/>
            </w14:solidFill>
          </w14:textFill>
        </w:rPr>
        <w:t xml:space="preserve">-altitude </w:t>
      </w:r>
      <w:r>
        <w:rPr>
          <w:rFonts w:hint="eastAsia" w:ascii="黑体" w:hAnsi="黑体" w:eastAsia="黑体"/>
          <w:color w:val="000000" w:themeColor="text1"/>
          <w14:textFill>
            <w14:solidFill>
              <w14:schemeClr w14:val="tx1"/>
            </w14:solidFill>
          </w14:textFill>
        </w:rPr>
        <w:t>take-off and landing route</w:t>
      </w:r>
    </w:p>
    <w:p w14:paraId="5B88554F">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包括起飞航线、着陆航线。起飞航线是指连接起降单元（3.11）和等待点（3.9），供低空无人驾驶航空器实施起飞的航段。着陆航线是指连接等待点（3.9）和起降单元（3.11），供低空无人驾驶航空器实施着陆的航段。</w:t>
      </w:r>
    </w:p>
    <w:p w14:paraId="5B885550">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航径改变角  path change angle</w:t>
      </w:r>
    </w:p>
    <w:p w14:paraId="5B885551">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指水平平面内，入射航径方位与出射航径方位之间的夹角。</w:t>
      </w:r>
    </w:p>
    <w:p w14:paraId="5B885552">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椭球高  height</w:t>
      </w:r>
      <w:r>
        <w:rPr>
          <w:rFonts w:hint="eastAsia" w:ascii="黑体" w:hAnsi="黑体" w:eastAsia="黑体"/>
          <w:color w:val="000000" w:themeColor="text1"/>
          <w:lang w:val="en-GB"/>
          <w14:textFill>
            <w14:solidFill>
              <w14:schemeClr w14:val="tx1"/>
            </w14:solidFill>
          </w14:textFill>
        </w:rPr>
        <w:t xml:space="preserve"> </w:t>
      </w:r>
      <w:r>
        <w:rPr>
          <w:rFonts w:hint="eastAsia" w:ascii="黑体" w:hAnsi="黑体" w:eastAsia="黑体"/>
          <w:color w:val="000000" w:themeColor="text1"/>
          <w14:textFill>
            <w14:solidFill>
              <w14:schemeClr w14:val="tx1"/>
            </w14:solidFill>
          </w14:textFill>
        </w:rPr>
        <w:t>above ellipsoid</w:t>
      </w:r>
    </w:p>
    <w:p w14:paraId="5B885553">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以地球参考椭球面为基准面测定的高度。</w:t>
      </w:r>
    </w:p>
    <w:p w14:paraId="5B885554">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高度零位面  horizontal plane of area minimum altitude</w:t>
      </w:r>
    </w:p>
    <w:p w14:paraId="5B885555">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低空航路/航线划设区域范围内，地表最低点所在的水平面，使用HAE作为高度基准。</w:t>
      </w:r>
    </w:p>
    <w:p w14:paraId="5B885556">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高度基准面  horizontal plane of area maximum altitude</w:t>
      </w:r>
    </w:p>
    <w:p w14:paraId="5B885557">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低空航路/航线划设区域范围内，地表最高点所在的水平面，使用HAE作为高度基准。</w:t>
      </w:r>
    </w:p>
    <w:p w14:paraId="5B885558">
      <w:pPr>
        <w:pStyle w:val="109"/>
        <w:widowControl w:val="0"/>
        <w:spacing w:before="312" w:after="312"/>
        <w:ind w:left="0"/>
        <w:rPr>
          <w:color w:val="000000" w:themeColor="text1"/>
          <w14:textFill>
            <w14:solidFill>
              <w14:schemeClr w14:val="tx1"/>
            </w14:solidFill>
          </w14:textFill>
        </w:rPr>
      </w:pPr>
      <w:bookmarkStart w:id="52" w:name="_Toc234424768"/>
      <w:bookmarkEnd w:id="52"/>
      <w:bookmarkStart w:id="53" w:name="_Toc234855665"/>
      <w:bookmarkEnd w:id="53"/>
      <w:bookmarkStart w:id="54" w:name="_Toc234855278"/>
      <w:bookmarkEnd w:id="54"/>
      <w:bookmarkStart w:id="55" w:name="_Toc234855276"/>
      <w:bookmarkEnd w:id="55"/>
      <w:bookmarkStart w:id="56" w:name="_Toc234855674"/>
      <w:bookmarkEnd w:id="56"/>
      <w:bookmarkStart w:id="57" w:name="_Toc234855676"/>
      <w:bookmarkEnd w:id="57"/>
      <w:bookmarkStart w:id="58" w:name="_Toc234856460"/>
      <w:bookmarkEnd w:id="58"/>
      <w:bookmarkStart w:id="59" w:name="_Toc234856461"/>
      <w:bookmarkEnd w:id="59"/>
      <w:bookmarkStart w:id="60" w:name="_Toc234855277"/>
      <w:bookmarkEnd w:id="60"/>
      <w:bookmarkStart w:id="61" w:name="_Toc234424771"/>
      <w:bookmarkEnd w:id="61"/>
      <w:bookmarkStart w:id="62" w:name="_Toc234855672"/>
      <w:bookmarkEnd w:id="62"/>
      <w:bookmarkStart w:id="63" w:name="_Toc234856068"/>
      <w:bookmarkEnd w:id="63"/>
      <w:bookmarkStart w:id="64" w:name="_Toc234855673"/>
      <w:bookmarkEnd w:id="64"/>
      <w:bookmarkStart w:id="65" w:name="_Toc234856065"/>
      <w:bookmarkEnd w:id="65"/>
      <w:bookmarkStart w:id="66" w:name="_Toc234856463"/>
      <w:bookmarkEnd w:id="66"/>
      <w:bookmarkStart w:id="67" w:name="_Toc234424770"/>
      <w:bookmarkEnd w:id="67"/>
      <w:bookmarkStart w:id="68" w:name="_Toc234424769"/>
      <w:bookmarkEnd w:id="68"/>
      <w:bookmarkStart w:id="69" w:name="_Toc234856464"/>
      <w:bookmarkEnd w:id="69"/>
      <w:bookmarkStart w:id="70" w:name="_Toc234856465"/>
      <w:bookmarkEnd w:id="70"/>
      <w:bookmarkStart w:id="71" w:name="_Toc234856064"/>
      <w:bookmarkEnd w:id="71"/>
      <w:bookmarkStart w:id="72" w:name="_Toc234855675"/>
      <w:bookmarkEnd w:id="72"/>
      <w:bookmarkStart w:id="73" w:name="_Toc234424774"/>
      <w:bookmarkEnd w:id="73"/>
      <w:bookmarkStart w:id="74" w:name="_Toc234855682"/>
      <w:bookmarkEnd w:id="74"/>
      <w:bookmarkStart w:id="75" w:name="_Toc234855279"/>
      <w:bookmarkEnd w:id="75"/>
      <w:bookmarkStart w:id="76" w:name="_Toc234855281"/>
      <w:bookmarkEnd w:id="76"/>
      <w:bookmarkStart w:id="77" w:name="_Toc234424773"/>
      <w:bookmarkEnd w:id="77"/>
      <w:bookmarkStart w:id="78" w:name="_Toc234856072"/>
      <w:bookmarkEnd w:id="78"/>
      <w:bookmarkStart w:id="79" w:name="_Toc234855275"/>
      <w:bookmarkEnd w:id="79"/>
      <w:bookmarkStart w:id="80" w:name="_Toc234856462"/>
      <w:bookmarkEnd w:id="80"/>
      <w:bookmarkStart w:id="81" w:name="_Toc234855678"/>
      <w:bookmarkEnd w:id="81"/>
      <w:bookmarkStart w:id="82" w:name="_Toc234855282"/>
      <w:bookmarkEnd w:id="82"/>
      <w:bookmarkStart w:id="83" w:name="_Toc234424780"/>
      <w:bookmarkEnd w:id="83"/>
      <w:bookmarkStart w:id="84" w:name="_Toc234856067"/>
      <w:bookmarkEnd w:id="84"/>
      <w:bookmarkStart w:id="85" w:name="_Toc234856063"/>
      <w:bookmarkEnd w:id="85"/>
      <w:bookmarkStart w:id="86" w:name="_Toc234855677"/>
      <w:bookmarkEnd w:id="86"/>
      <w:bookmarkStart w:id="87" w:name="_Toc234855683"/>
      <w:bookmarkEnd w:id="87"/>
      <w:bookmarkStart w:id="88" w:name="_Toc234424775"/>
      <w:bookmarkEnd w:id="88"/>
      <w:bookmarkStart w:id="89" w:name="_Toc234424778"/>
      <w:bookmarkEnd w:id="89"/>
      <w:bookmarkStart w:id="90" w:name="_Toc234856470"/>
      <w:bookmarkEnd w:id="90"/>
      <w:bookmarkStart w:id="91" w:name="_Toc234424772"/>
      <w:bookmarkEnd w:id="91"/>
      <w:bookmarkStart w:id="92" w:name="_Toc234855679"/>
      <w:bookmarkEnd w:id="92"/>
      <w:bookmarkStart w:id="93" w:name="_Toc234855280"/>
      <w:bookmarkEnd w:id="93"/>
      <w:bookmarkStart w:id="94" w:name="_Toc234856066"/>
      <w:bookmarkEnd w:id="94"/>
      <w:bookmarkStart w:id="95" w:name="_Toc234855684"/>
      <w:bookmarkEnd w:id="95"/>
      <w:bookmarkStart w:id="96" w:name="_Toc234856468"/>
      <w:bookmarkEnd w:id="96"/>
      <w:bookmarkStart w:id="97" w:name="_Toc234855681"/>
      <w:bookmarkEnd w:id="97"/>
      <w:bookmarkStart w:id="98" w:name="_Toc234855284"/>
      <w:bookmarkEnd w:id="98"/>
      <w:bookmarkStart w:id="99" w:name="_Toc234424781"/>
      <w:bookmarkEnd w:id="99"/>
      <w:bookmarkStart w:id="100" w:name="_Toc234856070"/>
      <w:bookmarkEnd w:id="100"/>
      <w:bookmarkStart w:id="101" w:name="_Toc234855283"/>
      <w:bookmarkEnd w:id="101"/>
      <w:bookmarkStart w:id="102" w:name="_Toc234855680"/>
      <w:bookmarkEnd w:id="102"/>
      <w:bookmarkStart w:id="103" w:name="_Toc234424777"/>
      <w:bookmarkEnd w:id="103"/>
      <w:bookmarkStart w:id="104" w:name="_Toc234424776"/>
      <w:bookmarkEnd w:id="104"/>
      <w:bookmarkStart w:id="105" w:name="_Toc234856069"/>
      <w:bookmarkEnd w:id="105"/>
      <w:bookmarkStart w:id="106" w:name="_Toc234856074"/>
      <w:bookmarkEnd w:id="106"/>
      <w:bookmarkStart w:id="107" w:name="_Toc234855286"/>
      <w:bookmarkEnd w:id="107"/>
      <w:bookmarkStart w:id="108" w:name="_Toc234856473"/>
      <w:bookmarkEnd w:id="108"/>
      <w:bookmarkStart w:id="109" w:name="_Toc234856467"/>
      <w:bookmarkEnd w:id="109"/>
      <w:bookmarkStart w:id="110" w:name="_Toc234856474"/>
      <w:bookmarkEnd w:id="110"/>
      <w:bookmarkStart w:id="111" w:name="_Toc234855289"/>
      <w:bookmarkEnd w:id="111"/>
      <w:bookmarkStart w:id="112" w:name="_Toc234856471"/>
      <w:bookmarkEnd w:id="112"/>
      <w:bookmarkStart w:id="113" w:name="_Toc234424779"/>
      <w:bookmarkEnd w:id="113"/>
      <w:bookmarkStart w:id="114" w:name="_Toc234856466"/>
      <w:bookmarkEnd w:id="114"/>
      <w:bookmarkStart w:id="115" w:name="_Toc234856076"/>
      <w:bookmarkEnd w:id="115"/>
      <w:bookmarkStart w:id="116" w:name="_Toc234424782"/>
      <w:bookmarkEnd w:id="116"/>
      <w:bookmarkStart w:id="117" w:name="_Toc234856469"/>
      <w:bookmarkEnd w:id="117"/>
      <w:bookmarkStart w:id="118" w:name="_Toc234855285"/>
      <w:bookmarkEnd w:id="118"/>
      <w:bookmarkStart w:id="119" w:name="_Toc234855287"/>
      <w:bookmarkEnd w:id="119"/>
      <w:bookmarkStart w:id="120" w:name="_Toc234855288"/>
      <w:bookmarkEnd w:id="120"/>
      <w:bookmarkStart w:id="121" w:name="_Toc234856073"/>
      <w:bookmarkEnd w:id="121"/>
      <w:bookmarkStart w:id="122" w:name="_Toc234856071"/>
      <w:bookmarkEnd w:id="122"/>
      <w:bookmarkStart w:id="123" w:name="_Toc234855686"/>
      <w:bookmarkEnd w:id="123"/>
      <w:bookmarkStart w:id="124" w:name="_Toc234856075"/>
      <w:bookmarkEnd w:id="124"/>
      <w:bookmarkStart w:id="125" w:name="_Toc234855685"/>
      <w:bookmarkEnd w:id="125"/>
      <w:bookmarkStart w:id="126" w:name="_Toc234856472"/>
      <w:bookmarkEnd w:id="126"/>
      <w:bookmarkStart w:id="127" w:name="_Toc240381773"/>
      <w:r>
        <w:rPr>
          <w:rFonts w:hint="eastAsia"/>
          <w:color w:val="000000" w:themeColor="text1"/>
          <w14:textFill>
            <w14:solidFill>
              <w14:schemeClr w14:val="tx1"/>
            </w14:solidFill>
          </w14:textFill>
        </w:rPr>
        <w:t>缩略语</w:t>
      </w:r>
      <w:bookmarkEnd w:id="127"/>
    </w:p>
    <w:p w14:paraId="5B885559">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下列缩略语适用于本文件。</w:t>
      </w:r>
    </w:p>
    <w:p w14:paraId="4174E827">
      <w:pPr>
        <w:pStyle w:val="61"/>
        <w:widowControl w:val="0"/>
        <w:ind w:firstLine="420"/>
        <w:rPr>
          <w:color w:val="000000" w:themeColor="text1"/>
          <w14:textFill>
            <w14:solidFill>
              <w14:schemeClr w14:val="tx1"/>
            </w14:solidFill>
          </w14:textFill>
        </w:rPr>
      </w:pPr>
      <w:r>
        <w:t>CGCS2000：2000国家大地坐标系（China Geodetic Coordinate System 2000）</w:t>
      </w:r>
    </w:p>
    <w:p w14:paraId="5B88555A">
      <w:pPr>
        <w:pStyle w:val="61"/>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HAE</w:t>
      </w:r>
      <w:r>
        <w:rPr>
          <w:rFonts w:hint="eastAsia"/>
          <w:color w:val="000000" w:themeColor="text1"/>
          <w14:textFill>
            <w14:solidFill>
              <w14:schemeClr w14:val="tx1"/>
            </w14:solidFill>
          </w14:textFill>
        </w:rPr>
        <w:t>：椭球高（</w:t>
      </w:r>
      <w:r>
        <w:rPr>
          <w:color w:val="000000" w:themeColor="text1"/>
          <w14:textFill>
            <w14:solidFill>
              <w14:schemeClr w14:val="tx1"/>
            </w14:solidFill>
          </w14:textFill>
        </w:rPr>
        <w:t>Height Above Ellipsoid</w:t>
      </w:r>
      <w:r>
        <w:rPr>
          <w:rFonts w:hint="eastAsia"/>
          <w:color w:val="000000" w:themeColor="text1"/>
          <w14:textFill>
            <w14:solidFill>
              <w14:schemeClr w14:val="tx1"/>
            </w14:solidFill>
          </w14:textFill>
        </w:rPr>
        <w:t>）</w:t>
      </w:r>
      <w:bookmarkStart w:id="128" w:name="_Toc234424785"/>
      <w:bookmarkEnd w:id="128"/>
    </w:p>
    <w:p w14:paraId="5B88555C">
      <w:pPr>
        <w:pStyle w:val="109"/>
        <w:widowControl w:val="0"/>
        <w:spacing w:before="312" w:after="312"/>
        <w:ind w:left="0"/>
        <w:rPr>
          <w:color w:val="000000" w:themeColor="text1"/>
          <w14:textFill>
            <w14:solidFill>
              <w14:schemeClr w14:val="tx1"/>
            </w14:solidFill>
          </w14:textFill>
        </w:rPr>
      </w:pPr>
      <w:bookmarkStart w:id="129" w:name="_Toc240381774"/>
      <w:r>
        <w:rPr>
          <w:rFonts w:hint="eastAsia"/>
          <w:color w:val="000000" w:themeColor="text1"/>
          <w14:textFill>
            <w14:solidFill>
              <w14:schemeClr w14:val="tx1"/>
            </w14:solidFill>
          </w14:textFill>
        </w:rPr>
        <w:t>划设原则</w:t>
      </w:r>
      <w:bookmarkEnd w:id="129"/>
    </w:p>
    <w:p w14:paraId="5B88555D">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安全第一</w:t>
      </w:r>
    </w:p>
    <w:p w14:paraId="5B88555E">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应确保低空航路/航线运行安全，满足超障余度，避免与其他空域用户冲突。</w:t>
      </w:r>
    </w:p>
    <w:p w14:paraId="5B88555F">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高效利用</w:t>
      </w:r>
    </w:p>
    <w:p w14:paraId="5B885560">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应充分优化低空航路/航线资源配置，提高低空空域利用率及航路/航线网络的整体运行效率。</w:t>
      </w:r>
    </w:p>
    <w:p w14:paraId="5B885561">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科学划设</w:t>
      </w:r>
    </w:p>
    <w:p w14:paraId="5B885562">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应依据地理信息、气象条件、电磁环境等因素科学划设低空航路/航线、构建网络，应适应在相应场景中主要运行无人驾驶航空器的性能。</w:t>
      </w:r>
    </w:p>
    <w:p w14:paraId="5B885563">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兼顾公共利益</w:t>
      </w:r>
    </w:p>
    <w:p w14:paraId="5B885564">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应充分考虑噪声、隐私等公众关切问题，确保低空航路/航线划设符合公众可接受性要求，应逐步提高低空航路/航线面向各类运营人的共享共用水平。</w:t>
      </w:r>
    </w:p>
    <w:p w14:paraId="5B885565">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适应地形地貌</w:t>
      </w:r>
    </w:p>
    <w:p w14:paraId="5B885566">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应充分考虑不同地形地貌特点，有针对性地采用差异化划设方法，确保安全性和可行性。</w:t>
      </w:r>
    </w:p>
    <w:p w14:paraId="5B885567">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动态优化</w:t>
      </w:r>
    </w:p>
    <w:p w14:paraId="5B885568">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根据地形地貌变化、障碍物更新、气象和运行数据监测情况定期调整低空航路/航线。</w:t>
      </w:r>
    </w:p>
    <w:p w14:paraId="5B885569">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合法规避</w:t>
      </w:r>
    </w:p>
    <w:p w14:paraId="5B88556A">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严格遵守空域管理规定，避让国家空中交通管理领导机构规定的规避区域。</w:t>
      </w:r>
    </w:p>
    <w:p w14:paraId="5B88556B">
      <w:pPr>
        <w:pStyle w:val="109"/>
        <w:widowControl w:val="0"/>
        <w:spacing w:before="312" w:after="312"/>
        <w:ind w:left="0"/>
        <w:rPr>
          <w:color w:val="000000" w:themeColor="text1"/>
          <w14:textFill>
            <w14:solidFill>
              <w14:schemeClr w14:val="tx1"/>
            </w14:solidFill>
          </w14:textFill>
        </w:rPr>
      </w:pPr>
      <w:bookmarkStart w:id="130" w:name="_Toc240381775"/>
      <w:r>
        <w:rPr>
          <w:rFonts w:hint="eastAsia"/>
          <w:color w:val="000000" w:themeColor="text1"/>
          <w14:textFill>
            <w14:solidFill>
              <w14:schemeClr w14:val="tx1"/>
            </w14:solidFill>
          </w14:textFill>
        </w:rPr>
        <w:t>划设要求</w:t>
      </w:r>
      <w:bookmarkEnd w:id="130"/>
    </w:p>
    <w:p w14:paraId="5B88556C">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通用要求</w:t>
      </w:r>
    </w:p>
    <w:p w14:paraId="5B88556D">
      <w:pPr>
        <w:pStyle w:val="70"/>
        <w:numPr>
          <w:ilvl w:val="2"/>
          <w:numId w:val="33"/>
        </w:numPr>
        <w:spacing w:beforeLines="0" w:afterLines="0"/>
        <w:rPr>
          <w:rFonts w:hAnsi="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应优先在空中交通管理部门批复的W类、G类空域内划设。</w:t>
      </w:r>
    </w:p>
    <w:p w14:paraId="5B88556E">
      <w:pPr>
        <w:pStyle w:val="70"/>
        <w:numPr>
          <w:ilvl w:val="2"/>
          <w:numId w:val="33"/>
        </w:numPr>
        <w:spacing w:beforeLines="0" w:afterLines="0"/>
        <w:rPr>
          <w:rFonts w:hAnsi="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应规避</w:t>
      </w:r>
      <w:r>
        <w:rPr>
          <w:rFonts w:ascii="宋体" w:hAnsi="宋体" w:eastAsia="宋体"/>
          <w:color w:val="000000" w:themeColor="text1"/>
          <w14:textFill>
            <w14:solidFill>
              <w14:schemeClr w14:val="tx1"/>
            </w14:solidFill>
          </w14:textFill>
        </w:rPr>
        <w:t>低空</w:t>
      </w:r>
      <w:r>
        <w:rPr>
          <w:rFonts w:hint="eastAsia" w:ascii="宋体" w:hAnsi="宋体" w:eastAsia="宋体"/>
          <w:color w:val="000000" w:themeColor="text1"/>
          <w14:textFill>
            <w14:solidFill>
              <w14:schemeClr w14:val="tx1"/>
            </w14:solidFill>
          </w14:textFill>
        </w:rPr>
        <w:t>航路/航线跨越下列区域：</w:t>
      </w:r>
    </w:p>
    <w:p w14:paraId="5B88556F">
      <w:pPr>
        <w:pStyle w:val="179"/>
        <w:widowControl w:val="0"/>
        <w:numPr>
          <w:ilvl w:val="0"/>
          <w:numId w:val="34"/>
        </w:numPr>
        <w:rPr>
          <w:color w:val="000000" w:themeColor="text1"/>
          <w14:textFill>
            <w14:solidFill>
              <w14:schemeClr w14:val="tx1"/>
            </w14:solidFill>
          </w14:textFill>
        </w:rPr>
      </w:pPr>
      <w:r>
        <w:rPr>
          <w:rFonts w:hint="eastAsia"/>
          <w:color w:val="000000" w:themeColor="text1"/>
          <w14:textFill>
            <w14:solidFill>
              <w14:schemeClr w14:val="tx1"/>
            </w14:solidFill>
          </w14:textFill>
        </w:rPr>
        <w:t>机场以及周边一定范围的区域；</w:t>
      </w:r>
    </w:p>
    <w:p w14:paraId="5B885570">
      <w:pPr>
        <w:pStyle w:val="179"/>
        <w:widowControl w:val="0"/>
        <w:numPr>
          <w:ilvl w:val="0"/>
          <w:numId w:val="34"/>
        </w:numPr>
        <w:rPr>
          <w:color w:val="000000" w:themeColor="text1"/>
          <w14:textFill>
            <w14:solidFill>
              <w14:schemeClr w14:val="tx1"/>
            </w14:solidFill>
          </w14:textFill>
        </w:rPr>
      </w:pPr>
      <w:r>
        <w:rPr>
          <w:rFonts w:hint="eastAsia"/>
          <w:color w:val="000000" w:themeColor="text1"/>
          <w14:textFill>
            <w14:solidFill>
              <w14:schemeClr w14:val="tx1"/>
            </w14:solidFill>
          </w14:textFill>
        </w:rPr>
        <w:t>军事禁区、军事管理区、监管场所等涉密单位以及周围一定范围的区域；</w:t>
      </w:r>
    </w:p>
    <w:p w14:paraId="5B885571">
      <w:pPr>
        <w:pStyle w:val="179"/>
        <w:widowControl w:val="0"/>
        <w:numPr>
          <w:ilvl w:val="0"/>
          <w:numId w:val="34"/>
        </w:numPr>
        <w:rPr>
          <w:color w:val="000000" w:themeColor="text1"/>
          <w14:textFill>
            <w14:solidFill>
              <w14:schemeClr w14:val="tx1"/>
            </w14:solidFill>
          </w14:textFill>
        </w:rPr>
      </w:pPr>
      <w:r>
        <w:rPr>
          <w:rFonts w:hint="eastAsia"/>
          <w:color w:val="000000" w:themeColor="text1"/>
          <w14:textFill>
            <w14:solidFill>
              <w14:schemeClr w14:val="tx1"/>
            </w14:solidFill>
          </w14:textFill>
        </w:rPr>
        <w:t>重要军工设施保护区域、核设施控制区域、易燃易爆等危险品的生产和仓储区域、以及可燃重要物资的大型仓储区域；</w:t>
      </w:r>
    </w:p>
    <w:p w14:paraId="5B885572">
      <w:pPr>
        <w:pStyle w:val="179"/>
        <w:widowControl w:val="0"/>
        <w:numPr>
          <w:ilvl w:val="0"/>
          <w:numId w:val="34"/>
        </w:numPr>
        <w:rPr>
          <w:color w:val="000000" w:themeColor="text1"/>
          <w14:textFill>
            <w14:solidFill>
              <w14:schemeClr w14:val="tx1"/>
            </w14:solidFill>
          </w14:textFill>
        </w:rPr>
      </w:pPr>
      <w:r>
        <w:rPr>
          <w:rFonts w:hint="eastAsia"/>
          <w:color w:val="000000" w:themeColor="text1"/>
          <w14:textFill>
            <w14:solidFill>
              <w14:schemeClr w14:val="tx1"/>
            </w14:solidFill>
          </w14:textFill>
        </w:rPr>
        <w:t>发电厂、变电站、加油（气）站、供水厂、公共交通枢纽、航电枢纽、重大水利设施、港口、高速公路、铁路电气化线路等公共基础设施以及周边一定范围的区域和饮用水水源保护区；</w:t>
      </w:r>
    </w:p>
    <w:p w14:paraId="5B885573">
      <w:pPr>
        <w:pStyle w:val="179"/>
        <w:widowControl w:val="0"/>
        <w:numPr>
          <w:ilvl w:val="0"/>
          <w:numId w:val="34"/>
        </w:numPr>
        <w:rPr>
          <w:color w:val="000000" w:themeColor="text1"/>
          <w14:textFill>
            <w14:solidFill>
              <w14:schemeClr w14:val="tx1"/>
            </w14:solidFill>
          </w14:textFill>
        </w:rPr>
      </w:pPr>
      <w:r>
        <w:rPr>
          <w:rFonts w:hint="eastAsia"/>
          <w:color w:val="000000" w:themeColor="text1"/>
          <w14:textFill>
            <w14:solidFill>
              <w14:schemeClr w14:val="tx1"/>
            </w14:solidFill>
          </w14:textFill>
        </w:rPr>
        <w:t>射电天文台、卫星测控（导航）站、航空无线电导航台、雷达站等需要电磁环境特殊保护的设施以及周边一定范围的区域；</w:t>
      </w:r>
    </w:p>
    <w:p w14:paraId="5B885574">
      <w:pPr>
        <w:pStyle w:val="179"/>
        <w:widowControl w:val="0"/>
        <w:numPr>
          <w:ilvl w:val="0"/>
          <w:numId w:val="34"/>
        </w:numPr>
        <w:rPr>
          <w:color w:val="000000" w:themeColor="text1"/>
          <w14:textFill>
            <w14:solidFill>
              <w14:schemeClr w14:val="tx1"/>
            </w14:solidFill>
          </w14:textFill>
        </w:rPr>
      </w:pPr>
      <w:r>
        <w:rPr>
          <w:rFonts w:hint="eastAsia"/>
          <w:color w:val="000000" w:themeColor="text1"/>
          <w14:textFill>
            <w14:solidFill>
              <w14:schemeClr w14:val="tx1"/>
            </w14:solidFill>
          </w14:textFill>
        </w:rPr>
        <w:t>重要的革命纪念地、重要不可移动文物以及周边一定范围的区域；</w:t>
      </w:r>
    </w:p>
    <w:p w14:paraId="5B885575">
      <w:pPr>
        <w:pStyle w:val="179"/>
        <w:widowControl w:val="0"/>
        <w:numPr>
          <w:ilvl w:val="0"/>
          <w:numId w:val="34"/>
        </w:numPr>
        <w:rPr>
          <w:color w:val="000000" w:themeColor="text1"/>
          <w14:textFill>
            <w14:solidFill>
              <w14:schemeClr w14:val="tx1"/>
            </w14:solidFill>
          </w14:textFill>
        </w:rPr>
      </w:pPr>
      <w:r>
        <w:rPr>
          <w:rFonts w:hint="eastAsia"/>
          <w:color w:val="000000" w:themeColor="text1"/>
          <w14:textFill>
            <w14:solidFill>
              <w14:schemeClr w14:val="tx1"/>
            </w14:solidFill>
          </w14:textFill>
        </w:rPr>
        <w:t>国家空中交通管理领导机构规定的其他区域。</w:t>
      </w:r>
    </w:p>
    <w:p w14:paraId="5B885576">
      <w:pPr>
        <w:pStyle w:val="70"/>
        <w:numPr>
          <w:ilvl w:val="2"/>
          <w:numId w:val="33"/>
        </w:numPr>
        <w:spacing w:beforeLines="0" w:afterLines="0"/>
        <w:rPr>
          <w:rFonts w:hAnsi="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应根据主要运行机型及可用导航方式确定性能要求和通信、导航、监视、气象等设施设备布局。</w:t>
      </w:r>
    </w:p>
    <w:p w14:paraId="5B885577">
      <w:pPr>
        <w:pStyle w:val="70"/>
        <w:numPr>
          <w:ilvl w:val="2"/>
          <w:numId w:val="33"/>
        </w:numPr>
        <w:spacing w:beforeLines="0" w:afterLines="0"/>
        <w:rPr>
          <w:rFonts w:hAnsi="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低空航路/航线标称航径的高度可根据航空器性能和地形变化，但同时应避免</w:t>
      </w:r>
      <w:r>
        <w:rPr>
          <w:rFonts w:ascii="宋体" w:hAnsi="宋体" w:eastAsia="宋体"/>
          <w:color w:val="000000" w:themeColor="text1"/>
          <w14:textFill>
            <w14:solidFill>
              <w14:schemeClr w14:val="tx1"/>
            </w14:solidFill>
          </w14:textFill>
        </w:rPr>
        <w:t>低空</w:t>
      </w:r>
      <w:r>
        <w:rPr>
          <w:rFonts w:hint="eastAsia" w:ascii="宋体" w:hAnsi="宋体" w:eastAsia="宋体"/>
          <w:color w:val="000000" w:themeColor="text1"/>
          <w14:textFill>
            <w14:solidFill>
              <w14:schemeClr w14:val="tx1"/>
            </w14:solidFill>
          </w14:textFill>
        </w:rPr>
        <w:t>航路/航线高度梯度过大。</w:t>
      </w:r>
    </w:p>
    <w:p w14:paraId="5B885578">
      <w:pPr>
        <w:pStyle w:val="70"/>
        <w:numPr>
          <w:ilvl w:val="2"/>
          <w:numId w:val="33"/>
        </w:numPr>
        <w:spacing w:beforeLines="0" w:afterLines="0"/>
        <w:rPr>
          <w:rFonts w:hAnsi="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低空</w:t>
      </w:r>
      <w:r>
        <w:rPr>
          <w:rFonts w:hint="eastAsia" w:ascii="宋体" w:hAnsi="宋体" w:eastAsia="宋体"/>
          <w:color w:val="000000" w:themeColor="text1"/>
          <w14:textFill>
            <w14:solidFill>
              <w14:schemeClr w14:val="tx1"/>
            </w14:solidFill>
          </w14:textFill>
        </w:rPr>
        <w:t>航路/航线的超障余度应综合考虑低空无人驾驶航空器的飞行速度、爬升率、所在区域气象条件等因素，超障余度不应小于</w:t>
      </w:r>
      <w:r>
        <w:rPr>
          <w:rFonts w:ascii="宋体" w:hAnsi="宋体" w:eastAsia="宋体"/>
          <w:color w:val="000000" w:themeColor="text1"/>
          <w14:textFill>
            <w14:solidFill>
              <w14:schemeClr w14:val="tx1"/>
            </w14:solidFill>
          </w14:textFill>
        </w:rPr>
        <w:t>低空</w:t>
      </w:r>
      <w:r>
        <w:rPr>
          <w:rFonts w:hint="eastAsia" w:ascii="宋体" w:hAnsi="宋体" w:eastAsia="宋体"/>
          <w:color w:val="000000" w:themeColor="text1"/>
          <w14:textFill>
            <w14:solidFill>
              <w14:schemeClr w14:val="tx1"/>
            </w14:solidFill>
          </w14:textFill>
        </w:rPr>
        <w:t>航路/航线保护区的半高（也即障碍物不得穿透</w:t>
      </w:r>
      <w:r>
        <w:rPr>
          <w:rFonts w:ascii="宋体" w:hAnsi="宋体" w:eastAsia="宋体"/>
          <w:color w:val="000000" w:themeColor="text1"/>
          <w14:textFill>
            <w14:solidFill>
              <w14:schemeClr w14:val="tx1"/>
            </w14:solidFill>
          </w14:textFill>
        </w:rPr>
        <w:t>低空</w:t>
      </w:r>
      <w:r>
        <w:rPr>
          <w:rFonts w:hint="eastAsia" w:ascii="宋体" w:hAnsi="宋体" w:eastAsia="宋体"/>
          <w:color w:val="000000" w:themeColor="text1"/>
          <w14:textFill>
            <w14:solidFill>
              <w14:schemeClr w14:val="tx1"/>
            </w14:solidFill>
          </w14:textFill>
        </w:rPr>
        <w:t>航路/航线的保护区）。</w:t>
      </w:r>
    </w:p>
    <w:p w14:paraId="5B885579">
      <w:pPr>
        <w:pStyle w:val="70"/>
        <w:numPr>
          <w:ilvl w:val="2"/>
          <w:numId w:val="33"/>
        </w:numPr>
        <w:spacing w:beforeLines="0" w:afterLines="0"/>
        <w:rPr>
          <w:rFonts w:hAnsi="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应减少</w:t>
      </w:r>
      <w:r>
        <w:rPr>
          <w:rFonts w:ascii="宋体" w:hAnsi="宋体" w:eastAsia="宋体"/>
          <w:color w:val="000000" w:themeColor="text1"/>
          <w14:textFill>
            <w14:solidFill>
              <w14:schemeClr w14:val="tx1"/>
            </w14:solidFill>
          </w14:textFill>
        </w:rPr>
        <w:t>低空</w:t>
      </w:r>
      <w:r>
        <w:rPr>
          <w:rFonts w:hint="eastAsia" w:ascii="宋体" w:hAnsi="宋体" w:eastAsia="宋体"/>
          <w:color w:val="000000" w:themeColor="text1"/>
          <w14:textFill>
            <w14:solidFill>
              <w14:schemeClr w14:val="tx1"/>
            </w14:solidFill>
          </w14:textFill>
        </w:rPr>
        <w:t>航路/航线交叉，避免在空中交通流量密度较大的区域出现多个交叉点；交叉不可避免的，应通过不同飞行高度配置以减少飞行冲突。</w:t>
      </w:r>
    </w:p>
    <w:p w14:paraId="5B88557A">
      <w:pPr>
        <w:pStyle w:val="70"/>
        <w:numPr>
          <w:ilvl w:val="2"/>
          <w:numId w:val="33"/>
        </w:numPr>
        <w:spacing w:beforeLines="0" w:afterLines="0"/>
        <w:rPr>
          <w:rFonts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应为</w:t>
      </w:r>
      <w:r>
        <w:rPr>
          <w:rFonts w:ascii="宋体" w:hAnsi="宋体" w:eastAsia="宋体"/>
          <w:color w:val="000000" w:themeColor="text1"/>
          <w14:textFill>
            <w14:solidFill>
              <w14:schemeClr w14:val="tx1"/>
            </w14:solidFill>
          </w14:textFill>
        </w:rPr>
        <w:t>低空</w:t>
      </w:r>
      <w:r>
        <w:rPr>
          <w:rFonts w:hint="eastAsia" w:ascii="宋体" w:hAnsi="宋体" w:eastAsia="宋体"/>
          <w:color w:val="000000" w:themeColor="text1"/>
          <w14:textFill>
            <w14:solidFill>
              <w14:schemeClr w14:val="tx1"/>
            </w14:solidFill>
          </w14:textFill>
        </w:rPr>
        <w:t>航路/航线按需建设配套的通信、导航、监视、气象、反制等设施设备，具体要求如下：</w:t>
      </w:r>
    </w:p>
    <w:p w14:paraId="5B88557B">
      <w:pPr>
        <w:pStyle w:val="179"/>
        <w:widowControl w:val="0"/>
        <w:numPr>
          <w:ilvl w:val="0"/>
          <w:numId w:val="35"/>
        </w:numPr>
        <w:rPr>
          <w:color w:val="000000" w:themeColor="text1"/>
          <w14:textFill>
            <w14:solidFill>
              <w14:schemeClr w14:val="tx1"/>
            </w14:solidFill>
          </w14:textFill>
        </w:rPr>
      </w:pPr>
      <w:r>
        <w:rPr>
          <w:rFonts w:hint="eastAsia"/>
          <w:color w:val="000000" w:themeColor="text1"/>
          <w14:textFill>
            <w14:solidFill>
              <w14:schemeClr w14:val="tx1"/>
            </w14:solidFill>
          </w14:textFill>
        </w:rPr>
        <w:t>建设公众移动/专用通信基站；</w:t>
      </w:r>
    </w:p>
    <w:p w14:paraId="5B88557C">
      <w:pPr>
        <w:pStyle w:val="179"/>
        <w:widowControl w:val="0"/>
        <w:numPr>
          <w:ilvl w:val="0"/>
          <w:numId w:val="35"/>
        </w:numPr>
        <w:rPr>
          <w:color w:val="000000" w:themeColor="text1"/>
          <w14:textFill>
            <w14:solidFill>
              <w14:schemeClr w14:val="tx1"/>
            </w14:solidFill>
          </w14:textFill>
        </w:rPr>
      </w:pPr>
      <w:r>
        <w:rPr>
          <w:rFonts w:hint="eastAsia"/>
          <w:color w:val="000000" w:themeColor="text1"/>
          <w14:textFill>
            <w14:solidFill>
              <w14:schemeClr w14:val="tx1"/>
            </w14:solidFill>
          </w14:textFill>
        </w:rPr>
        <w:t>建设地基/星基增强、导航性能监测、目视助航等导航设施；</w:t>
      </w:r>
    </w:p>
    <w:p w14:paraId="5B88557D">
      <w:pPr>
        <w:pStyle w:val="179"/>
        <w:widowControl w:val="0"/>
        <w:numPr>
          <w:ilvl w:val="0"/>
          <w:numId w:val="35"/>
        </w:numPr>
        <w:rPr>
          <w:color w:val="000000" w:themeColor="text1"/>
          <w14:textFill>
            <w14:solidFill>
              <w14:schemeClr w14:val="tx1"/>
            </w14:solidFill>
          </w14:textFill>
        </w:rPr>
      </w:pPr>
      <w:r>
        <w:rPr>
          <w:rFonts w:hint="eastAsia"/>
          <w:color w:val="000000" w:themeColor="text1"/>
          <w14:textFill>
            <w14:solidFill>
              <w14:schemeClr w14:val="tx1"/>
            </w14:solidFill>
          </w14:textFill>
        </w:rPr>
        <w:t>布设广播式自动相关监视、雷达、远程身份识别、频谱侦测等主被动监视设施；</w:t>
      </w:r>
    </w:p>
    <w:p w14:paraId="5B88557E">
      <w:pPr>
        <w:pStyle w:val="179"/>
        <w:widowControl w:val="0"/>
        <w:numPr>
          <w:ilvl w:val="0"/>
          <w:numId w:val="35"/>
        </w:numPr>
        <w:rPr>
          <w:color w:val="000000" w:themeColor="text1"/>
          <w14:textFill>
            <w14:solidFill>
              <w14:schemeClr w14:val="tx1"/>
            </w14:solidFill>
          </w14:textFill>
        </w:rPr>
      </w:pPr>
      <w:r>
        <w:rPr>
          <w:rFonts w:hint="eastAsia"/>
          <w:color w:val="000000" w:themeColor="text1"/>
          <w14:textFill>
            <w14:solidFill>
              <w14:schemeClr w14:val="tx1"/>
            </w14:solidFill>
          </w14:textFill>
        </w:rPr>
        <w:t>部署微型气象站、测风雷达、天气实景监控等气象监视预测设施，对于运行安全风险较高的区域（例如障碍物密集区）宜加密部署气象设施；</w:t>
      </w:r>
    </w:p>
    <w:p w14:paraId="5B88557F">
      <w:pPr>
        <w:pStyle w:val="179"/>
        <w:widowControl w:val="0"/>
        <w:numPr>
          <w:ilvl w:val="0"/>
          <w:numId w:val="35"/>
        </w:numPr>
        <w:rPr>
          <w:color w:val="000000" w:themeColor="text1"/>
          <w14:textFill>
            <w14:solidFill>
              <w14:schemeClr w14:val="tx1"/>
            </w14:solidFill>
          </w14:textFill>
        </w:rPr>
      </w:pPr>
      <w:r>
        <w:rPr>
          <w:rFonts w:hint="eastAsia"/>
          <w:color w:val="000000" w:themeColor="text1"/>
          <w14:textFill>
            <w14:solidFill>
              <w14:schemeClr w14:val="tx1"/>
            </w14:solidFill>
          </w14:textFill>
        </w:rPr>
        <w:t>宜考虑合理布设网捕、无线电干扰/压制、导航诱骗等防范飞出、侵入</w:t>
      </w:r>
      <w:r>
        <w:rPr>
          <w:color w:val="000000" w:themeColor="text1"/>
          <w14:textFill>
            <w14:solidFill>
              <w14:schemeClr w14:val="tx1"/>
            </w14:solidFill>
          </w14:textFill>
        </w:rPr>
        <w:t>低空</w:t>
      </w:r>
      <w:r>
        <w:rPr>
          <w:rFonts w:hint="eastAsia"/>
          <w:color w:val="000000" w:themeColor="text1"/>
          <w14:textFill>
            <w14:solidFill>
              <w14:schemeClr w14:val="tx1"/>
            </w14:solidFill>
          </w14:textFill>
        </w:rPr>
        <w:t>航路/航线的反制设施。</w:t>
      </w:r>
    </w:p>
    <w:p w14:paraId="5B885580">
      <w:pPr>
        <w:pStyle w:val="70"/>
        <w:numPr>
          <w:ilvl w:val="2"/>
          <w:numId w:val="33"/>
        </w:numPr>
        <w:spacing w:beforeLines="0" w:afterLines="0"/>
        <w:rPr>
          <w:rFonts w:hAnsi="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应为</w:t>
      </w:r>
      <w:r>
        <w:rPr>
          <w:rFonts w:ascii="宋体" w:hAnsi="宋体" w:eastAsia="宋体"/>
          <w:color w:val="000000" w:themeColor="text1"/>
          <w14:textFill>
            <w14:solidFill>
              <w14:schemeClr w14:val="tx1"/>
            </w14:solidFill>
          </w14:textFill>
        </w:rPr>
        <w:t>低空</w:t>
      </w:r>
      <w:r>
        <w:rPr>
          <w:rFonts w:hint="eastAsia" w:ascii="宋体" w:hAnsi="宋体" w:eastAsia="宋体"/>
          <w:color w:val="000000" w:themeColor="text1"/>
          <w14:textFill>
            <w14:solidFill>
              <w14:schemeClr w14:val="tx1"/>
            </w14:solidFill>
          </w14:textFill>
        </w:rPr>
        <w:t>航路/航线设置备降场</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备</w:t>
      </w:r>
      <w:r>
        <w:rPr>
          <w:rFonts w:ascii="宋体" w:hAnsi="宋体" w:eastAsia="宋体"/>
          <w:color w:val="000000" w:themeColor="text1"/>
          <w14:textFill>
            <w14:solidFill>
              <w14:schemeClr w14:val="tx1"/>
            </w14:solidFill>
          </w14:textFill>
        </w:rPr>
        <w:t>降点</w:t>
      </w:r>
      <w:r>
        <w:rPr>
          <w:rFonts w:hint="eastAsia" w:ascii="宋体" w:hAnsi="宋体" w:eastAsia="宋体"/>
          <w:color w:val="000000" w:themeColor="text1"/>
          <w14:textFill>
            <w14:solidFill>
              <w14:schemeClr w14:val="tx1"/>
            </w14:solidFill>
          </w14:textFill>
        </w:rPr>
        <w:t>，备降场</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备</w:t>
      </w:r>
      <w:r>
        <w:rPr>
          <w:rFonts w:ascii="宋体" w:hAnsi="宋体" w:eastAsia="宋体"/>
          <w:color w:val="000000" w:themeColor="text1"/>
          <w14:textFill>
            <w14:solidFill>
              <w14:schemeClr w14:val="tx1"/>
            </w14:solidFill>
          </w14:textFill>
        </w:rPr>
        <w:t>降点</w:t>
      </w:r>
      <w:r>
        <w:rPr>
          <w:rFonts w:hint="eastAsia" w:ascii="宋体" w:hAnsi="宋体" w:eastAsia="宋体"/>
          <w:color w:val="000000" w:themeColor="text1"/>
          <w14:textFill>
            <w14:solidFill>
              <w14:schemeClr w14:val="tx1"/>
            </w14:solidFill>
          </w14:textFill>
        </w:rPr>
        <w:t>可与起降场</w:t>
      </w:r>
      <w:r>
        <w:rPr>
          <w:rFonts w:ascii="宋体" w:hAnsi="宋体" w:eastAsia="宋体"/>
          <w:color w:val="000000" w:themeColor="text1"/>
          <w14:textFill>
            <w14:solidFill>
              <w14:schemeClr w14:val="tx1"/>
            </w14:solidFill>
          </w14:textFill>
        </w:rPr>
        <w:t>/起降点</w:t>
      </w:r>
      <w:r>
        <w:rPr>
          <w:rFonts w:hint="eastAsia" w:ascii="宋体" w:hAnsi="宋体" w:eastAsia="宋体"/>
          <w:color w:val="000000" w:themeColor="text1"/>
          <w14:textFill>
            <w14:solidFill>
              <w14:schemeClr w14:val="tx1"/>
            </w14:solidFill>
          </w14:textFill>
        </w:rPr>
        <w:t>重合。</w:t>
      </w:r>
    </w:p>
    <w:p w14:paraId="5B885581">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地貌和特殊区域地形要求</w:t>
      </w:r>
    </w:p>
    <w:p w14:paraId="5B885582">
      <w:pPr>
        <w:pStyle w:val="70"/>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面向典型地貌特征的划设要求</w:t>
      </w:r>
    </w:p>
    <w:p w14:paraId="5B885583">
      <w:pPr>
        <w:pStyle w:val="61"/>
        <w:widowControl w:val="0"/>
        <w:spacing w:before="156" w:beforeLines="50" w:after="156" w:afterLines="50"/>
        <w:ind w:firstLine="0" w:firstLineChars="0"/>
        <w:outlineLvl w:val="3"/>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6.2.1.1</w:t>
      </w:r>
      <w:r>
        <w:rPr>
          <w:rFonts w:hint="eastAsia" w:ascii="黑体" w:hAnsi="黑体" w:eastAsia="黑体"/>
          <w:color w:val="000000" w:themeColor="text1"/>
          <w14:textFill>
            <w14:solidFill>
              <w14:schemeClr w14:val="tx1"/>
            </w14:solidFill>
          </w14:textFill>
        </w:rPr>
        <w:tab/>
      </w:r>
      <w:r>
        <w:rPr>
          <w:rFonts w:hint="eastAsia" w:ascii="黑体" w:hAnsi="黑体" w:eastAsia="黑体"/>
          <w:color w:val="000000" w:themeColor="text1"/>
          <w14:textFill>
            <w14:solidFill>
              <w14:schemeClr w14:val="tx1"/>
            </w14:solidFill>
          </w14:textFill>
        </w:rPr>
        <w:t>山地丘陵低空航路/航线划设</w:t>
      </w:r>
    </w:p>
    <w:p w14:paraId="5B885584">
      <w:pPr>
        <w:pStyle w:val="179"/>
        <w:widowControl w:val="0"/>
        <w:numPr>
          <w:ilvl w:val="0"/>
          <w:numId w:val="0"/>
        </w:numPr>
        <w:ind w:left="852" w:hanging="426"/>
        <w:rPr>
          <w:color w:val="000000" w:themeColor="text1"/>
          <w14:textFill>
            <w14:solidFill>
              <w14:schemeClr w14:val="tx1"/>
            </w14:solidFill>
          </w14:textFill>
        </w:rPr>
      </w:pPr>
      <w:r>
        <w:rPr>
          <w:rFonts w:hint="eastAsia"/>
          <w:color w:val="000000" w:themeColor="text1"/>
          <w14:textFill>
            <w14:solidFill>
              <w14:schemeClr w14:val="tx1"/>
            </w14:solidFill>
          </w14:textFill>
        </w:rPr>
        <w:t>山地丘陵低空航路/航线划设应遵循以下要求：</w:t>
      </w:r>
    </w:p>
    <w:p w14:paraId="5B885585">
      <w:pPr>
        <w:pStyle w:val="179"/>
        <w:widowControl w:val="0"/>
        <w:numPr>
          <w:ilvl w:val="0"/>
          <w:numId w:val="36"/>
        </w:numPr>
        <w:rPr>
          <w:color w:val="000000" w:themeColor="text1"/>
          <w14:textFill>
            <w14:solidFill>
              <w14:schemeClr w14:val="tx1"/>
            </w14:solidFill>
          </w14:textFill>
        </w:rPr>
      </w:pPr>
      <w:r>
        <w:rPr>
          <w:rFonts w:hint="eastAsia"/>
          <w:color w:val="000000" w:themeColor="text1"/>
          <w14:textFill>
            <w14:solidFill>
              <w14:schemeClr w14:val="tx1"/>
            </w14:solidFill>
          </w14:textFill>
        </w:rPr>
        <w:t>应优先根据山谷走向划设低空航路/航线，避免频繁跨越山脊，应避开高大山体主峰；</w:t>
      </w:r>
    </w:p>
    <w:p w14:paraId="5B885586">
      <w:pPr>
        <w:pStyle w:val="179"/>
        <w:widowControl w:val="0"/>
        <w:numPr>
          <w:ilvl w:val="0"/>
          <w:numId w:val="36"/>
        </w:numPr>
        <w:rPr>
          <w:color w:val="000000" w:themeColor="text1"/>
          <w14:textFill>
            <w14:solidFill>
              <w14:schemeClr w14:val="tx1"/>
            </w14:solidFill>
          </w14:textFill>
        </w:rPr>
      </w:pPr>
      <w:r>
        <w:rPr>
          <w:color w:val="000000" w:themeColor="text1"/>
          <w14:textFill>
            <w14:solidFill>
              <w14:schemeClr w14:val="tx1"/>
            </w14:solidFill>
          </w14:textFill>
        </w:rPr>
        <w:t>应</w:t>
      </w:r>
      <w:r>
        <w:rPr>
          <w:rFonts w:hint="eastAsia"/>
          <w:color w:val="000000" w:themeColor="text1"/>
          <w14:textFill>
            <w14:solidFill>
              <w14:schemeClr w14:val="tx1"/>
            </w14:solidFill>
          </w14:textFill>
        </w:rPr>
        <w:t>充分</w:t>
      </w:r>
      <w:r>
        <w:rPr>
          <w:color w:val="000000" w:themeColor="text1"/>
          <w14:textFill>
            <w14:solidFill>
              <w14:schemeClr w14:val="tx1"/>
            </w14:solidFill>
          </w14:textFill>
        </w:rPr>
        <w:t>考虑局地气流扰动（如上升气流、下沉气流、山谷风</w:t>
      </w:r>
      <w:r>
        <w:rPr>
          <w:rFonts w:hint="eastAsia"/>
          <w:color w:val="000000" w:themeColor="text1"/>
          <w14:textFill>
            <w14:solidFill>
              <w14:schemeClr w14:val="tx1"/>
            </w14:solidFill>
          </w14:textFill>
        </w:rPr>
        <w:t>等</w:t>
      </w:r>
      <w:r>
        <w:rPr>
          <w:color w:val="000000" w:themeColor="text1"/>
          <w14:textFill>
            <w14:solidFill>
              <w14:schemeClr w14:val="tx1"/>
            </w14:solidFill>
          </w14:textFill>
        </w:rPr>
        <w:t>）对飞行稳定性的影响</w:t>
      </w:r>
      <w:r>
        <w:rPr>
          <w:rFonts w:hint="eastAsia"/>
          <w:color w:val="000000" w:themeColor="text1"/>
          <w14:textFill>
            <w14:solidFill>
              <w14:schemeClr w14:val="tx1"/>
            </w14:solidFill>
          </w14:textFill>
        </w:rPr>
        <w:t>；</w:t>
      </w:r>
    </w:p>
    <w:p w14:paraId="5B885587">
      <w:pPr>
        <w:pStyle w:val="179"/>
        <w:widowControl w:val="0"/>
        <w:numPr>
          <w:ilvl w:val="0"/>
          <w:numId w:val="36"/>
        </w:numPr>
        <w:rPr>
          <w:color w:val="000000" w:themeColor="text1"/>
          <w14:textFill>
            <w14:solidFill>
              <w14:schemeClr w14:val="tx1"/>
            </w14:solidFill>
          </w14:textFill>
        </w:rPr>
      </w:pPr>
      <w:r>
        <w:rPr>
          <w:rFonts w:hint="eastAsia"/>
          <w:color w:val="000000" w:themeColor="text1"/>
          <w14:textFill>
            <w14:solidFill>
              <w14:schemeClr w14:val="tx1"/>
            </w14:solidFill>
          </w14:textFill>
        </w:rPr>
        <w:t>在峡谷地区，低空航路/航线保护区宽度宜适当增加；</w:t>
      </w:r>
    </w:p>
    <w:p w14:paraId="5B885588">
      <w:pPr>
        <w:pStyle w:val="179"/>
        <w:widowControl w:val="0"/>
        <w:numPr>
          <w:ilvl w:val="0"/>
          <w:numId w:val="36"/>
        </w:numPr>
        <w:rPr>
          <w:color w:val="000000" w:themeColor="text1"/>
          <w14:textFill>
            <w14:solidFill>
              <w14:schemeClr w14:val="tx1"/>
            </w14:solidFill>
          </w14:textFill>
        </w:rPr>
      </w:pPr>
      <w:r>
        <w:rPr>
          <w:rFonts w:hint="eastAsia"/>
          <w:color w:val="000000" w:themeColor="text1"/>
          <w14:textFill>
            <w14:solidFill>
              <w14:schemeClr w14:val="tx1"/>
            </w14:solidFill>
          </w14:textFill>
        </w:rPr>
        <w:t>宜设置应急避让点，应对突发天气变化。</w:t>
      </w:r>
    </w:p>
    <w:p w14:paraId="5B885589">
      <w:pPr>
        <w:pStyle w:val="61"/>
        <w:widowControl w:val="0"/>
        <w:spacing w:before="156" w:beforeLines="50" w:after="156" w:afterLines="50"/>
        <w:ind w:firstLine="0" w:firstLineChars="0"/>
        <w:outlineLvl w:val="3"/>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6.2.1.2</w:t>
      </w:r>
      <w:r>
        <w:rPr>
          <w:rFonts w:hint="eastAsia" w:ascii="黑体" w:hAnsi="黑体" w:eastAsia="黑体"/>
          <w:color w:val="000000" w:themeColor="text1"/>
          <w14:textFill>
            <w14:solidFill>
              <w14:schemeClr w14:val="tx1"/>
            </w14:solidFill>
          </w14:textFill>
        </w:rPr>
        <w:tab/>
      </w:r>
      <w:r>
        <w:rPr>
          <w:rFonts w:hint="eastAsia" w:ascii="黑体" w:hAnsi="黑体" w:eastAsia="黑体"/>
          <w:color w:val="000000" w:themeColor="text1"/>
          <w14:textFill>
            <w14:solidFill>
              <w14:schemeClr w14:val="tx1"/>
            </w14:solidFill>
          </w14:textFill>
        </w:rPr>
        <w:t>水域及沿岸低空航路/航线划设</w:t>
      </w:r>
    </w:p>
    <w:p w14:paraId="5B88558A">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水域及沿岸</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航路/航线划设应遵循以下要求：</w:t>
      </w:r>
    </w:p>
    <w:p w14:paraId="5B88558B">
      <w:pPr>
        <w:pStyle w:val="179"/>
        <w:widowControl w:val="0"/>
        <w:numPr>
          <w:ilvl w:val="0"/>
          <w:numId w:val="37"/>
        </w:numPr>
        <w:rPr>
          <w:color w:val="000000" w:themeColor="text1"/>
          <w14:textFill>
            <w14:solidFill>
              <w14:schemeClr w14:val="tx1"/>
            </w14:solidFill>
          </w14:textFill>
        </w:rPr>
      </w:pPr>
      <w:r>
        <w:rPr>
          <w:rFonts w:hint="eastAsia"/>
          <w:color w:val="000000" w:themeColor="text1"/>
          <w14:textFill>
            <w14:solidFill>
              <w14:schemeClr w14:val="tx1"/>
            </w14:solidFill>
          </w14:textFill>
        </w:rPr>
        <w:t>应考虑大型水体对无线电信号的影响，确保通信链路可靠性；</w:t>
      </w:r>
    </w:p>
    <w:p w14:paraId="5B88558C">
      <w:pPr>
        <w:pStyle w:val="179"/>
        <w:widowControl w:val="0"/>
        <w:rPr>
          <w:color w:val="000000" w:themeColor="text1"/>
          <w14:textFill>
            <w14:solidFill>
              <w14:schemeClr w14:val="tx1"/>
            </w14:solidFill>
          </w14:textFill>
        </w:rPr>
      </w:pPr>
      <w:r>
        <w:rPr>
          <w:rFonts w:hint="eastAsia"/>
          <w:color w:val="000000" w:themeColor="text1"/>
          <w14:textFill>
            <w14:solidFill>
              <w14:schemeClr w14:val="tx1"/>
            </w14:solidFill>
          </w14:textFill>
        </w:rPr>
        <w:t>应考虑水位变化对沿岸障碍物高度的影响（如码头悬浮设施、临时构筑物），建立周期性数据更新机制；</w:t>
      </w:r>
    </w:p>
    <w:p w14:paraId="5B88558D">
      <w:pPr>
        <w:pStyle w:val="179"/>
        <w:widowControl w:val="0"/>
        <w:rPr>
          <w:color w:val="000000" w:themeColor="text1"/>
          <w14:textFill>
            <w14:solidFill>
              <w14:schemeClr w14:val="tx1"/>
            </w14:solidFill>
          </w14:textFill>
        </w:rPr>
      </w:pPr>
      <w:r>
        <w:rPr>
          <w:rFonts w:hint="eastAsia"/>
          <w:color w:val="000000" w:themeColor="text1"/>
          <w14:textFill>
            <w14:solidFill>
              <w14:schemeClr w14:val="tx1"/>
            </w14:solidFill>
          </w14:textFill>
        </w:rPr>
        <w:t>针对大型水域，宜设置中途应急着陆点。</w:t>
      </w:r>
    </w:p>
    <w:p w14:paraId="5B88558E">
      <w:pPr>
        <w:pStyle w:val="70"/>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面向特殊区域地形的划设要求</w:t>
      </w:r>
    </w:p>
    <w:p w14:paraId="5B88558F">
      <w:pPr>
        <w:pStyle w:val="61"/>
        <w:widowControl w:val="0"/>
        <w:spacing w:before="156" w:beforeLines="50" w:after="156" w:afterLines="50"/>
        <w:ind w:firstLine="0" w:firstLineChars="0"/>
        <w:outlineLvl w:val="3"/>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6.2.2.1</w:t>
      </w:r>
      <w:r>
        <w:rPr>
          <w:rFonts w:hint="eastAsia" w:ascii="黑体" w:hAnsi="黑体" w:eastAsia="黑体"/>
          <w:color w:val="000000" w:themeColor="text1"/>
          <w14:textFill>
            <w14:solidFill>
              <w14:schemeClr w14:val="tx1"/>
            </w14:solidFill>
          </w14:textFill>
        </w:rPr>
        <w:tab/>
      </w:r>
      <w:r>
        <w:rPr>
          <w:rFonts w:hint="eastAsia" w:ascii="黑体" w:hAnsi="黑体" w:eastAsia="黑体"/>
          <w:color w:val="000000" w:themeColor="text1"/>
          <w14:textFill>
            <w14:solidFill>
              <w14:schemeClr w14:val="tx1"/>
            </w14:solidFill>
          </w14:textFill>
        </w:rPr>
        <w:t>农林作业区域低空航路/航线划设</w:t>
      </w:r>
    </w:p>
    <w:p w14:paraId="5B885590">
      <w:pPr>
        <w:pStyle w:val="179"/>
        <w:widowControl w:val="0"/>
        <w:numPr>
          <w:ilvl w:val="0"/>
          <w:numId w:val="0"/>
        </w:numPr>
        <w:ind w:left="852" w:hanging="426"/>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农林作业区域</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航路/航线划设应遵循以下要求：</w:t>
      </w:r>
    </w:p>
    <w:p w14:paraId="5B885591">
      <w:pPr>
        <w:pStyle w:val="179"/>
        <w:widowControl w:val="0"/>
        <w:numPr>
          <w:ilvl w:val="0"/>
          <w:numId w:val="3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应考虑作物生长周期对低空航路/航线高度设置的影响；</w:t>
      </w:r>
    </w:p>
    <w:p w14:paraId="5B885592">
      <w:pPr>
        <w:pStyle w:val="179"/>
        <w:widowControl w:val="0"/>
      </w:pPr>
      <w:r>
        <w:rPr>
          <w:rFonts w:hint="eastAsia"/>
        </w:rPr>
        <w:t>应考虑农药喷洒对</w:t>
      </w:r>
      <w:r>
        <w:t>传感器和机体</w:t>
      </w:r>
      <w:r>
        <w:rPr>
          <w:rFonts w:hint="eastAsia"/>
        </w:rPr>
        <w:t>的影响</w:t>
      </w:r>
      <w:r>
        <w:rPr>
          <w:rFonts w:hint="eastAsia"/>
          <w:color w:val="000000" w:themeColor="text1"/>
          <w14:textFill>
            <w14:solidFill>
              <w14:schemeClr w14:val="tx1"/>
            </w14:solidFill>
          </w14:textFill>
        </w:rPr>
        <w:t>。</w:t>
      </w:r>
    </w:p>
    <w:p w14:paraId="5B885593">
      <w:pPr>
        <w:pStyle w:val="61"/>
        <w:widowControl w:val="0"/>
        <w:spacing w:before="156" w:beforeLines="50" w:after="156" w:afterLines="50"/>
        <w:ind w:firstLine="0" w:firstLineChars="0"/>
        <w:outlineLvl w:val="3"/>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6.2.2.2</w:t>
      </w:r>
      <w:r>
        <w:rPr>
          <w:rFonts w:hint="eastAsia" w:ascii="黑体" w:hAnsi="黑体" w:eastAsia="黑体"/>
          <w:color w:val="000000" w:themeColor="text1"/>
          <w14:textFill>
            <w14:solidFill>
              <w14:schemeClr w14:val="tx1"/>
            </w14:solidFill>
          </w14:textFill>
        </w:rPr>
        <w:tab/>
      </w:r>
      <w:r>
        <w:rPr>
          <w:rFonts w:hint="eastAsia" w:ascii="黑体" w:hAnsi="黑体" w:eastAsia="黑体"/>
          <w:color w:val="000000" w:themeColor="text1"/>
          <w14:textFill>
            <w14:solidFill>
              <w14:schemeClr w14:val="tx1"/>
            </w14:solidFill>
          </w14:textFill>
        </w:rPr>
        <w:t>采矿挖掘区域低空航路/航线划设</w:t>
      </w:r>
    </w:p>
    <w:p w14:paraId="5B885594">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采矿挖掘区域</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航路/航线划设应遵循以下要求：</w:t>
      </w:r>
    </w:p>
    <w:p w14:paraId="5B885595">
      <w:pPr>
        <w:pStyle w:val="179"/>
        <w:widowControl w:val="0"/>
        <w:numPr>
          <w:ilvl w:val="0"/>
          <w:numId w:val="39"/>
        </w:numPr>
        <w:rPr>
          <w:color w:val="000000" w:themeColor="text1"/>
          <w14:textFill>
            <w14:solidFill>
              <w14:schemeClr w14:val="tx1"/>
            </w14:solidFill>
          </w14:textFill>
        </w:rPr>
      </w:pPr>
      <w:r>
        <w:rPr>
          <w:rFonts w:hint="eastAsia"/>
          <w:color w:val="000000" w:themeColor="text1"/>
          <w14:textFill>
            <w14:solidFill>
              <w14:schemeClr w14:val="tx1"/>
            </w14:solidFill>
          </w14:textFill>
        </w:rPr>
        <w:t>应考虑大型采矿设备、运输机械、爆破作业等可能产生的强电磁干扰，低空航路/航线宜远离核心作业区；</w:t>
      </w:r>
    </w:p>
    <w:p w14:paraId="5B885596">
      <w:pPr>
        <w:pStyle w:val="179"/>
        <w:widowControl w:val="0"/>
        <w:rPr>
          <w:color w:val="000000" w:themeColor="text1"/>
          <w14:textFill>
            <w14:solidFill>
              <w14:schemeClr w14:val="tx1"/>
            </w14:solidFill>
          </w14:textFill>
        </w:rPr>
      </w:pPr>
      <w:r>
        <w:rPr>
          <w:rFonts w:hint="eastAsia"/>
          <w:color w:val="000000" w:themeColor="text1"/>
          <w14:textFill>
            <w14:solidFill>
              <w14:schemeClr w14:val="tx1"/>
            </w14:solidFill>
          </w14:textFill>
        </w:rPr>
        <w:t>应考虑高粉尘环境对无人驾驶航空器传感器（尤其是视觉、激光雷达）和动力系统（电机、螺旋桨）的影响，低空航路/航线应避开粉尘源主导下风向区域，或仅在气象条件良好时运行；</w:t>
      </w:r>
    </w:p>
    <w:p w14:paraId="5B885597">
      <w:pPr>
        <w:pStyle w:val="179"/>
        <w:widowControl w:val="0"/>
        <w:rPr>
          <w:color w:val="000000" w:themeColor="text1"/>
          <w14:textFill>
            <w14:solidFill>
              <w14:schemeClr w14:val="tx1"/>
            </w14:solidFill>
          </w14:textFill>
        </w:rPr>
      </w:pPr>
      <w:r>
        <w:rPr>
          <w:rFonts w:hint="eastAsia"/>
          <w:color w:val="000000" w:themeColor="text1"/>
          <w14:textFill>
            <w14:solidFill>
              <w14:schemeClr w14:val="tx1"/>
            </w14:solidFill>
          </w14:textFill>
        </w:rPr>
        <w:t>应考虑矿区地形变化快（挖掘、堆填），障碍物（如大型车辆、设备、堆积物）位置和高度动态性强的特点，宜建立频繁的障碍物数据更新机制。</w:t>
      </w:r>
    </w:p>
    <w:p w14:paraId="5B885598">
      <w:pPr>
        <w:pStyle w:val="61"/>
        <w:widowControl w:val="0"/>
        <w:spacing w:before="156" w:beforeLines="50" w:after="156" w:afterLines="50"/>
        <w:ind w:firstLine="0" w:firstLineChars="0"/>
        <w:outlineLvl w:val="3"/>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6.2.2.3</w:t>
      </w:r>
      <w:r>
        <w:rPr>
          <w:rFonts w:hint="eastAsia" w:ascii="黑体" w:hAnsi="黑体" w:eastAsia="黑体"/>
          <w:color w:val="000000" w:themeColor="text1"/>
          <w14:textFill>
            <w14:solidFill>
              <w14:schemeClr w14:val="tx1"/>
            </w14:solidFill>
          </w14:textFill>
        </w:rPr>
        <w:tab/>
      </w:r>
      <w:r>
        <w:rPr>
          <w:rFonts w:hint="eastAsia" w:ascii="黑体" w:hAnsi="黑体" w:eastAsia="黑体"/>
          <w:color w:val="000000" w:themeColor="text1"/>
          <w14:textFill>
            <w14:solidFill>
              <w14:schemeClr w14:val="tx1"/>
            </w14:solidFill>
          </w14:textFill>
        </w:rPr>
        <w:t>生态/文化保护区域低空航路/航线划设</w:t>
      </w:r>
    </w:p>
    <w:p w14:paraId="5B885599">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生态/文化保护区</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航路/航线划设</w:t>
      </w:r>
      <w:r>
        <w:rPr>
          <w:rFonts w:hAnsi="宋体"/>
          <w:color w:val="000000" w:themeColor="text1"/>
          <w14:textFill>
            <w14:solidFill>
              <w14:schemeClr w14:val="tx1"/>
            </w14:solidFill>
          </w14:textFill>
        </w:rPr>
        <w:t>应</w:t>
      </w:r>
      <w:r>
        <w:rPr>
          <w:rFonts w:hint="eastAsia" w:hAnsi="宋体"/>
          <w:color w:val="000000" w:themeColor="text1"/>
          <w14:textFill>
            <w14:solidFill>
              <w14:schemeClr w14:val="tx1"/>
            </w14:solidFill>
          </w14:textFill>
        </w:rPr>
        <w:t>遵循</w:t>
      </w:r>
      <w:r>
        <w:rPr>
          <w:rFonts w:hAnsi="宋体"/>
          <w:color w:val="000000" w:themeColor="text1"/>
          <w14:textFill>
            <w14:solidFill>
              <w14:schemeClr w14:val="tx1"/>
            </w14:solidFill>
          </w14:textFill>
        </w:rPr>
        <w:t>以下要求：</w:t>
      </w:r>
    </w:p>
    <w:p w14:paraId="5B88559A">
      <w:pPr>
        <w:pStyle w:val="179"/>
        <w:widowControl w:val="0"/>
        <w:numPr>
          <w:ilvl w:val="0"/>
          <w:numId w:val="40"/>
        </w:numPr>
        <w:rPr>
          <w:color w:val="000000" w:themeColor="text1"/>
          <w14:textFill>
            <w14:solidFill>
              <w14:schemeClr w14:val="tx1"/>
            </w14:solidFill>
          </w14:textFill>
        </w:rPr>
      </w:pPr>
      <w:r>
        <w:rPr>
          <w:color w:val="000000" w:themeColor="text1"/>
          <w14:textFill>
            <w14:solidFill>
              <w14:schemeClr w14:val="tx1"/>
            </w14:solidFill>
          </w14:textFill>
        </w:rPr>
        <w:t>应避开核心保护</w:t>
      </w:r>
      <w:r>
        <w:rPr>
          <w:rFonts w:hint="eastAsia"/>
          <w:color w:val="000000" w:themeColor="text1"/>
          <w14:textFill>
            <w14:solidFill>
              <w14:schemeClr w14:val="tx1"/>
            </w14:solidFill>
          </w14:textFill>
        </w:rPr>
        <w:t>区域</w:t>
      </w:r>
      <w:r>
        <w:rPr>
          <w:color w:val="000000" w:themeColor="text1"/>
          <w14:textFill>
            <w14:solidFill>
              <w14:schemeClr w14:val="tx1"/>
            </w14:solidFill>
          </w14:textFill>
        </w:rPr>
        <w:t>，遵守相关</w:t>
      </w:r>
      <w:r>
        <w:rPr>
          <w:rFonts w:hint="eastAsia"/>
          <w:color w:val="000000" w:themeColor="text1"/>
          <w14:textFill>
            <w14:solidFill>
              <w14:schemeClr w14:val="tx1"/>
            </w14:solidFill>
          </w14:textFill>
        </w:rPr>
        <w:t>革命纪念地、</w:t>
      </w:r>
      <w:r>
        <w:rPr>
          <w:color w:val="000000" w:themeColor="text1"/>
          <w14:textFill>
            <w14:solidFill>
              <w14:schemeClr w14:val="tx1"/>
            </w14:solidFill>
          </w14:textFill>
        </w:rPr>
        <w:t>自然保护区、</w:t>
      </w:r>
      <w:r>
        <w:rPr>
          <w:rFonts w:hint="eastAsia"/>
          <w:color w:val="000000" w:themeColor="text1"/>
          <w14:textFill>
            <w14:solidFill>
              <w14:schemeClr w14:val="tx1"/>
            </w14:solidFill>
          </w14:textFill>
        </w:rPr>
        <w:t>水源地保护区及</w:t>
      </w:r>
      <w:r>
        <w:rPr>
          <w:color w:val="000000" w:themeColor="text1"/>
          <w14:textFill>
            <w14:solidFill>
              <w14:schemeClr w14:val="tx1"/>
            </w14:solidFill>
          </w14:textFill>
        </w:rPr>
        <w:t>风景名胜区</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管理规定；</w:t>
      </w:r>
    </w:p>
    <w:p w14:paraId="5B88559B">
      <w:pPr>
        <w:pStyle w:val="179"/>
        <w:widowControl w:val="0"/>
        <w:rPr>
          <w:color w:val="000000" w:themeColor="text1"/>
          <w14:textFill>
            <w14:solidFill>
              <w14:schemeClr w14:val="tx1"/>
            </w14:solidFill>
          </w14:textFill>
        </w:rPr>
      </w:pPr>
      <w:r>
        <w:rPr>
          <w:color w:val="000000" w:themeColor="text1"/>
          <w14:textFill>
            <w14:solidFill>
              <w14:schemeClr w14:val="tx1"/>
            </w14:solidFill>
          </w14:textFill>
        </w:rPr>
        <w:t>应考虑旅游旺季人员活动密集，避免低空飞行造成干扰或安全隐患；</w:t>
      </w:r>
    </w:p>
    <w:p w14:paraId="5B88559C">
      <w:pPr>
        <w:pStyle w:val="179"/>
        <w:widowControl w:val="0"/>
        <w:rPr>
          <w:color w:val="000000" w:themeColor="text1"/>
          <w14:textFill>
            <w14:solidFill>
              <w14:schemeClr w14:val="tx1"/>
            </w14:solidFill>
          </w14:textFill>
        </w:rPr>
      </w:pPr>
      <w:r>
        <w:rPr>
          <w:color w:val="000000" w:themeColor="text1"/>
          <w14:textFill>
            <w14:solidFill>
              <w14:schemeClr w14:val="tx1"/>
            </w14:solidFill>
          </w14:textFill>
        </w:rPr>
        <w:t>应考虑生态敏感区域对噪声的要求，</w:t>
      </w:r>
      <w:r>
        <w:rPr>
          <w:rFonts w:hint="eastAsia"/>
          <w:color w:val="000000" w:themeColor="text1"/>
          <w14:textFill>
            <w14:solidFill>
              <w14:schemeClr w14:val="tx1"/>
            </w14:solidFill>
          </w14:textFill>
        </w:rPr>
        <w:t>适当</w:t>
      </w:r>
      <w:r>
        <w:rPr>
          <w:color w:val="000000" w:themeColor="text1"/>
          <w14:textFill>
            <w14:solidFill>
              <w14:schemeClr w14:val="tx1"/>
            </w14:solidFill>
          </w14:textFill>
        </w:rPr>
        <w:t>提高</w:t>
      </w:r>
      <w:r>
        <w:rPr>
          <w:rFonts w:hint="eastAsia"/>
          <w:color w:val="000000" w:themeColor="text1"/>
          <w14:textFill>
            <w14:solidFill>
              <w14:schemeClr w14:val="tx1"/>
            </w14:solidFill>
          </w14:textFill>
        </w:rPr>
        <w:t>低空航路/航线</w:t>
      </w:r>
      <w:r>
        <w:rPr>
          <w:color w:val="000000" w:themeColor="text1"/>
          <w14:textFill>
            <w14:solidFill>
              <w14:schemeClr w14:val="tx1"/>
            </w14:solidFill>
          </w14:textFill>
        </w:rPr>
        <w:t>高度</w:t>
      </w:r>
      <w:r>
        <w:rPr>
          <w:rFonts w:hint="eastAsia"/>
          <w:color w:val="000000" w:themeColor="text1"/>
          <w14:textFill>
            <w14:solidFill>
              <w14:schemeClr w14:val="tx1"/>
            </w14:solidFill>
          </w14:textFill>
        </w:rPr>
        <w:t>或避开敏感区</w:t>
      </w:r>
      <w:r>
        <w:rPr>
          <w:color w:val="000000" w:themeColor="text1"/>
          <w14:textFill>
            <w14:solidFill>
              <w14:schemeClr w14:val="tx1"/>
            </w14:solidFill>
          </w14:textFill>
        </w:rPr>
        <w:t>。</w:t>
      </w:r>
    </w:p>
    <w:p w14:paraId="5B88559D">
      <w:pPr>
        <w:pStyle w:val="109"/>
        <w:widowControl w:val="0"/>
        <w:spacing w:before="312" w:after="312"/>
        <w:ind w:left="0"/>
        <w:rPr>
          <w:color w:val="000000" w:themeColor="text1"/>
          <w14:textFill>
            <w14:solidFill>
              <w14:schemeClr w14:val="tx1"/>
            </w14:solidFill>
          </w14:textFill>
        </w:rPr>
      </w:pPr>
      <w:bookmarkStart w:id="131" w:name="_Toc234856085"/>
      <w:bookmarkEnd w:id="131"/>
      <w:bookmarkStart w:id="132" w:name="_Toc234856081"/>
      <w:bookmarkEnd w:id="132"/>
      <w:bookmarkStart w:id="133" w:name="_Toc234424790"/>
      <w:bookmarkEnd w:id="133"/>
      <w:bookmarkStart w:id="134" w:name="_Toc234856480"/>
      <w:bookmarkEnd w:id="134"/>
      <w:bookmarkStart w:id="135" w:name="_Toc234855298"/>
      <w:bookmarkEnd w:id="135"/>
      <w:bookmarkStart w:id="136" w:name="_Toc234424787"/>
      <w:bookmarkEnd w:id="136"/>
      <w:bookmarkStart w:id="137" w:name="_Toc234856084"/>
      <w:bookmarkEnd w:id="137"/>
      <w:bookmarkStart w:id="138" w:name="_Toc234856082"/>
      <w:bookmarkEnd w:id="138"/>
      <w:bookmarkStart w:id="139" w:name="_Toc234424791"/>
      <w:bookmarkEnd w:id="139"/>
      <w:bookmarkStart w:id="140" w:name="_Toc234855693"/>
      <w:bookmarkEnd w:id="140"/>
      <w:bookmarkStart w:id="141" w:name="_Toc234856479"/>
      <w:bookmarkEnd w:id="141"/>
      <w:bookmarkStart w:id="142" w:name="_Toc234856083"/>
      <w:bookmarkEnd w:id="142"/>
      <w:bookmarkStart w:id="143" w:name="_Toc234855695"/>
      <w:bookmarkEnd w:id="143"/>
      <w:bookmarkStart w:id="144" w:name="_Toc234856490"/>
      <w:bookmarkEnd w:id="144"/>
      <w:bookmarkStart w:id="145" w:name="_Toc234856088"/>
      <w:bookmarkEnd w:id="145"/>
      <w:bookmarkStart w:id="146" w:name="_Toc234855692"/>
      <w:bookmarkEnd w:id="146"/>
      <w:bookmarkStart w:id="147" w:name="_Toc234855305"/>
      <w:bookmarkEnd w:id="147"/>
      <w:bookmarkStart w:id="148" w:name="_Toc234855306"/>
      <w:bookmarkEnd w:id="148"/>
      <w:bookmarkStart w:id="149" w:name="_Toc234856488"/>
      <w:bookmarkEnd w:id="149"/>
      <w:bookmarkStart w:id="150" w:name="_Toc234855694"/>
      <w:bookmarkEnd w:id="150"/>
      <w:bookmarkStart w:id="151" w:name="_Toc234856483"/>
      <w:bookmarkEnd w:id="151"/>
      <w:bookmarkStart w:id="152" w:name="_Toc234424788"/>
      <w:bookmarkEnd w:id="152"/>
      <w:bookmarkStart w:id="153" w:name="_Toc234424792"/>
      <w:bookmarkEnd w:id="153"/>
      <w:bookmarkStart w:id="154" w:name="_Toc234424794"/>
      <w:bookmarkEnd w:id="154"/>
      <w:bookmarkStart w:id="155" w:name="_Toc234855691"/>
      <w:bookmarkEnd w:id="155"/>
      <w:bookmarkStart w:id="156" w:name="_Toc234855297"/>
      <w:bookmarkEnd w:id="156"/>
      <w:bookmarkStart w:id="157" w:name="_Toc234856482"/>
      <w:bookmarkEnd w:id="157"/>
      <w:bookmarkStart w:id="158" w:name="_Toc234855295"/>
      <w:bookmarkEnd w:id="158"/>
      <w:bookmarkStart w:id="159" w:name="_Toc234855294"/>
      <w:bookmarkEnd w:id="159"/>
      <w:bookmarkStart w:id="160" w:name="_Toc234855696"/>
      <w:bookmarkEnd w:id="160"/>
      <w:bookmarkStart w:id="161" w:name="_Toc234856481"/>
      <w:bookmarkEnd w:id="161"/>
      <w:bookmarkStart w:id="162" w:name="_Toc234856086"/>
      <w:bookmarkEnd w:id="162"/>
      <w:bookmarkStart w:id="163" w:name="_Toc234855699"/>
      <w:bookmarkEnd w:id="163"/>
      <w:bookmarkStart w:id="164" w:name="_Toc234855299"/>
      <w:bookmarkEnd w:id="164"/>
      <w:bookmarkStart w:id="165" w:name="_Toc234855296"/>
      <w:bookmarkEnd w:id="165"/>
      <w:bookmarkStart w:id="166" w:name="_Toc234424789"/>
      <w:bookmarkEnd w:id="166"/>
      <w:bookmarkStart w:id="167" w:name="_Toc234856478"/>
      <w:bookmarkEnd w:id="167"/>
      <w:bookmarkStart w:id="168" w:name="_Toc234856484"/>
      <w:bookmarkEnd w:id="168"/>
      <w:bookmarkStart w:id="169" w:name="_Toc234856487"/>
      <w:bookmarkEnd w:id="169"/>
      <w:bookmarkStart w:id="170" w:name="_Toc234856091"/>
      <w:bookmarkEnd w:id="170"/>
      <w:bookmarkStart w:id="171" w:name="_Toc234424793"/>
      <w:bookmarkEnd w:id="171"/>
      <w:bookmarkStart w:id="172" w:name="_Toc234856485"/>
      <w:bookmarkEnd w:id="172"/>
      <w:bookmarkStart w:id="173" w:name="_Toc234856486"/>
      <w:bookmarkEnd w:id="173"/>
      <w:bookmarkStart w:id="174" w:name="_Toc234855302"/>
      <w:bookmarkEnd w:id="174"/>
      <w:bookmarkStart w:id="175" w:name="_Toc234856092"/>
      <w:bookmarkEnd w:id="175"/>
      <w:bookmarkStart w:id="176" w:name="_Toc234855702"/>
      <w:bookmarkEnd w:id="176"/>
      <w:bookmarkStart w:id="177" w:name="_Toc234855698"/>
      <w:bookmarkEnd w:id="177"/>
      <w:bookmarkStart w:id="178" w:name="_Toc234855304"/>
      <w:bookmarkEnd w:id="178"/>
      <w:bookmarkStart w:id="179" w:name="_Toc234855300"/>
      <w:bookmarkEnd w:id="179"/>
      <w:bookmarkStart w:id="180" w:name="_Toc234856090"/>
      <w:bookmarkEnd w:id="180"/>
      <w:bookmarkStart w:id="181" w:name="_Toc234856489"/>
      <w:bookmarkEnd w:id="181"/>
      <w:bookmarkStart w:id="182" w:name="_Toc234855697"/>
      <w:bookmarkEnd w:id="182"/>
      <w:bookmarkStart w:id="183" w:name="_Toc234855303"/>
      <w:bookmarkEnd w:id="183"/>
      <w:bookmarkStart w:id="184" w:name="_Toc234855301"/>
      <w:bookmarkEnd w:id="184"/>
      <w:bookmarkStart w:id="185" w:name="_Toc234424800"/>
      <w:bookmarkEnd w:id="185"/>
      <w:bookmarkStart w:id="186" w:name="_Toc234855701"/>
      <w:bookmarkEnd w:id="186"/>
      <w:bookmarkStart w:id="187" w:name="_Toc234424799"/>
      <w:bookmarkEnd w:id="187"/>
      <w:bookmarkStart w:id="188" w:name="_Toc234856089"/>
      <w:bookmarkEnd w:id="188"/>
      <w:bookmarkStart w:id="189" w:name="_Toc234856093"/>
      <w:bookmarkEnd w:id="189"/>
      <w:bookmarkStart w:id="190" w:name="_Toc234856094"/>
      <w:bookmarkEnd w:id="190"/>
      <w:bookmarkStart w:id="191" w:name="_Toc234424798"/>
      <w:bookmarkEnd w:id="191"/>
      <w:bookmarkStart w:id="192" w:name="_Toc234855307"/>
      <w:bookmarkEnd w:id="192"/>
      <w:bookmarkStart w:id="193" w:name="_Toc234855704"/>
      <w:bookmarkEnd w:id="193"/>
      <w:bookmarkStart w:id="194" w:name="_Toc234424797"/>
      <w:bookmarkEnd w:id="194"/>
      <w:bookmarkStart w:id="195" w:name="_Toc234855700"/>
      <w:bookmarkEnd w:id="195"/>
      <w:bookmarkStart w:id="196" w:name="_Toc234424796"/>
      <w:bookmarkEnd w:id="196"/>
      <w:bookmarkStart w:id="197" w:name="_Toc234856087"/>
      <w:bookmarkEnd w:id="197"/>
      <w:bookmarkStart w:id="198" w:name="_Toc234856491"/>
      <w:bookmarkEnd w:id="198"/>
      <w:bookmarkStart w:id="199" w:name="_Toc234424795"/>
      <w:bookmarkEnd w:id="199"/>
      <w:bookmarkStart w:id="200" w:name="_Toc234855703"/>
      <w:bookmarkEnd w:id="200"/>
      <w:bookmarkStart w:id="201" w:name="_Toc240381776"/>
      <w:r>
        <w:rPr>
          <w:rFonts w:hint="eastAsia"/>
          <w:color w:val="000000" w:themeColor="text1"/>
          <w14:textFill>
            <w14:solidFill>
              <w14:schemeClr w14:val="tx1"/>
            </w14:solidFill>
          </w14:textFill>
        </w:rPr>
        <w:t>划设方法</w:t>
      </w:r>
      <w:bookmarkEnd w:id="201"/>
    </w:p>
    <w:p w14:paraId="5B88559E">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低空航路/航线构成要件</w:t>
      </w:r>
    </w:p>
    <w:p w14:paraId="5B88559F">
      <w:pPr>
        <w:pStyle w:val="70"/>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低空航路构成要件</w:t>
      </w:r>
    </w:p>
    <w:p w14:paraId="5B8855A0">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低空航路由标称航径（即航路中心线）、航路宽度、保护区、航路点等低空空域要件构成，具有宽度范围，根据运行需要和空域环境配备一定的高度范围；进离场点与起降单元之间通过低空进离场航线和低空起落航线进行连接。</w:t>
      </w:r>
    </w:p>
    <w:p w14:paraId="5B8855A1">
      <w:pPr>
        <w:pStyle w:val="70"/>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低空航线构成要件</w:t>
      </w:r>
    </w:p>
    <w:p w14:paraId="5B8855A2">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低空航线由标称航径、保护区、航路点等低空空域要件构成，根据运行需要和空域环境配备一定的高度范围；进离场点与起降单元之间通过低空进离场航线和低空起落航线进行连接。</w:t>
      </w:r>
    </w:p>
    <w:p w14:paraId="5B8855A3">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各要件划设方法</w:t>
      </w:r>
    </w:p>
    <w:p w14:paraId="5B8855A4">
      <w:pPr>
        <w:pStyle w:val="70"/>
        <w:spacing w:before="156" w:after="156"/>
        <w:ind w:left="0"/>
        <w:rPr>
          <w:rFonts w:hAnsi="黑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低空航路/航线标称航径划设</w:t>
      </w:r>
    </w:p>
    <w:p w14:paraId="5B8855A5">
      <w:pPr>
        <w:pStyle w:val="179"/>
        <w:widowControl w:val="0"/>
        <w:numPr>
          <w:ilvl w:val="0"/>
          <w:numId w:val="0"/>
        </w:numPr>
        <w:ind w:left="852" w:hanging="426"/>
        <w:rPr>
          <w:color w:val="000000" w:themeColor="text1"/>
          <w14:textFill>
            <w14:solidFill>
              <w14:schemeClr w14:val="tx1"/>
            </w14:solidFill>
          </w14:textFill>
        </w:rPr>
      </w:pPr>
      <w:r>
        <w:rPr>
          <w:rFonts w:hint="eastAsia"/>
          <w:color w:val="000000" w:themeColor="text1"/>
          <w14:textFill>
            <w14:solidFill>
              <w14:schemeClr w14:val="tx1"/>
            </w14:solidFill>
          </w14:textFill>
        </w:rPr>
        <w:t>低空航路/航线标称航径的划设方法如下：</w:t>
      </w:r>
    </w:p>
    <w:p w14:paraId="5B8855A6">
      <w:pPr>
        <w:pStyle w:val="179"/>
        <w:widowControl w:val="0"/>
        <w:numPr>
          <w:ilvl w:val="0"/>
          <w:numId w:val="41"/>
        </w:numPr>
        <w:rPr>
          <w:color w:val="000000" w:themeColor="text1"/>
          <w14:textFill>
            <w14:solidFill>
              <w14:schemeClr w14:val="tx1"/>
            </w14:solidFill>
          </w14:textFill>
        </w:rPr>
      </w:pPr>
      <w:r>
        <w:rPr>
          <w:rFonts w:hint="eastAsia"/>
          <w:color w:val="000000" w:themeColor="text1"/>
          <w14:textFill>
            <w14:solidFill>
              <w14:schemeClr w14:val="tx1"/>
            </w14:solidFill>
          </w14:textFill>
        </w:rPr>
        <w:t>低空航路标称航径与低空航线标称航径的划设方法相同，它们可为直线或曲线；</w:t>
      </w:r>
    </w:p>
    <w:p w14:paraId="5B8855A7">
      <w:pPr>
        <w:pStyle w:val="179"/>
        <w:widowControl w:val="0"/>
      </w:pPr>
      <w:r>
        <w:rPr>
          <w:rFonts w:hint="eastAsia"/>
        </w:rPr>
        <w:t>相接的两段直线低空航路/航线</w:t>
      </w:r>
      <w:r>
        <w:rPr>
          <w:rFonts w:hint="eastAsia"/>
          <w:color w:val="000000" w:themeColor="text1"/>
          <w14:textFill>
            <w14:solidFill>
              <w14:schemeClr w14:val="tx1"/>
            </w14:solidFill>
          </w14:textFill>
        </w:rPr>
        <w:t>标称航径之间的</w:t>
      </w:r>
      <w:r>
        <w:rPr>
          <w:rFonts w:hint="eastAsia"/>
        </w:rPr>
        <w:t>航径改变角不宜小于</w:t>
      </w:r>
      <w:r>
        <w:t>90°</w:t>
      </w:r>
      <w:r>
        <w:rPr>
          <w:rFonts w:hint="eastAsia"/>
        </w:rPr>
        <w:t>；对于航径改变角接近或等于</w:t>
      </w:r>
      <w:r>
        <w:t>90°</w:t>
      </w:r>
      <w:r>
        <w:rPr>
          <w:rFonts w:hint="eastAsia"/>
        </w:rPr>
        <w:t>的相交段，宜使用满足无人驾驶航空器最低飞行性能要求的曲线航径替代；对于航径改变角大于</w:t>
      </w:r>
      <w:r>
        <w:t>90°</w:t>
      </w:r>
      <w:r>
        <w:rPr>
          <w:rFonts w:hint="eastAsia"/>
        </w:rPr>
        <w:t>的相交段，宜多布置航路点、使每个航路点处的相交段航径改变角大于或等于</w:t>
      </w:r>
      <w:r>
        <w:t>90°</w:t>
      </w:r>
      <w:r>
        <w:rPr>
          <w:rFonts w:hint="eastAsia"/>
        </w:rPr>
        <w:t>；</w:t>
      </w:r>
    </w:p>
    <w:p w14:paraId="5B8855A8">
      <w:pPr>
        <w:pStyle w:val="179"/>
        <w:widowControl w:val="0"/>
      </w:pPr>
      <w:r>
        <w:rPr>
          <w:rFonts w:hint="eastAsia"/>
          <w:color w:val="000000" w:themeColor="text1"/>
          <w14:textFill>
            <w14:solidFill>
              <w14:schemeClr w14:val="tx1"/>
            </w14:solidFill>
          </w14:textFill>
        </w:rPr>
        <w:t>低空航路/航线标称航径所处高度最低宜高于高度零位面以上40m，最高不宜高于高度基准面以上1000m；在山区丘陵，不宜低于高度零位面以上60m；在水域及沿岸，最低高度不宜低于水面之上50m；对于低空进离场航线和低空起落航线的爬升梯度，应注意固定翼和复合翼无人驾驶航空器（如果涉及）的性能限制；</w:t>
      </w:r>
    </w:p>
    <w:p w14:paraId="5B8855A9">
      <w:pPr>
        <w:pStyle w:val="179"/>
        <w:widowControl w:val="0"/>
      </w:pPr>
      <w:r>
        <w:rPr>
          <w:rFonts w:hint="eastAsia"/>
          <w:color w:val="000000" w:themeColor="text1"/>
          <w14:textFill>
            <w14:solidFill>
              <w14:schemeClr w14:val="tx1"/>
            </w14:solidFill>
          </w14:textFill>
        </w:rPr>
        <w:t>应为同一段低空航路/航线的不同运行方向配备不同的运行高度层，高度层的数量应匹配低空航路/航线设计估算和实际统计的运行架次，不同段低空航路/航线之间应注意高度层的彼此衔接。</w:t>
      </w:r>
    </w:p>
    <w:p w14:paraId="5B8855AA">
      <w:pPr>
        <w:pStyle w:val="70"/>
        <w:spacing w:before="156" w:after="156"/>
        <w:ind w:left="0"/>
        <w:rPr>
          <w:rFonts w:hAnsi="黑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低空航路宽度与保护区划设</w:t>
      </w:r>
    </w:p>
    <w:p w14:paraId="5B8855AB">
      <w:pPr>
        <w:pStyle w:val="179"/>
        <w:widowControl w:val="0"/>
        <w:numPr>
          <w:ilvl w:val="0"/>
          <w:numId w:val="0"/>
        </w:numPr>
        <w:ind w:left="852" w:hanging="426"/>
      </w:pPr>
      <w:r>
        <w:rPr>
          <w:rFonts w:hint="eastAsia"/>
        </w:rPr>
        <w:t>低空航路宽度与保护区的划设方法如下：</w:t>
      </w:r>
    </w:p>
    <w:p w14:paraId="5B8855AC">
      <w:pPr>
        <w:pStyle w:val="179"/>
        <w:widowControl w:val="0"/>
        <w:numPr>
          <w:ilvl w:val="0"/>
          <w:numId w:val="42"/>
        </w:numPr>
      </w:pPr>
      <w:r>
        <w:rPr>
          <w:rFonts w:hint="eastAsia"/>
        </w:rPr>
        <w:t>航路宽度是指正交于低空航路标称航径、向水平两侧延展的范围，航路标称航径和每侧航路边界的间距为航路半宽（</w:t>
      </w:r>
      <w:r>
        <w:t>W</w:t>
      </w:r>
      <w:r>
        <w:rPr>
          <w:rFonts w:hint="eastAsia"/>
        </w:rPr>
        <w:t>/2），航路半宽的划设应综合考虑</w:t>
      </w:r>
      <w:r>
        <w:rPr>
          <w:rFonts w:hint="eastAsia"/>
          <w:color w:val="000000" w:themeColor="text1"/>
          <w14:textFill>
            <w14:solidFill>
              <w14:schemeClr w14:val="tx1"/>
            </w14:solidFill>
          </w14:textFill>
        </w:rPr>
        <w:t>无人驾驶航空器飞行的水平偏航容差</w:t>
      </w:r>
      <w:r>
        <w:rPr>
          <w:rFonts w:hint="eastAsia"/>
        </w:rPr>
        <w:t>、侧风偏移量、紧急避让距离、</w:t>
      </w:r>
      <w:r>
        <w:rPr>
          <w:rFonts w:hint="eastAsia"/>
          <w:color w:val="000000" w:themeColor="text1"/>
          <w14:textFill>
            <w14:solidFill>
              <w14:schemeClr w14:val="tx1"/>
            </w14:solidFill>
          </w14:textFill>
        </w:rPr>
        <w:t>主要运行机型</w:t>
      </w:r>
      <w:r>
        <w:rPr>
          <w:rFonts w:hint="eastAsia"/>
        </w:rPr>
        <w:t>的转弯半径等因素，航路宽度示意图见图1；</w:t>
      </w:r>
    </w:p>
    <w:p w14:paraId="5B8855AD">
      <w:pPr>
        <w:pStyle w:val="179"/>
        <w:widowControl w:val="0"/>
        <w:numPr>
          <w:ilvl w:val="0"/>
          <w:numId w:val="42"/>
        </w:numPr>
      </w:pPr>
      <w:r>
        <w:rPr>
          <w:rFonts w:hint="eastAsia"/>
        </w:rPr>
        <w:t>低空航路保护区正交于低空航路标称航径的截面为矩形；</w:t>
      </w:r>
    </w:p>
    <w:p w14:paraId="5B8855AE">
      <w:pPr>
        <w:pStyle w:val="179"/>
        <w:widowControl w:val="0"/>
        <w:numPr>
          <w:ilvl w:val="0"/>
          <w:numId w:val="42"/>
        </w:numPr>
      </w:pPr>
      <w:r>
        <w:rPr>
          <w:rFonts w:hint="eastAsia"/>
        </w:rPr>
        <w:t>低空航路保护区在水平范围上从航路边界向两侧延展，每侧航路边界和水平保护区边界的间距为保护区半宽，水平保护区半宽</w:t>
      </w:r>
      <w:r>
        <w:rPr>
          <w:rFonts w:hint="eastAsia"/>
          <w:color w:val="000000" w:themeColor="text1"/>
          <w14:textFill>
            <w14:solidFill>
              <w14:schemeClr w14:val="tx1"/>
            </w14:solidFill>
          </w14:textFill>
        </w:rPr>
        <w:t>根据无人驾驶航空器飞行的水平偏航容差（X）确定，低空</w:t>
      </w:r>
      <w:r>
        <w:rPr>
          <w:rFonts w:hint="eastAsia"/>
        </w:rPr>
        <w:t>航路水平保护区示意图见图1；</w:t>
      </w:r>
    </w:p>
    <w:p w14:paraId="5B8855AF">
      <w:pPr>
        <w:pStyle w:val="179"/>
        <w:widowControl w:val="0"/>
        <w:numPr>
          <w:ilvl w:val="0"/>
          <w:numId w:val="42"/>
        </w:numPr>
      </w:pPr>
      <w:r>
        <w:rPr>
          <w:rFonts w:hint="eastAsia"/>
        </w:rPr>
        <w:t>低空航路保护区在垂直范围上从低空航路标称航径向上下延展，航路标称航径和每侧垂直保护区边界的间距为保护区半高，垂直保护区半高根据</w:t>
      </w:r>
      <w:r>
        <w:rPr>
          <w:rFonts w:hint="eastAsia"/>
          <w:color w:val="000000" w:themeColor="text1"/>
          <w14:textFill>
            <w14:solidFill>
              <w14:schemeClr w14:val="tx1"/>
            </w14:solidFill>
          </w14:textFill>
        </w:rPr>
        <w:t>无人驾驶航空器飞行的垂直偏航容差（Z）确定，低空</w:t>
      </w:r>
      <w:r>
        <w:rPr>
          <w:rFonts w:hint="eastAsia"/>
        </w:rPr>
        <w:t>航路垂直保护区示意图见图2；</w:t>
      </w:r>
    </w:p>
    <w:p w14:paraId="5B8855B0">
      <w:pPr>
        <w:pStyle w:val="179"/>
        <w:widowControl w:val="0"/>
        <w:rPr>
          <w:color w:val="000000" w:themeColor="text1"/>
          <w14:textFill>
            <w14:solidFill>
              <w14:schemeClr w14:val="tx1"/>
            </w14:solidFill>
          </w14:textFill>
        </w:rPr>
      </w:pPr>
      <w:r>
        <w:rPr>
          <w:rFonts w:hint="eastAsia"/>
          <w:color w:val="000000" w:themeColor="text1"/>
          <w14:textFill>
            <w14:solidFill>
              <w14:schemeClr w14:val="tx1"/>
            </w14:solidFill>
          </w14:textFill>
        </w:rPr>
        <w:t>偏航容差是对机载设备、飞行技术和飞控系统计算产生的垂直于标称航径的三种定位容差的计算平方和根；</w:t>
      </w:r>
    </w:p>
    <w:p w14:paraId="5B8855B1">
      <w:pPr>
        <w:pStyle w:val="179"/>
        <w:widowControl w:val="0"/>
        <w:rPr>
          <w:color w:val="000000" w:themeColor="text1"/>
          <w14:textFill>
            <w14:solidFill>
              <w14:schemeClr w14:val="tx1"/>
            </w14:solidFill>
          </w14:textFill>
        </w:rPr>
      </w:pPr>
      <w:r>
        <w:rPr>
          <w:rFonts w:hint="eastAsia"/>
          <w:color w:val="000000" w:themeColor="text1"/>
          <w14:textFill>
            <w14:solidFill>
              <w14:schemeClr w14:val="tx1"/>
            </w14:solidFill>
          </w14:textFill>
        </w:rPr>
        <w:t>应确保无人驾驶航空器在保护区内运行的概率不低于99.7%，保护区的半宽与半高参考如下：</w:t>
      </w:r>
    </w:p>
    <w:p w14:paraId="5B8855B2">
      <w:pPr>
        <w:pStyle w:val="179"/>
        <w:widowControl w:val="0"/>
        <w:numPr>
          <w:ilvl w:val="0"/>
          <w:numId w:val="43"/>
        </w:numPr>
      </w:pPr>
      <w:r>
        <w:rPr>
          <w:rFonts w:hint="eastAsia"/>
          <w:color w:val="000000" w:themeColor="text1"/>
          <w14:textFill>
            <w14:solidFill>
              <w14:schemeClr w14:val="tx1"/>
            </w14:solidFill>
          </w14:textFill>
        </w:rPr>
        <w:t>微型、轻型、小型低空无人驾驶航空器运行航路保护区半宽可为</w:t>
      </w:r>
      <w:r>
        <w:rPr>
          <w:color w:val="000000" w:themeColor="text1"/>
          <w14:textFill>
            <w14:solidFill>
              <w14:schemeClr w14:val="tx1"/>
            </w14:solidFill>
          </w14:textFill>
        </w:rPr>
        <w:t>2X</w:t>
      </w:r>
      <w:r>
        <w:rPr>
          <w:rFonts w:hint="eastAsia"/>
          <w:color w:val="000000" w:themeColor="text1"/>
          <w14:textFill>
            <w14:solidFill>
              <w14:schemeClr w14:val="tx1"/>
            </w14:solidFill>
          </w14:textFill>
        </w:rPr>
        <w:t>，半高可为2Z；转弯段水平保护区外侧宽度可增加X/2、内侧宽度不变，垂直保护区高度不变；</w:t>
      </w:r>
    </w:p>
    <w:p w14:paraId="5B8855B3">
      <w:pPr>
        <w:pStyle w:val="179"/>
        <w:widowControl w:val="0"/>
        <w:numPr>
          <w:ilvl w:val="0"/>
          <w:numId w:val="43"/>
        </w:numPr>
        <w:ind w:left="1208" w:hanging="357"/>
      </w:pPr>
      <w:r>
        <w:rPr>
          <w:rFonts w:hint="eastAsia"/>
          <w:color w:val="000000" w:themeColor="text1"/>
          <w14:textFill>
            <w14:solidFill>
              <w14:schemeClr w14:val="tx1"/>
            </w14:solidFill>
          </w14:textFill>
        </w:rPr>
        <w:t>中型低空无人驾驶航空器运行航路保护区半宽可为4X，半高可为4Z；转弯段水平保护区外侧宽度可增加X、内侧宽度不变，或按照中型无人驾驶航空器与微/轻/小型无人驾驶航空器的最大速度比例乘以X/2来确定水平保护区外侧增加的宽度、进而与5X相较取大者，垂直保护区高度不变；</w:t>
      </w:r>
    </w:p>
    <w:p w14:paraId="5B8855B4">
      <w:pPr>
        <w:pStyle w:val="179"/>
        <w:widowControl w:val="0"/>
        <w:numPr>
          <w:ilvl w:val="0"/>
          <w:numId w:val="43"/>
        </w:numPr>
      </w:pPr>
      <w:r>
        <w:rPr>
          <w:rFonts w:hint="eastAsia"/>
          <w:color w:val="000000" w:themeColor="text1"/>
          <w14:textFill>
            <w14:solidFill>
              <w14:schemeClr w14:val="tx1"/>
            </w14:solidFill>
          </w14:textFill>
        </w:rPr>
        <w:t>在复杂地形区</w:t>
      </w:r>
      <w:r>
        <w:rPr>
          <w:color w:val="000000" w:themeColor="text1"/>
          <w14:textFill>
            <w14:solidFill>
              <w14:schemeClr w14:val="tx1"/>
            </w14:solidFill>
          </w14:textFill>
        </w:rPr>
        <w:t>划设</w:t>
      </w:r>
      <w:r>
        <w:rPr>
          <w:rFonts w:hint="eastAsia"/>
          <w:color w:val="000000" w:themeColor="text1"/>
          <w14:textFill>
            <w14:solidFill>
              <w14:schemeClr w14:val="tx1"/>
            </w14:solidFill>
          </w14:textFill>
        </w:rPr>
        <w:t>低空航路</w:t>
      </w:r>
      <w:r>
        <w:rPr>
          <w:color w:val="000000" w:themeColor="text1"/>
          <w14:textFill>
            <w14:solidFill>
              <w14:schemeClr w14:val="tx1"/>
            </w14:solidFill>
          </w14:textFill>
        </w:rPr>
        <w:t>时，可视情适当扩大保护区范围，水平保护区半宽可额外增加X，垂直保护区半宽可额外增加Z。</w:t>
      </w:r>
    </w:p>
    <w:p w14:paraId="5B8855B5">
      <w:pPr>
        <w:pStyle w:val="179"/>
        <w:keepNext/>
        <w:widowControl w:val="0"/>
        <w:numPr>
          <w:ilvl w:val="0"/>
          <w:numId w:val="0"/>
        </w:numPr>
        <w:ind w:left="1134" w:leftChars="540"/>
        <w:jc w:val="center"/>
      </w:pPr>
      <w:r>
        <w:rPr>
          <w:rFonts w:hint="eastAsia"/>
          <w:color w:val="000000" w:themeColor="text1"/>
          <w14:textFill>
            <w14:solidFill>
              <w14:schemeClr w14:val="tx1"/>
            </w14:solidFill>
          </w14:textFill>
        </w:rPr>
        <w:drawing>
          <wp:inline distT="0" distB="0" distL="0" distR="0">
            <wp:extent cx="4881245" cy="2606675"/>
            <wp:effectExtent l="0" t="0" r="0" b="3175"/>
            <wp:docPr id="15928833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883367" name="图片 5"/>
                    <pic:cNvPicPr>
                      <a:picLocks noChangeAspect="1"/>
                    </pic:cNvPicPr>
                  </pic:nvPicPr>
                  <pic:blipFill>
                    <a:blip r:embed="rId16"/>
                    <a:stretch>
                      <a:fillRect/>
                    </a:stretch>
                  </pic:blipFill>
                  <pic:spPr>
                    <a:xfrm>
                      <a:off x="0" y="0"/>
                      <a:ext cx="4881263" cy="2607267"/>
                    </a:xfrm>
                    <a:prstGeom prst="rect">
                      <a:avLst/>
                    </a:prstGeom>
                  </pic:spPr>
                </pic:pic>
              </a:graphicData>
            </a:graphic>
          </wp:inline>
        </w:drawing>
      </w:r>
    </w:p>
    <w:p w14:paraId="5B8855B6">
      <w:pPr>
        <w:pStyle w:val="119"/>
        <w:spacing w:before="156" w:after="156"/>
        <w:rPr>
          <w:rFonts w:hint="eastAsia"/>
        </w:rPr>
      </w:pPr>
      <w:bookmarkStart w:id="202" w:name="OLE_LINK8"/>
      <w:r>
        <w:rPr>
          <w:rFonts w:hint="eastAsia"/>
        </w:rPr>
        <w:t>低空航路宽度与水平保护区示意图（以微/轻/小型无人驾驶航空器为例）</w:t>
      </w:r>
      <w:bookmarkEnd w:id="202"/>
    </w:p>
    <w:p w14:paraId="5B8855B7">
      <w:pPr>
        <w:pStyle w:val="179"/>
        <w:keepNext/>
        <w:widowControl w:val="0"/>
        <w:numPr>
          <w:ilvl w:val="0"/>
          <w:numId w:val="0"/>
        </w:numPr>
        <w:ind w:left="1418" w:leftChars="675"/>
      </w:pPr>
      <w:r>
        <w:drawing>
          <wp:inline distT="0" distB="0" distL="0" distR="0">
            <wp:extent cx="3222625" cy="1087120"/>
            <wp:effectExtent l="0" t="0" r="0" b="0"/>
            <wp:docPr id="69916790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67909" name="图片 7"/>
                    <pic:cNvPicPr>
                      <a:picLocks noChangeAspect="1"/>
                    </pic:cNvPicPr>
                  </pic:nvPicPr>
                  <pic:blipFill>
                    <a:blip r:embed="rId17"/>
                    <a:stretch>
                      <a:fillRect/>
                    </a:stretch>
                  </pic:blipFill>
                  <pic:spPr>
                    <a:xfrm>
                      <a:off x="0" y="0"/>
                      <a:ext cx="3223116" cy="1087596"/>
                    </a:xfrm>
                    <a:prstGeom prst="rect">
                      <a:avLst/>
                    </a:prstGeom>
                  </pic:spPr>
                </pic:pic>
              </a:graphicData>
            </a:graphic>
          </wp:inline>
        </w:drawing>
      </w:r>
    </w:p>
    <w:p w14:paraId="3EB9638C">
      <w:pPr>
        <w:pStyle w:val="119"/>
        <w:spacing w:before="156" w:after="156"/>
        <w:rPr>
          <w:rFonts w:hint="eastAsia"/>
        </w:rPr>
      </w:pPr>
      <w:r>
        <w:rPr>
          <w:rFonts w:hint="eastAsia"/>
        </w:rPr>
        <w:t>低空航路/航线垂直保护区示意图</w:t>
      </w:r>
    </w:p>
    <w:p w14:paraId="5B8855B9">
      <w:pPr>
        <w:pStyle w:val="179"/>
        <w:keepNext/>
        <w:widowControl w:val="0"/>
        <w:numPr>
          <w:ilvl w:val="0"/>
          <w:numId w:val="0"/>
        </w:numPr>
        <w:ind w:left="1470" w:leftChars="700"/>
      </w:pPr>
      <w:r>
        <w:rPr>
          <w:rFonts w:hint="eastAsia"/>
          <w:color w:val="000000" w:themeColor="text1"/>
          <w14:textFill>
            <w14:solidFill>
              <w14:schemeClr w14:val="tx1"/>
            </w14:solidFill>
          </w14:textFill>
        </w:rPr>
        <w:drawing>
          <wp:inline distT="0" distB="0" distL="0" distR="0">
            <wp:extent cx="4103370" cy="1833880"/>
            <wp:effectExtent l="0" t="0" r="0" b="0"/>
            <wp:docPr id="2529775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77510" name="图片 6"/>
                    <pic:cNvPicPr>
                      <a:picLocks noChangeAspect="1"/>
                    </pic:cNvPicPr>
                  </pic:nvPicPr>
                  <pic:blipFill>
                    <a:blip r:embed="rId18"/>
                    <a:stretch>
                      <a:fillRect/>
                    </a:stretch>
                  </pic:blipFill>
                  <pic:spPr>
                    <a:xfrm>
                      <a:off x="0" y="0"/>
                      <a:ext cx="4103618" cy="1833943"/>
                    </a:xfrm>
                    <a:prstGeom prst="rect">
                      <a:avLst/>
                    </a:prstGeom>
                  </pic:spPr>
                </pic:pic>
              </a:graphicData>
            </a:graphic>
          </wp:inline>
        </w:drawing>
      </w:r>
    </w:p>
    <w:p w14:paraId="458088B0">
      <w:pPr>
        <w:pStyle w:val="119"/>
        <w:spacing w:before="156" w:after="156"/>
        <w:rPr>
          <w:rFonts w:hint="eastAsia"/>
        </w:rPr>
      </w:pPr>
      <w:r>
        <w:rPr>
          <w:rFonts w:hint="eastAsia"/>
        </w:rPr>
        <w:t>低空航线水平保护区示意图（以微/轻/小型无人驾驶航空器为例）</w:t>
      </w:r>
    </w:p>
    <w:p w14:paraId="5B8855BB">
      <w:pPr>
        <w:pStyle w:val="70"/>
        <w:spacing w:before="156" w:after="156"/>
        <w:ind w:left="0"/>
        <w:rPr>
          <w:rFonts w:hAnsi="黑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低空航线保护区划设</w:t>
      </w:r>
    </w:p>
    <w:p w14:paraId="5B8855BC">
      <w:pPr>
        <w:pStyle w:val="179"/>
        <w:widowControl w:val="0"/>
        <w:numPr>
          <w:ilvl w:val="0"/>
          <w:numId w:val="0"/>
        </w:numPr>
        <w:ind w:left="852" w:hanging="426"/>
      </w:pPr>
      <w:r>
        <w:rPr>
          <w:rFonts w:hint="eastAsia"/>
        </w:rPr>
        <w:t>低空航线保护区的划设方法如下：</w:t>
      </w:r>
    </w:p>
    <w:p w14:paraId="5B8855BD">
      <w:pPr>
        <w:pStyle w:val="179"/>
        <w:widowControl w:val="0"/>
        <w:numPr>
          <w:ilvl w:val="0"/>
          <w:numId w:val="44"/>
        </w:numPr>
      </w:pPr>
      <w:r>
        <w:rPr>
          <w:rFonts w:hint="eastAsia"/>
        </w:rPr>
        <w:t>低空航线保护区在水平范围上从航线标称航径向两侧延展，航线标称航径和每侧水平保护区边界的间距为保护区半宽，低空航线水平保护区示意图见图3；</w:t>
      </w:r>
    </w:p>
    <w:p w14:paraId="5B8855BE">
      <w:pPr>
        <w:pStyle w:val="179"/>
        <w:widowControl w:val="0"/>
        <w:numPr>
          <w:ilvl w:val="0"/>
          <w:numId w:val="44"/>
        </w:numPr>
      </w:pPr>
      <w:r>
        <w:rPr>
          <w:rFonts w:hint="eastAsia"/>
        </w:rPr>
        <w:t>低空航线保护区在垂直范围上从航线标称航径向上下延展，航线标称航径和每侧垂直保护区边界的间距为保护区半高，低空航线垂直保护区示意图见图2；</w:t>
      </w:r>
    </w:p>
    <w:p w14:paraId="5B8855BF">
      <w:pPr>
        <w:pStyle w:val="179"/>
        <w:widowControl w:val="0"/>
        <w:numPr>
          <w:ilvl w:val="0"/>
          <w:numId w:val="44"/>
        </w:numPr>
      </w:pPr>
      <w:r>
        <w:rPr>
          <w:rFonts w:hint="eastAsia"/>
        </w:rPr>
        <w:t>低空航线保护区半宽与半高</w:t>
      </w:r>
      <w:r>
        <w:rPr>
          <w:rFonts w:hint="eastAsia"/>
          <w:color w:val="000000" w:themeColor="text1"/>
          <w14:textFill>
            <w14:solidFill>
              <w14:schemeClr w14:val="tx1"/>
            </w14:solidFill>
          </w14:textFill>
        </w:rPr>
        <w:t>的确定参照低空航路保护区的划设方法。</w:t>
      </w:r>
    </w:p>
    <w:p w14:paraId="5B8855C0">
      <w:pPr>
        <w:pStyle w:val="70"/>
        <w:spacing w:before="156" w:after="156"/>
        <w:ind w:left="0"/>
        <w:rPr>
          <w:rFonts w:hAnsi="黑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航路点划设</w:t>
      </w:r>
    </w:p>
    <w:p w14:paraId="5B8855C1">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航路点的划设应考虑地形地貌状况、无人驾驶航空器性能水平、导航定位需求和低空航路/航线网络布局，宜疏密有度、充分发挥航路点分段定位、检查确认和保障安全的作用。</w:t>
      </w:r>
    </w:p>
    <w:p w14:paraId="5B8855C2">
      <w:pPr>
        <w:pStyle w:val="109"/>
        <w:widowControl w:val="0"/>
        <w:spacing w:before="312" w:after="312"/>
        <w:ind w:left="0"/>
        <w:rPr>
          <w:color w:val="000000" w:themeColor="text1"/>
          <w14:textFill>
            <w14:solidFill>
              <w14:schemeClr w14:val="tx1"/>
            </w14:solidFill>
          </w14:textFill>
        </w:rPr>
      </w:pPr>
      <w:bookmarkStart w:id="203" w:name="_Toc234424832"/>
      <w:bookmarkEnd w:id="203"/>
      <w:bookmarkStart w:id="204" w:name="_Toc234855736"/>
      <w:bookmarkEnd w:id="204"/>
      <w:bookmarkStart w:id="205" w:name="_Toc234856523"/>
      <w:bookmarkEnd w:id="205"/>
      <w:bookmarkStart w:id="206" w:name="_Toc234856493"/>
      <w:bookmarkEnd w:id="206"/>
      <w:bookmarkStart w:id="207" w:name="_Toc234856125"/>
      <w:bookmarkEnd w:id="207"/>
      <w:bookmarkStart w:id="208" w:name="_Toc234855339"/>
      <w:bookmarkEnd w:id="208"/>
      <w:bookmarkStart w:id="209" w:name="_Toc234856522"/>
      <w:bookmarkEnd w:id="209"/>
      <w:bookmarkStart w:id="210" w:name="_Toc234855706"/>
      <w:bookmarkEnd w:id="210"/>
      <w:bookmarkStart w:id="211" w:name="_Toc234424811"/>
      <w:bookmarkEnd w:id="211"/>
      <w:bookmarkStart w:id="212" w:name="_Toc234855711"/>
      <w:bookmarkEnd w:id="212"/>
      <w:bookmarkStart w:id="213" w:name="_Toc234424805"/>
      <w:bookmarkEnd w:id="213"/>
      <w:bookmarkStart w:id="214" w:name="_Toc234424809"/>
      <w:bookmarkEnd w:id="214"/>
      <w:bookmarkStart w:id="215" w:name="_Toc234855708"/>
      <w:bookmarkEnd w:id="215"/>
      <w:bookmarkStart w:id="216" w:name="_Toc234855713"/>
      <w:bookmarkEnd w:id="216"/>
      <w:bookmarkStart w:id="217" w:name="_Toc234856104"/>
      <w:bookmarkEnd w:id="217"/>
      <w:bookmarkStart w:id="218" w:name="_Toc234856097"/>
      <w:bookmarkEnd w:id="218"/>
      <w:bookmarkStart w:id="219" w:name="_Toc234855318"/>
      <w:bookmarkEnd w:id="219"/>
      <w:bookmarkStart w:id="220" w:name="_Toc234856499"/>
      <w:bookmarkEnd w:id="220"/>
      <w:bookmarkStart w:id="221" w:name="_Toc234855714"/>
      <w:bookmarkEnd w:id="221"/>
      <w:bookmarkStart w:id="222" w:name="_Toc234855315"/>
      <w:bookmarkEnd w:id="222"/>
      <w:bookmarkStart w:id="223" w:name="_Toc234424808"/>
      <w:bookmarkEnd w:id="223"/>
      <w:bookmarkStart w:id="224" w:name="_Toc234424807"/>
      <w:bookmarkEnd w:id="224"/>
      <w:bookmarkStart w:id="225" w:name="_Toc234855314"/>
      <w:bookmarkEnd w:id="225"/>
      <w:bookmarkStart w:id="226" w:name="_Toc234856096"/>
      <w:bookmarkEnd w:id="226"/>
      <w:bookmarkStart w:id="227" w:name="_Toc234855309"/>
      <w:bookmarkEnd w:id="227"/>
      <w:bookmarkStart w:id="228" w:name="_Toc234424803"/>
      <w:bookmarkEnd w:id="228"/>
      <w:bookmarkStart w:id="229" w:name="_Toc234424806"/>
      <w:bookmarkEnd w:id="229"/>
      <w:bookmarkStart w:id="230" w:name="_Toc234855316"/>
      <w:bookmarkEnd w:id="230"/>
      <w:bookmarkStart w:id="231" w:name="_Toc234856494"/>
      <w:bookmarkEnd w:id="231"/>
      <w:bookmarkStart w:id="232" w:name="_Toc234856100"/>
      <w:bookmarkEnd w:id="232"/>
      <w:bookmarkStart w:id="233" w:name="_Toc234856495"/>
      <w:bookmarkEnd w:id="233"/>
      <w:bookmarkStart w:id="234" w:name="_Toc234856498"/>
      <w:bookmarkEnd w:id="234"/>
      <w:bookmarkStart w:id="235" w:name="_Toc234855712"/>
      <w:bookmarkEnd w:id="235"/>
      <w:bookmarkStart w:id="236" w:name="_Toc234424804"/>
      <w:bookmarkEnd w:id="236"/>
      <w:bookmarkStart w:id="237" w:name="_Toc234856098"/>
      <w:bookmarkEnd w:id="237"/>
      <w:bookmarkStart w:id="238" w:name="_Toc234855311"/>
      <w:bookmarkEnd w:id="238"/>
      <w:bookmarkStart w:id="239" w:name="_Toc234424802"/>
      <w:bookmarkEnd w:id="239"/>
      <w:bookmarkStart w:id="240" w:name="_Toc234855310"/>
      <w:bookmarkEnd w:id="240"/>
      <w:bookmarkStart w:id="241" w:name="_Toc234855707"/>
      <w:bookmarkEnd w:id="241"/>
      <w:bookmarkStart w:id="242" w:name="_Toc234856508"/>
      <w:bookmarkEnd w:id="242"/>
      <w:bookmarkStart w:id="243" w:name="_Toc234855710"/>
      <w:bookmarkEnd w:id="243"/>
      <w:bookmarkStart w:id="244" w:name="_Toc234856099"/>
      <w:bookmarkEnd w:id="244"/>
      <w:bookmarkStart w:id="245" w:name="_Toc234855720"/>
      <w:bookmarkEnd w:id="245"/>
      <w:bookmarkStart w:id="246" w:name="_Toc234855324"/>
      <w:bookmarkEnd w:id="246"/>
      <w:bookmarkStart w:id="247" w:name="_Toc234855717"/>
      <w:bookmarkEnd w:id="247"/>
      <w:bookmarkStart w:id="248" w:name="_Toc234856106"/>
      <w:bookmarkEnd w:id="248"/>
      <w:bookmarkStart w:id="249" w:name="_Toc234856103"/>
      <w:bookmarkEnd w:id="249"/>
      <w:bookmarkStart w:id="250" w:name="_Toc234855715"/>
      <w:bookmarkEnd w:id="250"/>
      <w:bookmarkStart w:id="251" w:name="_Toc234856105"/>
      <w:bookmarkEnd w:id="251"/>
      <w:bookmarkStart w:id="252" w:name="_Toc234856503"/>
      <w:bookmarkEnd w:id="252"/>
      <w:bookmarkStart w:id="253" w:name="_Toc234424816"/>
      <w:bookmarkEnd w:id="253"/>
      <w:bookmarkStart w:id="254" w:name="_Toc234855319"/>
      <w:bookmarkEnd w:id="254"/>
      <w:bookmarkStart w:id="255" w:name="_Toc234855320"/>
      <w:bookmarkEnd w:id="255"/>
      <w:bookmarkStart w:id="256" w:name="_Toc234856505"/>
      <w:bookmarkEnd w:id="256"/>
      <w:bookmarkStart w:id="257" w:name="_Toc234856497"/>
      <w:bookmarkEnd w:id="257"/>
      <w:bookmarkStart w:id="258" w:name="_Toc234856500"/>
      <w:bookmarkEnd w:id="258"/>
      <w:bookmarkStart w:id="259" w:name="_Toc234856102"/>
      <w:bookmarkEnd w:id="259"/>
      <w:bookmarkStart w:id="260" w:name="_Toc234856496"/>
      <w:bookmarkEnd w:id="260"/>
      <w:bookmarkStart w:id="261" w:name="_Toc234424810"/>
      <w:bookmarkEnd w:id="261"/>
      <w:bookmarkStart w:id="262" w:name="_Toc234855317"/>
      <w:bookmarkEnd w:id="262"/>
      <w:bookmarkStart w:id="263" w:name="_Toc234856504"/>
      <w:bookmarkEnd w:id="263"/>
      <w:bookmarkStart w:id="264" w:name="_Toc234855312"/>
      <w:bookmarkEnd w:id="264"/>
      <w:bookmarkStart w:id="265" w:name="_Toc234424813"/>
      <w:bookmarkEnd w:id="265"/>
      <w:bookmarkStart w:id="266" w:name="_Toc234855313"/>
      <w:bookmarkEnd w:id="266"/>
      <w:bookmarkStart w:id="267" w:name="_Toc234856107"/>
      <w:bookmarkEnd w:id="267"/>
      <w:bookmarkStart w:id="268" w:name="_Toc234855716"/>
      <w:bookmarkEnd w:id="268"/>
      <w:bookmarkStart w:id="269" w:name="_Toc234856501"/>
      <w:bookmarkEnd w:id="269"/>
      <w:bookmarkStart w:id="270" w:name="_Toc234856101"/>
      <w:bookmarkEnd w:id="270"/>
      <w:bookmarkStart w:id="271" w:name="_Toc234856507"/>
      <w:bookmarkEnd w:id="271"/>
      <w:bookmarkStart w:id="272" w:name="_Toc234855709"/>
      <w:bookmarkEnd w:id="272"/>
      <w:bookmarkStart w:id="273" w:name="_Toc234424817"/>
      <w:bookmarkEnd w:id="273"/>
      <w:bookmarkStart w:id="274" w:name="_Toc234856115"/>
      <w:bookmarkEnd w:id="274"/>
      <w:bookmarkStart w:id="275" w:name="_Toc234856506"/>
      <w:bookmarkEnd w:id="275"/>
      <w:bookmarkStart w:id="276" w:name="_Toc234855719"/>
      <w:bookmarkEnd w:id="276"/>
      <w:bookmarkStart w:id="277" w:name="_Toc234856110"/>
      <w:bookmarkEnd w:id="277"/>
      <w:bookmarkStart w:id="278" w:name="_Toc234856502"/>
      <w:bookmarkEnd w:id="278"/>
      <w:bookmarkStart w:id="279" w:name="_Toc234424812"/>
      <w:bookmarkEnd w:id="279"/>
      <w:bookmarkStart w:id="280" w:name="_Toc234856112"/>
      <w:bookmarkEnd w:id="280"/>
      <w:bookmarkStart w:id="281" w:name="_Toc234855718"/>
      <w:bookmarkEnd w:id="281"/>
      <w:bookmarkStart w:id="282" w:name="_Toc234856111"/>
      <w:bookmarkEnd w:id="282"/>
      <w:bookmarkStart w:id="283" w:name="_Toc234424819"/>
      <w:bookmarkEnd w:id="283"/>
      <w:bookmarkStart w:id="284" w:name="_Toc234855726"/>
      <w:bookmarkEnd w:id="284"/>
      <w:bookmarkStart w:id="285" w:name="_Toc234856108"/>
      <w:bookmarkEnd w:id="285"/>
      <w:bookmarkStart w:id="286" w:name="_Toc234855322"/>
      <w:bookmarkEnd w:id="286"/>
      <w:bookmarkStart w:id="287" w:name="_Toc234856509"/>
      <w:bookmarkEnd w:id="287"/>
      <w:bookmarkStart w:id="288" w:name="_Toc234855722"/>
      <w:bookmarkEnd w:id="288"/>
      <w:bookmarkStart w:id="289" w:name="_Toc234855725"/>
      <w:bookmarkEnd w:id="289"/>
      <w:bookmarkStart w:id="290" w:name="_Toc234855330"/>
      <w:bookmarkEnd w:id="290"/>
      <w:bookmarkStart w:id="291" w:name="_Toc234855328"/>
      <w:bookmarkEnd w:id="291"/>
      <w:bookmarkStart w:id="292" w:name="_Toc234424814"/>
      <w:bookmarkEnd w:id="292"/>
      <w:bookmarkStart w:id="293" w:name="_Toc234855321"/>
      <w:bookmarkEnd w:id="293"/>
      <w:bookmarkStart w:id="294" w:name="_Toc234855721"/>
      <w:bookmarkEnd w:id="294"/>
      <w:bookmarkStart w:id="295" w:name="_Toc234424818"/>
      <w:bookmarkEnd w:id="295"/>
      <w:bookmarkStart w:id="296" w:name="_Toc234856511"/>
      <w:bookmarkEnd w:id="296"/>
      <w:bookmarkStart w:id="297" w:name="_Toc234856512"/>
      <w:bookmarkEnd w:id="297"/>
      <w:bookmarkStart w:id="298" w:name="_Toc234856117"/>
      <w:bookmarkEnd w:id="298"/>
      <w:bookmarkStart w:id="299" w:name="_Toc234424822"/>
      <w:bookmarkEnd w:id="299"/>
      <w:bookmarkStart w:id="300" w:name="_Toc234856109"/>
      <w:bookmarkEnd w:id="300"/>
      <w:bookmarkStart w:id="301" w:name="_Toc234424815"/>
      <w:bookmarkEnd w:id="301"/>
      <w:bookmarkStart w:id="302" w:name="_Toc234856510"/>
      <w:bookmarkEnd w:id="302"/>
      <w:bookmarkStart w:id="303" w:name="_Toc234855323"/>
      <w:bookmarkEnd w:id="303"/>
      <w:bookmarkStart w:id="304" w:name="_Toc234855727"/>
      <w:bookmarkEnd w:id="304"/>
      <w:bookmarkStart w:id="305" w:name="_Toc234856113"/>
      <w:bookmarkEnd w:id="305"/>
      <w:bookmarkStart w:id="306" w:name="_Toc234856515"/>
      <w:bookmarkEnd w:id="306"/>
      <w:bookmarkStart w:id="307" w:name="_Toc234424831"/>
      <w:bookmarkEnd w:id="307"/>
      <w:bookmarkStart w:id="308" w:name="_Toc234855731"/>
      <w:bookmarkEnd w:id="308"/>
      <w:bookmarkStart w:id="309" w:name="_Toc234856118"/>
      <w:bookmarkEnd w:id="309"/>
      <w:bookmarkStart w:id="310" w:name="_Toc234855327"/>
      <w:bookmarkEnd w:id="310"/>
      <w:bookmarkStart w:id="311" w:name="_Toc234424824"/>
      <w:bookmarkEnd w:id="311"/>
      <w:bookmarkStart w:id="312" w:name="_Toc234856116"/>
      <w:bookmarkEnd w:id="312"/>
      <w:bookmarkStart w:id="313" w:name="_Toc234855329"/>
      <w:bookmarkEnd w:id="313"/>
      <w:bookmarkStart w:id="314" w:name="_Toc234856114"/>
      <w:bookmarkEnd w:id="314"/>
      <w:bookmarkStart w:id="315" w:name="_Toc234424827"/>
      <w:bookmarkEnd w:id="315"/>
      <w:bookmarkStart w:id="316" w:name="_Toc234424823"/>
      <w:bookmarkEnd w:id="316"/>
      <w:bookmarkStart w:id="317" w:name="_Toc234424830"/>
      <w:bookmarkEnd w:id="317"/>
      <w:bookmarkStart w:id="318" w:name="_Toc234424826"/>
      <w:bookmarkEnd w:id="318"/>
      <w:bookmarkStart w:id="319" w:name="_Toc234424821"/>
      <w:bookmarkEnd w:id="319"/>
      <w:bookmarkStart w:id="320" w:name="_Toc234856513"/>
      <w:bookmarkEnd w:id="320"/>
      <w:bookmarkStart w:id="321" w:name="_Toc234855723"/>
      <w:bookmarkEnd w:id="321"/>
      <w:bookmarkStart w:id="322" w:name="_Toc234856520"/>
      <w:bookmarkEnd w:id="322"/>
      <w:bookmarkStart w:id="323" w:name="_Toc234855326"/>
      <w:bookmarkEnd w:id="323"/>
      <w:bookmarkStart w:id="324" w:name="_Toc234856521"/>
      <w:bookmarkEnd w:id="324"/>
      <w:bookmarkStart w:id="325" w:name="_Toc234855337"/>
      <w:bookmarkEnd w:id="325"/>
      <w:bookmarkStart w:id="326" w:name="_Toc234856514"/>
      <w:bookmarkEnd w:id="326"/>
      <w:bookmarkStart w:id="327" w:name="_Toc234424820"/>
      <w:bookmarkEnd w:id="327"/>
      <w:bookmarkStart w:id="328" w:name="_Toc234855724"/>
      <w:bookmarkEnd w:id="328"/>
      <w:bookmarkStart w:id="329" w:name="_Toc234856121"/>
      <w:bookmarkEnd w:id="329"/>
      <w:bookmarkStart w:id="330" w:name="_Toc234424828"/>
      <w:bookmarkEnd w:id="330"/>
      <w:bookmarkStart w:id="331" w:name="_Toc234855732"/>
      <w:bookmarkEnd w:id="331"/>
      <w:bookmarkStart w:id="332" w:name="_Toc234856120"/>
      <w:bookmarkEnd w:id="332"/>
      <w:bookmarkStart w:id="333" w:name="_Toc234856122"/>
      <w:bookmarkEnd w:id="333"/>
      <w:bookmarkStart w:id="334" w:name="_Toc234856119"/>
      <w:bookmarkEnd w:id="334"/>
      <w:bookmarkStart w:id="335" w:name="_Toc234856516"/>
      <w:bookmarkEnd w:id="335"/>
      <w:bookmarkStart w:id="336" w:name="_Toc234855331"/>
      <w:bookmarkEnd w:id="336"/>
      <w:bookmarkStart w:id="337" w:name="_Toc234855325"/>
      <w:bookmarkEnd w:id="337"/>
      <w:bookmarkStart w:id="338" w:name="_Toc234424833"/>
      <w:bookmarkEnd w:id="338"/>
      <w:bookmarkStart w:id="339" w:name="_Toc234855335"/>
      <w:bookmarkEnd w:id="339"/>
      <w:bookmarkStart w:id="340" w:name="_Toc234855343"/>
      <w:bookmarkEnd w:id="340"/>
      <w:bookmarkStart w:id="341" w:name="_Toc234856123"/>
      <w:bookmarkEnd w:id="341"/>
      <w:bookmarkStart w:id="342" w:name="_Toc234855733"/>
      <w:bookmarkEnd w:id="342"/>
      <w:bookmarkStart w:id="343" w:name="_Toc234856518"/>
      <w:bookmarkEnd w:id="343"/>
      <w:bookmarkStart w:id="344" w:name="_Toc234424825"/>
      <w:bookmarkEnd w:id="344"/>
      <w:bookmarkStart w:id="345" w:name="_Toc234424838"/>
      <w:bookmarkEnd w:id="345"/>
      <w:bookmarkStart w:id="346" w:name="_Toc234856517"/>
      <w:bookmarkEnd w:id="346"/>
      <w:bookmarkStart w:id="347" w:name="_Toc234424829"/>
      <w:bookmarkEnd w:id="347"/>
      <w:bookmarkStart w:id="348" w:name="_Toc234855333"/>
      <w:bookmarkEnd w:id="348"/>
      <w:bookmarkStart w:id="349" w:name="_Toc234856127"/>
      <w:bookmarkEnd w:id="349"/>
      <w:bookmarkStart w:id="350" w:name="_Toc234856519"/>
      <w:bookmarkEnd w:id="350"/>
      <w:bookmarkStart w:id="351" w:name="_Toc234856126"/>
      <w:bookmarkEnd w:id="351"/>
      <w:bookmarkStart w:id="352" w:name="_Toc234855341"/>
      <w:bookmarkEnd w:id="352"/>
      <w:bookmarkStart w:id="353" w:name="_Toc234855729"/>
      <w:bookmarkEnd w:id="353"/>
      <w:bookmarkStart w:id="354" w:name="_Toc234856124"/>
      <w:bookmarkEnd w:id="354"/>
      <w:bookmarkStart w:id="355" w:name="_Toc234855728"/>
      <w:bookmarkEnd w:id="355"/>
      <w:bookmarkStart w:id="356" w:name="_Toc234855730"/>
      <w:bookmarkEnd w:id="356"/>
      <w:bookmarkStart w:id="357" w:name="_Toc234855735"/>
      <w:bookmarkEnd w:id="357"/>
      <w:bookmarkStart w:id="358" w:name="_Toc234855338"/>
      <w:bookmarkEnd w:id="358"/>
      <w:bookmarkStart w:id="359" w:name="_Toc234855737"/>
      <w:bookmarkEnd w:id="359"/>
      <w:bookmarkStart w:id="360" w:name="_Toc234855334"/>
      <w:bookmarkEnd w:id="360"/>
      <w:bookmarkStart w:id="361" w:name="_Toc234855739"/>
      <w:bookmarkEnd w:id="361"/>
      <w:bookmarkStart w:id="362" w:name="_Toc234856529"/>
      <w:bookmarkEnd w:id="362"/>
      <w:bookmarkStart w:id="363" w:name="_Toc234855743"/>
      <w:bookmarkEnd w:id="363"/>
      <w:bookmarkStart w:id="364" w:name="_Toc234855332"/>
      <w:bookmarkEnd w:id="364"/>
      <w:bookmarkStart w:id="365" w:name="_Toc234855346"/>
      <w:bookmarkEnd w:id="365"/>
      <w:bookmarkStart w:id="366" w:name="_Toc234424836"/>
      <w:bookmarkEnd w:id="366"/>
      <w:bookmarkStart w:id="367" w:name="_Toc234855336"/>
      <w:bookmarkEnd w:id="367"/>
      <w:bookmarkStart w:id="368" w:name="_Toc234856524"/>
      <w:bookmarkEnd w:id="368"/>
      <w:bookmarkStart w:id="369" w:name="_Toc234855734"/>
      <w:bookmarkEnd w:id="369"/>
      <w:bookmarkStart w:id="370" w:name="_Toc234856526"/>
      <w:bookmarkEnd w:id="370"/>
      <w:bookmarkStart w:id="371" w:name="_Toc234855738"/>
      <w:bookmarkEnd w:id="371"/>
      <w:bookmarkStart w:id="372" w:name="_Toc234855344"/>
      <w:bookmarkEnd w:id="372"/>
      <w:bookmarkStart w:id="373" w:name="_Toc234855342"/>
      <w:bookmarkEnd w:id="373"/>
      <w:bookmarkStart w:id="374" w:name="_Toc234855345"/>
      <w:bookmarkEnd w:id="374"/>
      <w:bookmarkStart w:id="375" w:name="_Toc234424834"/>
      <w:bookmarkEnd w:id="375"/>
      <w:bookmarkStart w:id="376" w:name="_Toc234856132"/>
      <w:bookmarkEnd w:id="376"/>
      <w:bookmarkStart w:id="377" w:name="_Toc234424837"/>
      <w:bookmarkEnd w:id="377"/>
      <w:bookmarkStart w:id="378" w:name="_Toc234856131"/>
      <w:bookmarkEnd w:id="378"/>
      <w:bookmarkStart w:id="379" w:name="_Toc234855340"/>
      <w:bookmarkEnd w:id="379"/>
      <w:bookmarkStart w:id="380" w:name="_Toc234856129"/>
      <w:bookmarkEnd w:id="380"/>
      <w:bookmarkStart w:id="381" w:name="_Toc234855740"/>
      <w:bookmarkEnd w:id="381"/>
      <w:bookmarkStart w:id="382" w:name="_Toc234856128"/>
      <w:bookmarkEnd w:id="382"/>
      <w:bookmarkStart w:id="383" w:name="_Toc234856527"/>
      <w:bookmarkEnd w:id="383"/>
      <w:bookmarkStart w:id="384" w:name="_Toc234856133"/>
      <w:bookmarkEnd w:id="384"/>
      <w:bookmarkStart w:id="385" w:name="_Toc234856528"/>
      <w:bookmarkEnd w:id="385"/>
      <w:bookmarkStart w:id="386" w:name="_Toc234855744"/>
      <w:bookmarkEnd w:id="386"/>
      <w:bookmarkStart w:id="387" w:name="_Toc234856130"/>
      <w:bookmarkEnd w:id="387"/>
      <w:bookmarkStart w:id="388" w:name="_Toc234855350"/>
      <w:bookmarkEnd w:id="388"/>
      <w:bookmarkStart w:id="389" w:name="_Toc234855747"/>
      <w:bookmarkEnd w:id="389"/>
      <w:bookmarkStart w:id="390" w:name="_Toc234856137"/>
      <w:bookmarkEnd w:id="390"/>
      <w:bookmarkStart w:id="391" w:name="_Toc234855742"/>
      <w:bookmarkEnd w:id="391"/>
      <w:bookmarkStart w:id="392" w:name="_Toc234855741"/>
      <w:bookmarkEnd w:id="392"/>
      <w:bookmarkStart w:id="393" w:name="_Toc234855749"/>
      <w:bookmarkEnd w:id="393"/>
      <w:bookmarkStart w:id="394" w:name="_Toc234855353"/>
      <w:bookmarkEnd w:id="394"/>
      <w:bookmarkStart w:id="395" w:name="_Toc234855745"/>
      <w:bookmarkEnd w:id="395"/>
      <w:bookmarkStart w:id="396" w:name="_Toc234856532"/>
      <w:bookmarkEnd w:id="396"/>
      <w:bookmarkStart w:id="397" w:name="_Toc234424839"/>
      <w:bookmarkEnd w:id="397"/>
      <w:bookmarkStart w:id="398" w:name="_Toc234424846"/>
      <w:bookmarkEnd w:id="398"/>
      <w:bookmarkStart w:id="399" w:name="_Toc234424835"/>
      <w:bookmarkEnd w:id="399"/>
      <w:bookmarkStart w:id="400" w:name="_Toc234856530"/>
      <w:bookmarkEnd w:id="400"/>
      <w:bookmarkStart w:id="401" w:name="_Toc234856525"/>
      <w:bookmarkEnd w:id="401"/>
      <w:bookmarkStart w:id="402" w:name="_Toc234856535"/>
      <w:bookmarkEnd w:id="402"/>
      <w:bookmarkStart w:id="403" w:name="_Toc234856537"/>
      <w:bookmarkEnd w:id="403"/>
      <w:bookmarkStart w:id="404" w:name="_Toc234856135"/>
      <w:bookmarkEnd w:id="404"/>
      <w:bookmarkStart w:id="405" w:name="_Toc234855348"/>
      <w:bookmarkEnd w:id="405"/>
      <w:bookmarkStart w:id="406" w:name="_Toc234855349"/>
      <w:bookmarkEnd w:id="406"/>
      <w:bookmarkStart w:id="407" w:name="_Toc234855352"/>
      <w:bookmarkEnd w:id="407"/>
      <w:bookmarkStart w:id="408" w:name="_Toc234856531"/>
      <w:bookmarkEnd w:id="408"/>
      <w:bookmarkStart w:id="409" w:name="_Toc234424841"/>
      <w:bookmarkEnd w:id="409"/>
      <w:bookmarkStart w:id="410" w:name="_Toc234424845"/>
      <w:bookmarkEnd w:id="410"/>
      <w:bookmarkStart w:id="411" w:name="_Toc234856139"/>
      <w:bookmarkEnd w:id="411"/>
      <w:bookmarkStart w:id="412" w:name="_Toc234856533"/>
      <w:bookmarkEnd w:id="412"/>
      <w:bookmarkStart w:id="413" w:name="_Toc234424843"/>
      <w:bookmarkEnd w:id="413"/>
      <w:bookmarkStart w:id="414" w:name="_Toc234856536"/>
      <w:bookmarkEnd w:id="414"/>
      <w:bookmarkStart w:id="415" w:name="_Toc234855753"/>
      <w:bookmarkEnd w:id="415"/>
      <w:bookmarkStart w:id="416" w:name="_Toc234856138"/>
      <w:bookmarkEnd w:id="416"/>
      <w:bookmarkStart w:id="417" w:name="_Toc234424852"/>
      <w:bookmarkEnd w:id="417"/>
      <w:bookmarkStart w:id="418" w:name="_Toc234855754"/>
      <w:bookmarkEnd w:id="418"/>
      <w:bookmarkStart w:id="419" w:name="_Toc234856539"/>
      <w:bookmarkEnd w:id="419"/>
      <w:bookmarkStart w:id="420" w:name="_Toc234856543"/>
      <w:bookmarkEnd w:id="420"/>
      <w:bookmarkStart w:id="421" w:name="_Toc234855347"/>
      <w:bookmarkEnd w:id="421"/>
      <w:bookmarkStart w:id="422" w:name="_Toc234424848"/>
      <w:bookmarkEnd w:id="422"/>
      <w:bookmarkStart w:id="423" w:name="_Toc234855748"/>
      <w:bookmarkEnd w:id="423"/>
      <w:bookmarkStart w:id="424" w:name="_Toc234855351"/>
      <w:bookmarkEnd w:id="424"/>
      <w:bookmarkStart w:id="425" w:name="_Toc234855746"/>
      <w:bookmarkEnd w:id="425"/>
      <w:bookmarkStart w:id="426" w:name="_Toc234424840"/>
      <w:bookmarkEnd w:id="426"/>
      <w:bookmarkStart w:id="427" w:name="_Toc234856142"/>
      <w:bookmarkEnd w:id="427"/>
      <w:bookmarkStart w:id="428" w:name="_Toc234856541"/>
      <w:bookmarkEnd w:id="428"/>
      <w:bookmarkStart w:id="429" w:name="_Toc234855354"/>
      <w:bookmarkEnd w:id="429"/>
      <w:bookmarkStart w:id="430" w:name="_Toc234855355"/>
      <w:bookmarkEnd w:id="430"/>
      <w:bookmarkStart w:id="431" w:name="_Toc234856136"/>
      <w:bookmarkEnd w:id="431"/>
      <w:bookmarkStart w:id="432" w:name="_Toc234856134"/>
      <w:bookmarkEnd w:id="432"/>
      <w:bookmarkStart w:id="433" w:name="_Toc234424842"/>
      <w:bookmarkEnd w:id="433"/>
      <w:bookmarkStart w:id="434" w:name="_Toc234424844"/>
      <w:bookmarkEnd w:id="434"/>
      <w:bookmarkStart w:id="435" w:name="_Toc234856534"/>
      <w:bookmarkEnd w:id="435"/>
      <w:bookmarkStart w:id="436" w:name="_Toc234856542"/>
      <w:bookmarkEnd w:id="436"/>
      <w:bookmarkStart w:id="437" w:name="_Toc234856540"/>
      <w:bookmarkEnd w:id="437"/>
      <w:bookmarkStart w:id="438" w:name="_Toc234856140"/>
      <w:bookmarkEnd w:id="438"/>
      <w:bookmarkStart w:id="439" w:name="_Toc234856547"/>
      <w:bookmarkEnd w:id="439"/>
      <w:bookmarkStart w:id="440" w:name="_Toc234856146"/>
      <w:bookmarkEnd w:id="440"/>
      <w:bookmarkStart w:id="441" w:name="_Toc234855752"/>
      <w:bookmarkEnd w:id="441"/>
      <w:bookmarkStart w:id="442" w:name="_Toc234855359"/>
      <w:bookmarkEnd w:id="442"/>
      <w:bookmarkStart w:id="443" w:name="_Toc234855358"/>
      <w:bookmarkEnd w:id="443"/>
      <w:bookmarkStart w:id="444" w:name="_Toc234856141"/>
      <w:bookmarkEnd w:id="444"/>
      <w:bookmarkStart w:id="445" w:name="_Toc234855361"/>
      <w:bookmarkEnd w:id="445"/>
      <w:bookmarkStart w:id="446" w:name="_Toc234856538"/>
      <w:bookmarkEnd w:id="446"/>
      <w:bookmarkStart w:id="447" w:name="_Toc234855758"/>
      <w:bookmarkEnd w:id="447"/>
      <w:bookmarkStart w:id="448" w:name="_Toc234855357"/>
      <w:bookmarkEnd w:id="448"/>
      <w:bookmarkStart w:id="449" w:name="_Toc234856147"/>
      <w:bookmarkEnd w:id="449"/>
      <w:bookmarkStart w:id="450" w:name="_Toc234855750"/>
      <w:bookmarkEnd w:id="450"/>
      <w:bookmarkStart w:id="451" w:name="_Toc234856148"/>
      <w:bookmarkEnd w:id="451"/>
      <w:bookmarkStart w:id="452" w:name="_Toc234855756"/>
      <w:bookmarkEnd w:id="452"/>
      <w:bookmarkStart w:id="453" w:name="_Toc234855751"/>
      <w:bookmarkEnd w:id="453"/>
      <w:bookmarkStart w:id="454" w:name="_Toc234856546"/>
      <w:bookmarkEnd w:id="454"/>
      <w:bookmarkStart w:id="455" w:name="_Toc234855755"/>
      <w:bookmarkEnd w:id="455"/>
      <w:bookmarkStart w:id="456" w:name="_Toc234424851"/>
      <w:bookmarkEnd w:id="456"/>
      <w:bookmarkStart w:id="457" w:name="_Toc234424847"/>
      <w:bookmarkEnd w:id="457"/>
      <w:bookmarkStart w:id="458" w:name="_Toc234855759"/>
      <w:bookmarkEnd w:id="458"/>
      <w:bookmarkStart w:id="459" w:name="_Toc234856145"/>
      <w:bookmarkEnd w:id="459"/>
      <w:bookmarkStart w:id="460" w:name="_Toc234856143"/>
      <w:bookmarkEnd w:id="460"/>
      <w:bookmarkStart w:id="461" w:name="_Toc234855360"/>
      <w:bookmarkEnd w:id="461"/>
      <w:bookmarkStart w:id="462" w:name="_Toc234856149"/>
      <w:bookmarkEnd w:id="462"/>
      <w:bookmarkStart w:id="463" w:name="_Toc234856544"/>
      <w:bookmarkEnd w:id="463"/>
      <w:bookmarkStart w:id="464" w:name="_Toc234424849"/>
      <w:bookmarkEnd w:id="464"/>
      <w:bookmarkStart w:id="465" w:name="_Toc234855356"/>
      <w:bookmarkEnd w:id="465"/>
      <w:bookmarkStart w:id="466" w:name="_Toc234424850"/>
      <w:bookmarkEnd w:id="466"/>
      <w:bookmarkStart w:id="467" w:name="_Toc234856144"/>
      <w:bookmarkEnd w:id="467"/>
      <w:bookmarkStart w:id="468" w:name="_Toc234855760"/>
      <w:bookmarkEnd w:id="468"/>
      <w:bookmarkStart w:id="469" w:name="_Toc234424858"/>
      <w:bookmarkEnd w:id="469"/>
      <w:bookmarkStart w:id="470" w:name="_Toc234856153"/>
      <w:bookmarkEnd w:id="470"/>
      <w:bookmarkStart w:id="471" w:name="_Toc234424859"/>
      <w:bookmarkEnd w:id="471"/>
      <w:bookmarkStart w:id="472" w:name="_Toc234855761"/>
      <w:bookmarkEnd w:id="472"/>
      <w:bookmarkStart w:id="473" w:name="_Toc234424853"/>
      <w:bookmarkEnd w:id="473"/>
      <w:bookmarkStart w:id="474" w:name="_Toc234855363"/>
      <w:bookmarkEnd w:id="474"/>
      <w:bookmarkStart w:id="475" w:name="_Toc234855364"/>
      <w:bookmarkEnd w:id="475"/>
      <w:bookmarkStart w:id="476" w:name="_Toc234424854"/>
      <w:bookmarkEnd w:id="476"/>
      <w:bookmarkStart w:id="477" w:name="_Toc234856548"/>
      <w:bookmarkEnd w:id="477"/>
      <w:bookmarkStart w:id="478" w:name="_Toc234424855"/>
      <w:bookmarkEnd w:id="478"/>
      <w:bookmarkStart w:id="479" w:name="_Toc234424857"/>
      <w:bookmarkEnd w:id="479"/>
      <w:bookmarkStart w:id="480" w:name="_Toc234855362"/>
      <w:bookmarkEnd w:id="480"/>
      <w:bookmarkStart w:id="481" w:name="_Toc234855757"/>
      <w:bookmarkEnd w:id="481"/>
      <w:bookmarkStart w:id="482" w:name="_Toc234424856"/>
      <w:bookmarkEnd w:id="482"/>
      <w:bookmarkStart w:id="483" w:name="_Toc234424864"/>
      <w:bookmarkEnd w:id="483"/>
      <w:bookmarkStart w:id="484" w:name="_Toc234856157"/>
      <w:bookmarkEnd w:id="484"/>
      <w:bookmarkStart w:id="485" w:name="_Toc234855769"/>
      <w:bookmarkEnd w:id="485"/>
      <w:bookmarkStart w:id="486" w:name="_Toc234856152"/>
      <w:bookmarkEnd w:id="486"/>
      <w:bookmarkStart w:id="487" w:name="_Toc234856151"/>
      <w:bookmarkEnd w:id="487"/>
      <w:bookmarkStart w:id="488" w:name="_Toc234855762"/>
      <w:bookmarkEnd w:id="488"/>
      <w:bookmarkStart w:id="489" w:name="_Toc234856150"/>
      <w:bookmarkEnd w:id="489"/>
      <w:bookmarkStart w:id="490" w:name="_Toc234856553"/>
      <w:bookmarkEnd w:id="490"/>
      <w:bookmarkStart w:id="491" w:name="_Toc234855365"/>
      <w:bookmarkEnd w:id="491"/>
      <w:bookmarkStart w:id="492" w:name="_Toc234424860"/>
      <w:bookmarkEnd w:id="492"/>
      <w:bookmarkStart w:id="493" w:name="_Toc234856556"/>
      <w:bookmarkEnd w:id="493"/>
      <w:bookmarkStart w:id="494" w:name="_Toc234424861"/>
      <w:bookmarkEnd w:id="494"/>
      <w:bookmarkStart w:id="495" w:name="_Toc234856154"/>
      <w:bookmarkEnd w:id="495"/>
      <w:bookmarkStart w:id="496" w:name="_Toc234856549"/>
      <w:bookmarkEnd w:id="496"/>
      <w:bookmarkStart w:id="497" w:name="_Toc234855366"/>
      <w:bookmarkEnd w:id="497"/>
      <w:bookmarkStart w:id="498" w:name="_Toc234856159"/>
      <w:bookmarkEnd w:id="498"/>
      <w:bookmarkStart w:id="499" w:name="_Toc234856545"/>
      <w:bookmarkEnd w:id="499"/>
      <w:bookmarkStart w:id="500" w:name="_Toc234856165"/>
      <w:bookmarkEnd w:id="500"/>
      <w:bookmarkStart w:id="501" w:name="_Toc234855375"/>
      <w:bookmarkEnd w:id="501"/>
      <w:bookmarkStart w:id="502" w:name="_Toc234856551"/>
      <w:bookmarkEnd w:id="502"/>
      <w:bookmarkStart w:id="503" w:name="_Toc234855369"/>
      <w:bookmarkEnd w:id="503"/>
      <w:bookmarkStart w:id="504" w:name="_Toc234856155"/>
      <w:bookmarkEnd w:id="504"/>
      <w:bookmarkStart w:id="505" w:name="_Toc234855764"/>
      <w:bookmarkEnd w:id="505"/>
      <w:bookmarkStart w:id="506" w:name="_Toc234856554"/>
      <w:bookmarkEnd w:id="506"/>
      <w:bookmarkStart w:id="507" w:name="_Toc234855767"/>
      <w:bookmarkEnd w:id="507"/>
      <w:bookmarkStart w:id="508" w:name="_Toc234424863"/>
      <w:bookmarkEnd w:id="508"/>
      <w:bookmarkStart w:id="509" w:name="_Toc234424862"/>
      <w:bookmarkEnd w:id="509"/>
      <w:bookmarkStart w:id="510" w:name="_Toc234856163"/>
      <w:bookmarkEnd w:id="510"/>
      <w:bookmarkStart w:id="511" w:name="_Toc234855371"/>
      <w:bookmarkEnd w:id="511"/>
      <w:bookmarkStart w:id="512" w:name="_Toc234856166"/>
      <w:bookmarkEnd w:id="512"/>
      <w:bookmarkStart w:id="513" w:name="_Toc234424870"/>
      <w:bookmarkEnd w:id="513"/>
      <w:bookmarkStart w:id="514" w:name="_Toc234855765"/>
      <w:bookmarkEnd w:id="514"/>
      <w:bookmarkStart w:id="515" w:name="_Toc234855768"/>
      <w:bookmarkEnd w:id="515"/>
      <w:bookmarkStart w:id="516" w:name="_Toc234856550"/>
      <w:bookmarkEnd w:id="516"/>
      <w:bookmarkStart w:id="517" w:name="_Toc234855370"/>
      <w:bookmarkEnd w:id="517"/>
      <w:bookmarkStart w:id="518" w:name="_Toc234855763"/>
      <w:bookmarkEnd w:id="518"/>
      <w:bookmarkStart w:id="519" w:name="_Toc234856158"/>
      <w:bookmarkEnd w:id="519"/>
      <w:bookmarkStart w:id="520" w:name="_Toc234856156"/>
      <w:bookmarkEnd w:id="520"/>
      <w:bookmarkStart w:id="521" w:name="_Toc234855766"/>
      <w:bookmarkEnd w:id="521"/>
      <w:bookmarkStart w:id="522" w:name="_Toc234856555"/>
      <w:bookmarkEnd w:id="522"/>
      <w:bookmarkStart w:id="523" w:name="_Toc234856552"/>
      <w:bookmarkEnd w:id="523"/>
      <w:bookmarkStart w:id="524" w:name="_Toc234855368"/>
      <w:bookmarkEnd w:id="524"/>
      <w:bookmarkStart w:id="525" w:name="_Toc234855372"/>
      <w:bookmarkEnd w:id="525"/>
      <w:bookmarkStart w:id="526" w:name="_Toc234855367"/>
      <w:bookmarkEnd w:id="526"/>
      <w:bookmarkStart w:id="527" w:name="_Toc234855378"/>
      <w:bookmarkEnd w:id="527"/>
      <w:bookmarkStart w:id="528" w:name="_Toc234856558"/>
      <w:bookmarkEnd w:id="528"/>
      <w:bookmarkStart w:id="529" w:name="_Toc234424875"/>
      <w:bookmarkEnd w:id="529"/>
      <w:bookmarkStart w:id="530" w:name="_Toc234855373"/>
      <w:bookmarkEnd w:id="530"/>
      <w:bookmarkStart w:id="531" w:name="_Toc234855376"/>
      <w:bookmarkEnd w:id="531"/>
      <w:bookmarkStart w:id="532" w:name="_Toc234856557"/>
      <w:bookmarkEnd w:id="532"/>
      <w:bookmarkStart w:id="533" w:name="_Toc234424867"/>
      <w:bookmarkEnd w:id="533"/>
      <w:bookmarkStart w:id="534" w:name="_Toc234424869"/>
      <w:bookmarkEnd w:id="534"/>
      <w:bookmarkStart w:id="535" w:name="_Toc234424866"/>
      <w:bookmarkEnd w:id="535"/>
      <w:bookmarkStart w:id="536" w:name="_Toc234856161"/>
      <w:bookmarkEnd w:id="536"/>
      <w:bookmarkStart w:id="537" w:name="_Toc234855773"/>
      <w:bookmarkEnd w:id="537"/>
      <w:bookmarkStart w:id="538" w:name="_Toc234856562"/>
      <w:bookmarkEnd w:id="538"/>
      <w:bookmarkStart w:id="539" w:name="_Toc234856160"/>
      <w:bookmarkEnd w:id="539"/>
      <w:bookmarkStart w:id="540" w:name="_Toc234424865"/>
      <w:bookmarkEnd w:id="540"/>
      <w:bookmarkStart w:id="541" w:name="_Toc234856162"/>
      <w:bookmarkEnd w:id="541"/>
      <w:bookmarkStart w:id="542" w:name="_Toc234424871"/>
      <w:bookmarkEnd w:id="542"/>
      <w:bookmarkStart w:id="543" w:name="_Toc234856164"/>
      <w:bookmarkEnd w:id="543"/>
      <w:bookmarkStart w:id="544" w:name="_Toc234855377"/>
      <w:bookmarkEnd w:id="544"/>
      <w:bookmarkStart w:id="545" w:name="_Toc234855772"/>
      <w:bookmarkEnd w:id="545"/>
      <w:bookmarkStart w:id="546" w:name="_Toc234855374"/>
      <w:bookmarkEnd w:id="546"/>
      <w:bookmarkStart w:id="547" w:name="_Toc234855770"/>
      <w:bookmarkEnd w:id="547"/>
      <w:bookmarkStart w:id="548" w:name="_Toc234856560"/>
      <w:bookmarkEnd w:id="548"/>
      <w:bookmarkStart w:id="549" w:name="_Toc234855771"/>
      <w:bookmarkEnd w:id="549"/>
      <w:bookmarkStart w:id="550" w:name="_Toc234855775"/>
      <w:bookmarkEnd w:id="550"/>
      <w:bookmarkStart w:id="551" w:name="_Toc234856559"/>
      <w:bookmarkEnd w:id="551"/>
      <w:bookmarkStart w:id="552" w:name="_Toc234856561"/>
      <w:bookmarkEnd w:id="552"/>
      <w:bookmarkStart w:id="553" w:name="_Toc234855774"/>
      <w:bookmarkEnd w:id="553"/>
      <w:bookmarkStart w:id="554" w:name="_Toc234424868"/>
      <w:bookmarkEnd w:id="554"/>
      <w:bookmarkStart w:id="555" w:name="_Toc234856168"/>
      <w:bookmarkEnd w:id="555"/>
      <w:bookmarkStart w:id="556" w:name="_Toc234855779"/>
      <w:bookmarkEnd w:id="556"/>
      <w:bookmarkStart w:id="557" w:name="_Toc234856563"/>
      <w:bookmarkEnd w:id="557"/>
      <w:bookmarkStart w:id="558" w:name="_Toc234856564"/>
      <w:bookmarkEnd w:id="558"/>
      <w:bookmarkStart w:id="559" w:name="_Toc234855778"/>
      <w:bookmarkEnd w:id="559"/>
      <w:bookmarkStart w:id="560" w:name="_Toc234856167"/>
      <w:bookmarkEnd w:id="560"/>
      <w:bookmarkStart w:id="561" w:name="_Toc234855382"/>
      <w:bookmarkEnd w:id="561"/>
      <w:bookmarkStart w:id="562" w:name="_Toc234424872"/>
      <w:bookmarkEnd w:id="562"/>
      <w:bookmarkStart w:id="563" w:name="_Toc234855379"/>
      <w:bookmarkEnd w:id="563"/>
      <w:bookmarkStart w:id="564" w:name="_Toc234856566"/>
      <w:bookmarkEnd w:id="564"/>
      <w:bookmarkStart w:id="565" w:name="_Toc234424873"/>
      <w:bookmarkEnd w:id="565"/>
      <w:bookmarkStart w:id="566" w:name="_Toc234855777"/>
      <w:bookmarkEnd w:id="566"/>
      <w:bookmarkStart w:id="567" w:name="_Toc234855381"/>
      <w:bookmarkEnd w:id="567"/>
      <w:bookmarkStart w:id="568" w:name="_Toc234855776"/>
      <w:bookmarkEnd w:id="568"/>
      <w:bookmarkStart w:id="569" w:name="_Toc234424874"/>
      <w:bookmarkEnd w:id="569"/>
      <w:bookmarkStart w:id="570" w:name="_Toc234856169"/>
      <w:bookmarkEnd w:id="570"/>
      <w:bookmarkStart w:id="571" w:name="_Toc234856565"/>
      <w:bookmarkEnd w:id="571"/>
      <w:bookmarkStart w:id="572" w:name="_Toc234855380"/>
      <w:bookmarkEnd w:id="572"/>
      <w:bookmarkStart w:id="573" w:name="_Toc240381777"/>
      <w:r>
        <w:rPr>
          <w:rFonts w:hint="eastAsia"/>
          <w:color w:val="000000" w:themeColor="text1"/>
          <w14:textFill>
            <w14:solidFill>
              <w14:schemeClr w14:val="tx1"/>
            </w14:solidFill>
          </w14:textFill>
        </w:rPr>
        <w:t>划设评估指标要素</w:t>
      </w:r>
      <w:bookmarkEnd w:id="573"/>
    </w:p>
    <w:p w14:paraId="5B8855C3">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安全冗余度</w:t>
      </w:r>
    </w:p>
    <w:p w14:paraId="5B8855C4">
      <w:pPr>
        <w:pStyle w:val="61"/>
        <w:widowControl w:val="0"/>
        <w:ind w:firstLine="420"/>
      </w:pPr>
      <w:r>
        <w:rPr>
          <w:rFonts w:hint="eastAsia"/>
        </w:rPr>
        <w:t>是</w:t>
      </w:r>
      <w:r>
        <w:rPr>
          <w:rFonts w:hint="eastAsia"/>
          <w:color w:val="000000" w:themeColor="text1"/>
          <w14:textFill>
            <w14:solidFill>
              <w14:schemeClr w14:val="tx1"/>
            </w14:solidFill>
          </w14:textFill>
        </w:rPr>
        <w:t>低空</w:t>
      </w:r>
      <w:r>
        <w:rPr>
          <w:rFonts w:hint="eastAsia"/>
        </w:rPr>
        <w:t>航路/航线划设的基础约束，用于衡量在不确定性条件下维持安全运行的能力，体现在以下层面：</w:t>
      </w:r>
    </w:p>
    <w:p w14:paraId="5B8855C5">
      <w:pPr>
        <w:pStyle w:val="179"/>
        <w:widowControl w:val="0"/>
        <w:numPr>
          <w:ilvl w:val="0"/>
          <w:numId w:val="45"/>
        </w:numPr>
      </w:pPr>
      <w:r>
        <w:rPr>
          <w:rFonts w:hint="eastAsia"/>
        </w:rPr>
        <w:t>空间层面：应考虑</w:t>
      </w:r>
      <w:r>
        <w:rPr>
          <w:rFonts w:hint="eastAsia"/>
          <w:color w:val="000000" w:themeColor="text1"/>
          <w14:textFill>
            <w14:solidFill>
              <w14:schemeClr w14:val="tx1"/>
            </w14:solidFill>
          </w14:textFill>
        </w:rPr>
        <w:t>低空</w:t>
      </w:r>
      <w:r>
        <w:rPr>
          <w:rFonts w:hint="eastAsia"/>
        </w:rPr>
        <w:t>航路/航线与建筑物、构筑物等潜在障碍物危险源之间的安全间隔；</w:t>
      </w:r>
    </w:p>
    <w:p w14:paraId="5B8855C6">
      <w:pPr>
        <w:pStyle w:val="179"/>
        <w:widowControl w:val="0"/>
        <w:numPr>
          <w:ilvl w:val="0"/>
          <w:numId w:val="45"/>
        </w:numPr>
      </w:pPr>
      <w:r>
        <w:rPr>
          <w:rFonts w:hint="eastAsia"/>
        </w:rPr>
        <w:t>运行层面：应考虑</w:t>
      </w:r>
      <w:r>
        <w:rPr>
          <w:rFonts w:hint="eastAsia"/>
          <w:color w:val="000000" w:themeColor="text1"/>
          <w14:textFill>
            <w14:solidFill>
              <w14:schemeClr w14:val="tx1"/>
            </w14:solidFill>
          </w14:textFill>
        </w:rPr>
        <w:t>低空</w:t>
      </w:r>
      <w:r>
        <w:rPr>
          <w:rFonts w:hint="eastAsia"/>
        </w:rPr>
        <w:t>航路/航线与非运行空域之间的安全间隔；</w:t>
      </w:r>
    </w:p>
    <w:p w14:paraId="5B8855C7">
      <w:pPr>
        <w:pStyle w:val="179"/>
        <w:widowControl w:val="0"/>
        <w:numPr>
          <w:ilvl w:val="0"/>
          <w:numId w:val="45"/>
        </w:numPr>
      </w:pPr>
      <w:r>
        <w:rPr>
          <w:rFonts w:hint="eastAsia"/>
        </w:rPr>
        <w:t>时间层面：应考虑飞行活动在</w:t>
      </w:r>
      <w:r>
        <w:rPr>
          <w:rFonts w:hint="eastAsia"/>
          <w:color w:val="000000" w:themeColor="text1"/>
          <w14:textFill>
            <w14:solidFill>
              <w14:schemeClr w14:val="tx1"/>
            </w14:solidFill>
          </w14:textFill>
        </w:rPr>
        <w:t>低空</w:t>
      </w:r>
      <w:r>
        <w:rPr>
          <w:rFonts w:hint="eastAsia"/>
        </w:rPr>
        <w:t>航路/航线交点区域的冲突概率。</w:t>
      </w:r>
    </w:p>
    <w:p w14:paraId="5B8855C8">
      <w:pPr>
        <w:pStyle w:val="179"/>
        <w:widowControl w:val="0"/>
        <w:numPr>
          <w:ilvl w:val="0"/>
          <w:numId w:val="0"/>
        </w:numPr>
        <w:ind w:left="426"/>
      </w:pPr>
      <w:r>
        <w:rPr>
          <w:rFonts w:hint="eastAsia"/>
        </w:rPr>
        <w:t>安全冗余度的计算方法参见附录A。</w:t>
      </w:r>
    </w:p>
    <w:p w14:paraId="5B8855C9">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场景适配性</w:t>
      </w:r>
    </w:p>
    <w:p w14:paraId="5B8855CA">
      <w:pPr>
        <w:pStyle w:val="61"/>
        <w:widowControl w:val="0"/>
        <w:ind w:firstLine="420"/>
      </w:pPr>
      <w:r>
        <w:rPr>
          <w:rFonts w:hint="eastAsia"/>
        </w:rPr>
        <w:t>是保证</w:t>
      </w:r>
      <w:r>
        <w:rPr>
          <w:rFonts w:hint="eastAsia"/>
          <w:color w:val="000000" w:themeColor="text1"/>
          <w14:textFill>
            <w14:solidFill>
              <w14:schemeClr w14:val="tx1"/>
            </w14:solidFill>
          </w14:textFill>
        </w:rPr>
        <w:t>低空</w:t>
      </w:r>
      <w:r>
        <w:rPr>
          <w:rFonts w:hint="eastAsia"/>
        </w:rPr>
        <w:t>航路/航线功能有效的关键，用于衡量</w:t>
      </w:r>
      <w:r>
        <w:rPr>
          <w:rFonts w:hint="eastAsia"/>
          <w:color w:val="000000" w:themeColor="text1"/>
          <w14:textFill>
            <w14:solidFill>
              <w14:schemeClr w14:val="tx1"/>
            </w14:solidFill>
          </w14:textFill>
        </w:rPr>
        <w:t>低空</w:t>
      </w:r>
      <w:r>
        <w:rPr>
          <w:rFonts w:hint="eastAsia"/>
        </w:rPr>
        <w:t>航路/航线面向不同应用场景的设计合理程度。</w:t>
      </w:r>
    </w:p>
    <w:p w14:paraId="5B8855CB">
      <w:pPr>
        <w:pStyle w:val="61"/>
        <w:widowControl w:val="0"/>
        <w:ind w:firstLine="420"/>
      </w:pPr>
      <w:r>
        <w:rPr>
          <w:rFonts w:hint="eastAsia"/>
        </w:rPr>
        <w:t>由于运营人的运行程序需求具有明显差异，需根据其实际用途构建起任务需求和</w:t>
      </w:r>
      <w:r>
        <w:rPr>
          <w:rFonts w:hint="eastAsia"/>
          <w:color w:val="000000" w:themeColor="text1"/>
          <w14:textFill>
            <w14:solidFill>
              <w14:schemeClr w14:val="tx1"/>
            </w14:solidFill>
          </w14:textFill>
        </w:rPr>
        <w:t>低空</w:t>
      </w:r>
      <w:r>
        <w:rPr>
          <w:rFonts w:hint="eastAsia"/>
        </w:rPr>
        <w:t>航路/航线参数之间的映射关系，对</w:t>
      </w:r>
      <w:r>
        <w:rPr>
          <w:rFonts w:hint="eastAsia"/>
          <w:color w:val="000000" w:themeColor="text1"/>
          <w14:textFill>
            <w14:solidFill>
              <w14:schemeClr w14:val="tx1"/>
            </w14:solidFill>
          </w14:textFill>
        </w:rPr>
        <w:t>低空</w:t>
      </w:r>
      <w:r>
        <w:rPr>
          <w:rFonts w:hint="eastAsia"/>
        </w:rPr>
        <w:t>航路/航线结构、运行高度和通行规则进行针对性调整。</w:t>
      </w:r>
    </w:p>
    <w:p w14:paraId="5B8855CC">
      <w:pPr>
        <w:pStyle w:val="61"/>
        <w:widowControl w:val="0"/>
        <w:ind w:firstLine="420"/>
      </w:pPr>
      <w:r>
        <w:rPr>
          <w:rFonts w:hint="eastAsia"/>
        </w:rPr>
        <w:t>场景适配性的计算方法参见附录A。</w:t>
      </w:r>
    </w:p>
    <w:p w14:paraId="5B8855CD">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连通性</w:t>
      </w:r>
    </w:p>
    <w:p w14:paraId="5B8855CE">
      <w:pPr>
        <w:pStyle w:val="61"/>
        <w:widowControl w:val="0"/>
        <w:ind w:firstLine="420"/>
      </w:pPr>
      <w:r>
        <w:rPr>
          <w:rFonts w:hint="eastAsia"/>
        </w:rPr>
        <w:t>是</w:t>
      </w:r>
      <w:r>
        <w:rPr>
          <w:rFonts w:hint="eastAsia"/>
          <w:color w:val="000000" w:themeColor="text1"/>
          <w14:textFill>
            <w14:solidFill>
              <w14:schemeClr w14:val="tx1"/>
            </w14:solidFill>
          </w14:textFill>
        </w:rPr>
        <w:t>低空</w:t>
      </w:r>
      <w:r>
        <w:rPr>
          <w:rFonts w:hint="eastAsia"/>
        </w:rPr>
        <w:t>航路/航线网络化运行的重点，用于衡量</w:t>
      </w:r>
      <w:r>
        <w:rPr>
          <w:rFonts w:hint="eastAsia"/>
          <w:color w:val="000000" w:themeColor="text1"/>
          <w14:textFill>
            <w14:solidFill>
              <w14:schemeClr w14:val="tx1"/>
            </w14:solidFill>
          </w14:textFill>
        </w:rPr>
        <w:t>低空</w:t>
      </w:r>
      <w:r>
        <w:rPr>
          <w:rFonts w:hint="eastAsia"/>
        </w:rPr>
        <w:t>航路/航线所构成的低空交通系统的功能完备程度。</w:t>
      </w:r>
    </w:p>
    <w:p w14:paraId="5B8855CF">
      <w:pPr>
        <w:pStyle w:val="61"/>
        <w:widowControl w:val="0"/>
        <w:ind w:firstLine="420"/>
      </w:pPr>
      <w:r>
        <w:rPr>
          <w:rFonts w:hint="eastAsia"/>
        </w:rPr>
        <w:t>应考虑需要服务的各类关键节点（如起讫起降场/起降点、航路点等）之间的可达能力，避免孤立节点的产生、拓宽</w:t>
      </w:r>
      <w:r>
        <w:rPr>
          <w:rFonts w:hint="eastAsia"/>
          <w:color w:val="000000" w:themeColor="text1"/>
          <w14:textFill>
            <w14:solidFill>
              <w14:schemeClr w14:val="tx1"/>
            </w14:solidFill>
          </w14:textFill>
        </w:rPr>
        <w:t>低空</w:t>
      </w:r>
      <w:r>
        <w:rPr>
          <w:rFonts w:hint="eastAsia"/>
        </w:rPr>
        <w:t>航路/航线的连通范围。</w:t>
      </w:r>
    </w:p>
    <w:p w14:paraId="5B8855D0">
      <w:pPr>
        <w:pStyle w:val="61"/>
        <w:widowControl w:val="0"/>
        <w:ind w:firstLine="420"/>
      </w:pPr>
      <w:r>
        <w:rPr>
          <w:rFonts w:hint="eastAsia"/>
        </w:rPr>
        <w:t>连通性的计算方法参见附录A。</w:t>
      </w:r>
    </w:p>
    <w:p w14:paraId="5B8855D1">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非直线率</w:t>
      </w:r>
    </w:p>
    <w:p w14:paraId="5B8855D2">
      <w:pPr>
        <w:pStyle w:val="61"/>
        <w:widowControl w:val="0"/>
        <w:ind w:firstLine="420"/>
      </w:pPr>
      <w:r>
        <w:rPr>
          <w:rFonts w:hint="eastAsia"/>
        </w:rPr>
        <w:t>是</w:t>
      </w:r>
      <w:r>
        <w:rPr>
          <w:rFonts w:hint="eastAsia"/>
          <w:color w:val="000000" w:themeColor="text1"/>
          <w14:textFill>
            <w14:solidFill>
              <w14:schemeClr w14:val="tx1"/>
            </w14:solidFill>
          </w14:textFill>
        </w:rPr>
        <w:t>低空</w:t>
      </w:r>
      <w:r>
        <w:rPr>
          <w:rFonts w:hint="eastAsia"/>
        </w:rPr>
        <w:t>航路/航线经济性的体现，用于衡量在满足安全和合规约束的前提下</w:t>
      </w:r>
      <w:r>
        <w:rPr>
          <w:rFonts w:hint="eastAsia"/>
          <w:color w:val="000000" w:themeColor="text1"/>
          <w14:textFill>
            <w14:solidFill>
              <w14:schemeClr w14:val="tx1"/>
            </w14:solidFill>
          </w14:textFill>
        </w:rPr>
        <w:t>低空</w:t>
      </w:r>
      <w:r>
        <w:rPr>
          <w:rFonts w:hint="eastAsia"/>
        </w:rPr>
        <w:t>航路/航线长度与理想直线航径的偏离程度。</w:t>
      </w:r>
    </w:p>
    <w:p w14:paraId="5B8855D3">
      <w:pPr>
        <w:pStyle w:val="61"/>
        <w:widowControl w:val="0"/>
        <w:ind w:firstLine="420"/>
      </w:pPr>
      <w:r>
        <w:rPr>
          <w:rFonts w:hint="eastAsia"/>
        </w:rPr>
        <w:t>应考虑运行安全约束和地形空间结构以优化</w:t>
      </w:r>
      <w:r>
        <w:rPr>
          <w:rFonts w:hint="eastAsia"/>
          <w:color w:val="000000" w:themeColor="text1"/>
          <w14:textFill>
            <w14:solidFill>
              <w14:schemeClr w14:val="tx1"/>
            </w14:solidFill>
          </w14:textFill>
        </w:rPr>
        <w:t>低空</w:t>
      </w:r>
      <w:r>
        <w:rPr>
          <w:rFonts w:hint="eastAsia"/>
        </w:rPr>
        <w:t>航路/航线几何布局，减少飞行距离。</w:t>
      </w:r>
    </w:p>
    <w:p w14:paraId="5B8855D4">
      <w:pPr>
        <w:pStyle w:val="61"/>
        <w:widowControl w:val="0"/>
        <w:ind w:firstLine="420"/>
      </w:pPr>
      <w:r>
        <w:rPr>
          <w:rFonts w:hint="eastAsia"/>
        </w:rPr>
        <w:t>非直线率的计算方法参见附录A。</w:t>
      </w:r>
    </w:p>
    <w:p w14:paraId="5B8855D5">
      <w:pPr>
        <w:pStyle w:val="228"/>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动态调整效率</w:t>
      </w:r>
    </w:p>
    <w:p w14:paraId="5B8855D6">
      <w:pPr>
        <w:pStyle w:val="61"/>
        <w:widowControl w:val="0"/>
        <w:ind w:firstLine="420"/>
      </w:pPr>
      <w:r>
        <w:rPr>
          <w:rFonts w:hint="eastAsia"/>
        </w:rPr>
        <w:t>是</w:t>
      </w:r>
      <w:r>
        <w:rPr>
          <w:rFonts w:hint="eastAsia"/>
          <w:color w:val="000000" w:themeColor="text1"/>
          <w14:textFill>
            <w14:solidFill>
              <w14:schemeClr w14:val="tx1"/>
            </w14:solidFill>
          </w14:textFill>
        </w:rPr>
        <w:t>低空</w:t>
      </w:r>
      <w:r>
        <w:rPr>
          <w:rFonts w:hint="eastAsia"/>
        </w:rPr>
        <w:t>航路/航线应对复杂环境的保障，用于衡量</w:t>
      </w:r>
      <w:r>
        <w:rPr>
          <w:rFonts w:hint="eastAsia"/>
          <w:color w:val="000000" w:themeColor="text1"/>
          <w14:textFill>
            <w14:solidFill>
              <w14:schemeClr w14:val="tx1"/>
            </w14:solidFill>
          </w14:textFill>
        </w:rPr>
        <w:t>低空</w:t>
      </w:r>
      <w:r>
        <w:rPr>
          <w:rFonts w:hint="eastAsia"/>
        </w:rPr>
        <w:t>航路/航线系统在不确定性条件下快速响应和动态重构的能力，体现在以下层面：</w:t>
      </w:r>
    </w:p>
    <w:p w14:paraId="5B8855D7">
      <w:pPr>
        <w:pStyle w:val="179"/>
        <w:widowControl w:val="0"/>
        <w:numPr>
          <w:ilvl w:val="0"/>
          <w:numId w:val="46"/>
        </w:numPr>
      </w:pPr>
      <w:r>
        <w:rPr>
          <w:rFonts w:hint="eastAsia"/>
        </w:rPr>
        <w:t>响应速度层面：应考虑借助数字化低空交通管理平台实现实时检测、动态规划与指令下发，以适应可能发生的高频次运行需求；</w:t>
      </w:r>
    </w:p>
    <w:p w14:paraId="5B8855D8">
      <w:pPr>
        <w:pStyle w:val="179"/>
        <w:widowControl w:val="0"/>
        <w:numPr>
          <w:ilvl w:val="0"/>
          <w:numId w:val="46"/>
        </w:numPr>
      </w:pPr>
      <w:r>
        <w:rPr>
          <w:rFonts w:hint="eastAsia"/>
        </w:rPr>
        <w:t>调整范围层面：应考虑在不确定性干扰事件发生时，对</w:t>
      </w:r>
      <w:r>
        <w:rPr>
          <w:rFonts w:hint="eastAsia"/>
          <w:color w:val="000000" w:themeColor="text1"/>
          <w14:textFill>
            <w14:solidFill>
              <w14:schemeClr w14:val="tx1"/>
            </w14:solidFill>
          </w14:textFill>
        </w:rPr>
        <w:t>低空</w:t>
      </w:r>
      <w:r>
        <w:rPr>
          <w:rFonts w:hint="eastAsia"/>
        </w:rPr>
        <w:t>航路/航线的高度、所依据的</w:t>
      </w:r>
      <w:r>
        <w:rPr>
          <w:rFonts w:hint="eastAsia"/>
          <w:color w:val="000000" w:themeColor="text1"/>
          <w14:textFill>
            <w14:solidFill>
              <w14:schemeClr w14:val="tx1"/>
            </w14:solidFill>
          </w14:textFill>
        </w:rPr>
        <w:t>低空</w:t>
      </w:r>
      <w:r>
        <w:rPr>
          <w:rFonts w:hint="eastAsia"/>
        </w:rPr>
        <w:t>航路/航线结构和通行规则进行调整；</w:t>
      </w:r>
    </w:p>
    <w:p w14:paraId="5B8855D9">
      <w:pPr>
        <w:pStyle w:val="179"/>
        <w:widowControl w:val="0"/>
        <w:numPr>
          <w:ilvl w:val="0"/>
          <w:numId w:val="46"/>
        </w:numPr>
      </w:pPr>
      <w:r>
        <w:rPr>
          <w:rFonts w:hint="eastAsia"/>
        </w:rPr>
        <w:t>多任务协同层面：应考虑借助数字化管理平台实现短时间内多条</w:t>
      </w:r>
      <w:r>
        <w:rPr>
          <w:rFonts w:hint="eastAsia"/>
          <w:color w:val="000000" w:themeColor="text1"/>
          <w14:textFill>
            <w14:solidFill>
              <w14:schemeClr w14:val="tx1"/>
            </w14:solidFill>
          </w14:textFill>
        </w:rPr>
        <w:t>低空</w:t>
      </w:r>
      <w:r>
        <w:rPr>
          <w:rFonts w:hint="eastAsia"/>
        </w:rPr>
        <w:t>航路/航线参数的协同调整并保障指令的稳定传输，从而降低运行风险水平。</w:t>
      </w:r>
    </w:p>
    <w:p w14:paraId="5B8855DA">
      <w:pPr>
        <w:pStyle w:val="179"/>
        <w:widowControl w:val="0"/>
        <w:numPr>
          <w:ilvl w:val="0"/>
          <w:numId w:val="0"/>
        </w:numPr>
        <w:ind w:left="426"/>
      </w:pPr>
      <w:r>
        <w:rPr>
          <w:rFonts w:hint="eastAsia"/>
        </w:rPr>
        <w:t>动态调整效率的计算方法参见附录A。</w:t>
      </w:r>
    </w:p>
    <w:p w14:paraId="5B8855DB">
      <w:pPr>
        <w:pStyle w:val="109"/>
        <w:widowControl w:val="0"/>
        <w:spacing w:before="312" w:after="312"/>
        <w:ind w:left="0"/>
        <w:rPr>
          <w:color w:val="000000" w:themeColor="text1"/>
          <w14:textFill>
            <w14:solidFill>
              <w14:schemeClr w14:val="tx1"/>
            </w14:solidFill>
          </w14:textFill>
        </w:rPr>
      </w:pPr>
      <w:bookmarkStart w:id="574" w:name="_Toc240381778"/>
      <w:r>
        <w:rPr>
          <w:rFonts w:hint="eastAsia"/>
          <w:color w:val="000000" w:themeColor="text1"/>
          <w14:textFill>
            <w14:solidFill>
              <w14:schemeClr w14:val="tx1"/>
            </w14:solidFill>
          </w14:textFill>
        </w:rPr>
        <w:t>划设流程</w:t>
      </w:r>
      <w:bookmarkEnd w:id="574"/>
    </w:p>
    <w:p w14:paraId="5B8855DC">
      <w:pPr>
        <w:pStyle w:val="228"/>
        <w:widowControl w:val="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方案设计</w:t>
      </w:r>
    </w:p>
    <w:p w14:paraId="5B8855DD">
      <w:pPr>
        <w:pStyle w:val="70"/>
        <w:numPr>
          <w:ilvl w:val="0"/>
          <w:numId w:val="0"/>
        </w:numPr>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9.1.1 数据收集</w:t>
      </w:r>
    </w:p>
    <w:p w14:paraId="5B8855DE">
      <w:pPr>
        <w:pStyle w:val="61"/>
        <w:widowControl w:val="0"/>
        <w:ind w:firstLine="420"/>
        <w:rPr>
          <w:rFonts w:hAnsi="宋体"/>
          <w:color w:val="000000" w:themeColor="text1"/>
          <w14:textFill>
            <w14:solidFill>
              <w14:schemeClr w14:val="tx1"/>
            </w14:solidFill>
          </w14:textFill>
        </w:rPr>
      </w:pPr>
      <w:r>
        <w:rPr>
          <w:rFonts w:hint="eastAsia"/>
          <w:color w:val="000000" w:themeColor="text1"/>
          <w14:textFill>
            <w14:solidFill>
              <w14:schemeClr w14:val="tx1"/>
            </w14:solidFill>
          </w14:textFill>
        </w:rPr>
        <w:t>低空</w:t>
      </w:r>
      <w:r>
        <w:rPr>
          <w:rFonts w:hint="eastAsia"/>
        </w:rPr>
        <w:t>航路/</w:t>
      </w:r>
      <w:r>
        <w:rPr>
          <w:rFonts w:hint="eastAsia" w:hAnsi="宋体"/>
          <w:color w:val="000000" w:themeColor="text1"/>
          <w14:textFill>
            <w14:solidFill>
              <w14:schemeClr w14:val="tx1"/>
            </w14:solidFill>
          </w14:textFill>
        </w:rPr>
        <w:t>航线划设前，应收集掌握</w:t>
      </w:r>
      <w:r>
        <w:rPr>
          <w:rFonts w:hint="eastAsia"/>
          <w:color w:val="000000" w:themeColor="text1"/>
          <w14:textFill>
            <w14:solidFill>
              <w14:schemeClr w14:val="tx1"/>
            </w14:solidFill>
          </w14:textFill>
        </w:rPr>
        <w:t>低空</w:t>
      </w:r>
      <w:r>
        <w:rPr>
          <w:rFonts w:hint="eastAsia"/>
        </w:rPr>
        <w:t>航路/</w:t>
      </w:r>
      <w:r>
        <w:rPr>
          <w:rFonts w:hint="eastAsia" w:hAnsi="宋体"/>
          <w:color w:val="000000" w:themeColor="text1"/>
          <w14:textFill>
            <w14:solidFill>
              <w14:schemeClr w14:val="tx1"/>
            </w14:solidFill>
          </w14:textFill>
        </w:rPr>
        <w:t>航线区域内基础数据，包括但不限于空域资料、机场信息、地形地貌、城市与建筑分布、气象条件、电磁环境、障碍物资料以及通信、导航、监视、气象、反制等基础设施分布情况。</w:t>
      </w:r>
    </w:p>
    <w:p w14:paraId="5B8855DF">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针对湖北省地形地貌特点，收集山区状况、河湖水情、耕种安排、矿区动态、景区管控要求等信息。</w:t>
      </w:r>
    </w:p>
    <w:p w14:paraId="5B8855E0">
      <w:pPr>
        <w:pStyle w:val="70"/>
        <w:numPr>
          <w:ilvl w:val="0"/>
          <w:numId w:val="0"/>
        </w:numPr>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9.1.2 高度面设定</w:t>
      </w:r>
    </w:p>
    <w:p w14:paraId="5B8855E1">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划设低空</w:t>
      </w:r>
      <w:r>
        <w:rPr>
          <w:rFonts w:hint="eastAsia"/>
        </w:rPr>
        <w:t>航路/</w:t>
      </w:r>
      <w:r>
        <w:rPr>
          <w:rFonts w:hint="eastAsia"/>
          <w:color w:val="000000" w:themeColor="text1"/>
          <w14:textFill>
            <w14:solidFill>
              <w14:schemeClr w14:val="tx1"/>
            </w14:solidFill>
          </w14:textFill>
        </w:rPr>
        <w:t>航线前应设定高度面，包括高度基准面和高度零位面，示意见图4。无人驾驶航空器与有人驾驶航空器融合运行时，应保持与有人驾驶航空器高度测量方式和测量基准一致（均使用HAE为基准）。</w:t>
      </w:r>
    </w:p>
    <w:p w14:paraId="5B8855E2">
      <w:pPr>
        <w:pStyle w:val="61"/>
        <w:keepNext/>
        <w:widowControl w:val="0"/>
        <w:ind w:firstLine="420"/>
        <w:jc w:val="center"/>
      </w:pPr>
      <w:r>
        <w:rPr>
          <w:color w:val="000000" w:themeColor="text1"/>
          <w14:textFill>
            <w14:solidFill>
              <w14:schemeClr w14:val="tx1"/>
            </w14:solidFill>
          </w14:textFill>
        </w:rPr>
        <w:drawing>
          <wp:inline distT="0" distB="0" distL="0" distR="0">
            <wp:extent cx="3825875" cy="1887220"/>
            <wp:effectExtent l="0" t="0" r="3175" b="0"/>
            <wp:docPr id="6086279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627966" name="图片 8"/>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31666" cy="1890436"/>
                    </a:xfrm>
                    <a:prstGeom prst="rect">
                      <a:avLst/>
                    </a:prstGeom>
                  </pic:spPr>
                </pic:pic>
              </a:graphicData>
            </a:graphic>
          </wp:inline>
        </w:drawing>
      </w:r>
    </w:p>
    <w:p w14:paraId="6D2C65CB">
      <w:pPr>
        <w:pStyle w:val="119"/>
        <w:spacing w:before="156" w:after="156"/>
        <w:rPr>
          <w:rFonts w:hint="eastAsia"/>
        </w:rPr>
      </w:pPr>
      <w:r>
        <w:rPr>
          <w:rFonts w:hint="eastAsia"/>
        </w:rPr>
        <w:t>高度基准面和零位面</w:t>
      </w:r>
    </w:p>
    <w:p w14:paraId="5B8855E4">
      <w:pPr>
        <w:pStyle w:val="70"/>
        <w:numPr>
          <w:ilvl w:val="0"/>
          <w:numId w:val="0"/>
        </w:numPr>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9.1.3 初步设计</w:t>
      </w:r>
    </w:p>
    <w:p w14:paraId="5B8855E5">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初步设计应包含以下内容：</w:t>
      </w:r>
    </w:p>
    <w:p w14:paraId="5B8855E6">
      <w:pPr>
        <w:pStyle w:val="179"/>
        <w:widowControl w:val="0"/>
        <w:numPr>
          <w:ilvl w:val="0"/>
          <w:numId w:val="47"/>
        </w:numPr>
        <w:rPr>
          <w:color w:val="000000" w:themeColor="text1"/>
          <w14:textFill>
            <w14:solidFill>
              <w14:schemeClr w14:val="tx1"/>
            </w14:solidFill>
          </w14:textFill>
        </w:rPr>
      </w:pPr>
      <w:r>
        <w:rPr>
          <w:rFonts w:hint="eastAsia"/>
          <w:color w:val="000000" w:themeColor="text1"/>
          <w14:textFill>
            <w14:solidFill>
              <w14:schemeClr w14:val="tx1"/>
            </w14:solidFill>
          </w14:textFill>
        </w:rPr>
        <w:t>根据实际运行需求，初步确定拟使用的无人驾驶航空器类型、尺寸及性能；</w:t>
      </w:r>
    </w:p>
    <w:p w14:paraId="5B8855E7">
      <w:pPr>
        <w:pStyle w:val="179"/>
        <w:widowControl w:val="0"/>
        <w:numPr>
          <w:ilvl w:val="0"/>
          <w:numId w:val="47"/>
        </w:numPr>
        <w:rPr>
          <w:color w:val="000000" w:themeColor="text1"/>
          <w14:textFill>
            <w14:solidFill>
              <w14:schemeClr w14:val="tx1"/>
            </w14:solidFill>
          </w14:textFill>
        </w:rPr>
      </w:pPr>
      <w:r>
        <w:rPr>
          <w:rFonts w:hint="eastAsia"/>
          <w:color w:val="000000" w:themeColor="text1"/>
          <w14:textFill>
            <w14:solidFill>
              <w14:schemeClr w14:val="tx1"/>
            </w14:solidFill>
          </w14:textFill>
        </w:rPr>
        <w:t>根据实际运行需求、航空器性能、基础设施、地形地貌、气象条件，初步确定低空航路/航线起点、终点、途径点、走向、高度以及进离场程序等；</w:t>
      </w:r>
    </w:p>
    <w:p w14:paraId="5B8855E8">
      <w:pPr>
        <w:pStyle w:val="179"/>
        <w:widowControl w:val="0"/>
        <w:numPr>
          <w:ilvl w:val="0"/>
          <w:numId w:val="47"/>
        </w:numPr>
        <w:rPr>
          <w:color w:val="000000" w:themeColor="text1"/>
          <w14:textFill>
            <w14:solidFill>
              <w14:schemeClr w14:val="tx1"/>
            </w14:solidFill>
          </w14:textFill>
        </w:rPr>
      </w:pPr>
      <w:r>
        <w:rPr>
          <w:rFonts w:hint="eastAsia"/>
          <w:color w:val="000000" w:themeColor="text1"/>
          <w14:textFill>
            <w14:solidFill>
              <w14:schemeClr w14:val="tx1"/>
            </w14:solidFill>
          </w14:textFill>
        </w:rPr>
        <w:t>根据低空航路/航线走向下方各类障碍物高度情况，对低空航路/航线高度进行分层划设，且满足低空航路/航线高度设定要求。</w:t>
      </w:r>
    </w:p>
    <w:p w14:paraId="5B8855E9">
      <w:pPr>
        <w:pStyle w:val="70"/>
        <w:numPr>
          <w:ilvl w:val="0"/>
          <w:numId w:val="0"/>
        </w:numPr>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9.1.4 </w:t>
      </w:r>
      <w:r>
        <w:rPr>
          <w:rFonts w:hint="eastAsia"/>
        </w:rPr>
        <w:t>评估</w:t>
      </w:r>
      <w:r>
        <w:rPr>
          <w:rFonts w:hint="eastAsia"/>
          <w:color w:val="000000" w:themeColor="text1"/>
          <w14:textFill>
            <w14:solidFill>
              <w14:schemeClr w14:val="tx1"/>
            </w14:solidFill>
          </w14:textFill>
        </w:rPr>
        <w:t>优化</w:t>
      </w:r>
    </w:p>
    <w:p w14:paraId="5B8855EA">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依照</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航路/航线划设评估指标要素（见第8章）对初步设计进行评估、调整及优化。</w:t>
      </w:r>
    </w:p>
    <w:p w14:paraId="5B8855EB">
      <w:pPr>
        <w:pStyle w:val="228"/>
        <w:widowControl w:val="0"/>
        <w:spacing w:before="156" w:after="156"/>
        <w:ind w:left="420" w:hanging="420" w:hangingChars="200"/>
        <w:outlineLvl w:val="1"/>
        <w:rPr>
          <w:rFonts w:hAnsi="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现场踏勘</w:t>
      </w:r>
    </w:p>
    <w:p w14:paraId="5B8855EC">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基于方案设计结果，对起降场</w:t>
      </w:r>
      <w:r>
        <w:rPr>
          <w:rFonts w:hint="eastAsia"/>
          <w:color w:val="000000" w:themeColor="text1"/>
          <w14:textFill>
            <w14:solidFill>
              <w14:schemeClr w14:val="tx1"/>
            </w14:solidFill>
          </w14:textFill>
        </w:rPr>
        <w:t>/起降点</w:t>
      </w:r>
      <w:r>
        <w:rPr>
          <w:rFonts w:hint="eastAsia" w:hAnsi="宋体"/>
          <w:color w:val="000000" w:themeColor="text1"/>
          <w14:textFill>
            <w14:solidFill>
              <w14:schemeClr w14:val="tx1"/>
            </w14:solidFill>
          </w14:textFill>
        </w:rPr>
        <w:t>、备降场</w:t>
      </w:r>
      <w:r>
        <w:rPr>
          <w:rFonts w:hint="eastAsia"/>
          <w:color w:val="000000" w:themeColor="text1"/>
          <w14:textFill>
            <w14:solidFill>
              <w14:schemeClr w14:val="tx1"/>
            </w14:solidFill>
          </w14:textFill>
        </w:rPr>
        <w:t>/备降点</w:t>
      </w:r>
      <w:r>
        <w:rPr>
          <w:rFonts w:hint="eastAsia" w:hAnsi="宋体"/>
          <w:color w:val="000000" w:themeColor="text1"/>
          <w14:textFill>
            <w14:solidFill>
              <w14:schemeClr w14:val="tx1"/>
            </w14:solidFill>
          </w14:textFill>
        </w:rPr>
        <w:t>及</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航路/航线途径区域进行实地踏勘，应包含以下内容：</w:t>
      </w:r>
    </w:p>
    <w:p w14:paraId="5B8855ED">
      <w:pPr>
        <w:pStyle w:val="179"/>
        <w:widowControl w:val="0"/>
        <w:numPr>
          <w:ilvl w:val="0"/>
          <w:numId w:val="48"/>
        </w:numPr>
        <w:rPr>
          <w:color w:val="000000" w:themeColor="text1"/>
          <w14:textFill>
            <w14:solidFill>
              <w14:schemeClr w14:val="tx1"/>
            </w14:solidFill>
          </w14:textFill>
        </w:rPr>
      </w:pPr>
      <w:r>
        <w:rPr>
          <w:rFonts w:hint="eastAsia"/>
          <w:color w:val="000000" w:themeColor="text1"/>
          <w14:textFill>
            <w14:solidFill>
              <w14:schemeClr w14:val="tx1"/>
            </w14:solidFill>
          </w14:textFill>
        </w:rPr>
        <w:t>收集起降场/起降点、备降场/备降点、途径点的坐标、高度等信息，勘察起降场/起降点和备降场/备降点周边能源补给情况和环境情况；</w:t>
      </w:r>
    </w:p>
    <w:p w14:paraId="5B8855EE">
      <w:pPr>
        <w:pStyle w:val="179"/>
        <w:widowControl w:val="0"/>
        <w:numPr>
          <w:ilvl w:val="0"/>
          <w:numId w:val="48"/>
        </w:numPr>
        <w:rPr>
          <w:color w:val="000000" w:themeColor="text1"/>
          <w14:textFill>
            <w14:solidFill>
              <w14:schemeClr w14:val="tx1"/>
            </w14:solidFill>
          </w14:textFill>
        </w:rPr>
      </w:pPr>
      <w:r>
        <w:rPr>
          <w:rFonts w:hint="eastAsia"/>
          <w:color w:val="000000" w:themeColor="text1"/>
          <w14:textFill>
            <w14:solidFill>
              <w14:schemeClr w14:val="tx1"/>
            </w14:solidFill>
          </w14:textFill>
        </w:rPr>
        <w:t>勘测低空航路/航线区域内障碍物位置、高度信息，明确最低超障余度；</w:t>
      </w:r>
    </w:p>
    <w:p w14:paraId="5B8855EF">
      <w:pPr>
        <w:pStyle w:val="179"/>
        <w:widowControl w:val="0"/>
        <w:numPr>
          <w:ilvl w:val="0"/>
          <w:numId w:val="48"/>
        </w:numPr>
        <w:rPr>
          <w:color w:val="000000" w:themeColor="text1"/>
          <w14:textFill>
            <w14:solidFill>
              <w14:schemeClr w14:val="tx1"/>
            </w14:solidFill>
          </w14:textFill>
        </w:rPr>
      </w:pPr>
      <w:r>
        <w:rPr>
          <w:rFonts w:hint="eastAsia"/>
          <w:color w:val="000000" w:themeColor="text1"/>
          <w14:textFill>
            <w14:solidFill>
              <w14:schemeClr w14:val="tx1"/>
            </w14:solidFill>
          </w14:textFill>
        </w:rPr>
        <w:t>测试通信、导航、监视信号质量可否满足运行需求；</w:t>
      </w:r>
    </w:p>
    <w:p w14:paraId="5B8855F0">
      <w:pPr>
        <w:pStyle w:val="179"/>
        <w:widowControl w:val="0"/>
        <w:numPr>
          <w:ilvl w:val="0"/>
          <w:numId w:val="48"/>
        </w:numPr>
        <w:rPr>
          <w:color w:val="000000" w:themeColor="text1"/>
          <w14:textFill>
            <w14:solidFill>
              <w14:schemeClr w14:val="tx1"/>
            </w14:solidFill>
          </w14:textFill>
        </w:rPr>
      </w:pPr>
      <w:r>
        <w:rPr>
          <w:rFonts w:hint="eastAsia"/>
          <w:color w:val="000000" w:themeColor="text1"/>
          <w14:textFill>
            <w14:solidFill>
              <w14:schemeClr w14:val="tx1"/>
            </w14:solidFill>
          </w14:textFill>
        </w:rPr>
        <w:t>根据现场踏勘情况调整和优化低空航路/航线，依照低空航路/航线划设指标要素将优化后的低空航路/航线与初步设计相对比、取优者。</w:t>
      </w:r>
    </w:p>
    <w:p w14:paraId="5B8855F1">
      <w:pPr>
        <w:pStyle w:val="228"/>
        <w:widowControl w:val="0"/>
        <w:spacing w:before="156" w:after="156"/>
        <w:ind w:left="420" w:hanging="420" w:hangingChars="200"/>
        <w:outlineLvl w:val="1"/>
        <w:rPr>
          <w:rFonts w:hAnsi="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模拟仿真</w:t>
      </w:r>
    </w:p>
    <w:p w14:paraId="5B8855F2">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基于现场踏勘结果，使用计算机仿真及推演，可考虑模拟常见天气情况，应模拟</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航路/航线运行，对运行规则和无人驾驶航空器准入要求等方面开展论证，找出潜在设计不足、运行瓶颈并制定缓解措施。</w:t>
      </w:r>
    </w:p>
    <w:p w14:paraId="5B8855F3">
      <w:pPr>
        <w:pStyle w:val="228"/>
        <w:widowControl w:val="0"/>
        <w:spacing w:before="156" w:after="156"/>
        <w:ind w:left="420" w:hanging="420" w:hangingChars="200"/>
        <w:outlineLvl w:val="1"/>
        <w:rPr>
          <w:rFonts w:hAnsi="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试飞验证</w:t>
      </w:r>
    </w:p>
    <w:p w14:paraId="5B8855F4">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基于通过模拟仿真推演的</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航路/航线开展试飞验证，采用主要运行机型，应验证以下内容：</w:t>
      </w:r>
    </w:p>
    <w:p w14:paraId="5B8855F5">
      <w:pPr>
        <w:pStyle w:val="179"/>
        <w:widowControl w:val="0"/>
        <w:numPr>
          <w:ilvl w:val="0"/>
          <w:numId w:val="49"/>
        </w:numPr>
        <w:rPr>
          <w:color w:val="000000" w:themeColor="text1"/>
          <w14:textFill>
            <w14:solidFill>
              <w14:schemeClr w14:val="tx1"/>
            </w14:solidFill>
          </w14:textFill>
        </w:rPr>
      </w:pPr>
      <w:r>
        <w:rPr>
          <w:rFonts w:hint="eastAsia"/>
          <w:color w:val="000000" w:themeColor="text1"/>
          <w14:textFill>
            <w14:solidFill>
              <w14:schemeClr w14:val="tx1"/>
            </w14:solidFill>
          </w14:textFill>
        </w:rPr>
        <w:t>起降场/起降点、备降场/备降点、等待点、航路点位置数据；</w:t>
      </w:r>
    </w:p>
    <w:p w14:paraId="5B8855F6">
      <w:pPr>
        <w:pStyle w:val="179"/>
        <w:widowControl w:val="0"/>
        <w:numPr>
          <w:ilvl w:val="0"/>
          <w:numId w:val="49"/>
        </w:numPr>
        <w:rPr>
          <w:color w:val="000000" w:themeColor="text1"/>
          <w14:textFill>
            <w14:solidFill>
              <w14:schemeClr w14:val="tx1"/>
            </w14:solidFill>
          </w14:textFill>
        </w:rPr>
      </w:pPr>
      <w:r>
        <w:rPr>
          <w:rFonts w:hint="eastAsia"/>
          <w:color w:val="000000" w:themeColor="text1"/>
          <w14:textFill>
            <w14:solidFill>
              <w14:schemeClr w14:val="tx1"/>
            </w14:solidFill>
          </w14:textFill>
        </w:rPr>
        <w:t>航空器在低空航路/航线上的位置和高度数据；</w:t>
      </w:r>
    </w:p>
    <w:p w14:paraId="5B8855F7">
      <w:pPr>
        <w:pStyle w:val="179"/>
        <w:widowControl w:val="0"/>
        <w:numPr>
          <w:ilvl w:val="0"/>
          <w:numId w:val="49"/>
        </w:numPr>
        <w:rPr>
          <w:color w:val="000000" w:themeColor="text1"/>
          <w14:textFill>
            <w14:solidFill>
              <w14:schemeClr w14:val="tx1"/>
            </w14:solidFill>
          </w14:textFill>
        </w:rPr>
      </w:pPr>
      <w:r>
        <w:rPr>
          <w:rFonts w:hint="eastAsia"/>
          <w:color w:val="000000" w:themeColor="text1"/>
          <w14:textFill>
            <w14:solidFill>
              <w14:schemeClr w14:val="tx1"/>
            </w14:solidFill>
          </w14:textFill>
        </w:rPr>
        <w:t>与障碍物的垂直间隔；</w:t>
      </w:r>
    </w:p>
    <w:p w14:paraId="5B8855F8">
      <w:pPr>
        <w:pStyle w:val="179"/>
        <w:widowControl w:val="0"/>
        <w:numPr>
          <w:ilvl w:val="0"/>
          <w:numId w:val="49"/>
        </w:numPr>
        <w:rPr>
          <w:color w:val="000000" w:themeColor="text1"/>
          <w14:textFill>
            <w14:solidFill>
              <w14:schemeClr w14:val="tx1"/>
            </w14:solidFill>
          </w14:textFill>
        </w:rPr>
      </w:pPr>
      <w:r>
        <w:rPr>
          <w:rFonts w:hint="eastAsia"/>
          <w:color w:val="000000" w:themeColor="text1"/>
          <w14:textFill>
            <w14:solidFill>
              <w14:schemeClr w14:val="tx1"/>
            </w14:solidFill>
          </w14:textFill>
        </w:rPr>
        <w:t>通信、导航、监视、气象、反制设备覆盖情况；</w:t>
      </w:r>
    </w:p>
    <w:p w14:paraId="5B8855F9">
      <w:pPr>
        <w:pStyle w:val="179"/>
        <w:widowControl w:val="0"/>
        <w:numPr>
          <w:ilvl w:val="0"/>
          <w:numId w:val="49"/>
        </w:numPr>
        <w:rPr>
          <w:color w:val="000000" w:themeColor="text1"/>
          <w14:textFill>
            <w14:solidFill>
              <w14:schemeClr w14:val="tx1"/>
            </w14:solidFill>
          </w14:textFill>
        </w:rPr>
      </w:pPr>
      <w:r>
        <w:rPr>
          <w:rFonts w:hint="eastAsia"/>
          <w:color w:val="000000" w:themeColor="text1"/>
          <w14:textFill>
            <w14:solidFill>
              <w14:schemeClr w14:val="tx1"/>
            </w14:solidFill>
          </w14:textFill>
        </w:rPr>
        <w:t>低空航路/航线上是否存在天气干扰和电磁辐射干扰等；</w:t>
      </w:r>
    </w:p>
    <w:p w14:paraId="5B8855FA">
      <w:pPr>
        <w:pStyle w:val="179"/>
        <w:widowControl w:val="0"/>
        <w:numPr>
          <w:ilvl w:val="0"/>
          <w:numId w:val="49"/>
        </w:numPr>
        <w:rPr>
          <w:color w:val="000000" w:themeColor="text1"/>
          <w14:textFill>
            <w14:solidFill>
              <w14:schemeClr w14:val="tx1"/>
            </w14:solidFill>
          </w14:textFill>
        </w:rPr>
      </w:pPr>
      <w:r>
        <w:rPr>
          <w:rFonts w:hint="eastAsia"/>
          <w:color w:val="000000" w:themeColor="text1"/>
          <w14:textFill>
            <w14:solidFill>
              <w14:schemeClr w14:val="tx1"/>
            </w14:solidFill>
          </w14:textFill>
        </w:rPr>
        <w:t>是否存在未知障碍物和其他未知风险；</w:t>
      </w:r>
    </w:p>
    <w:p w14:paraId="5B8855FB">
      <w:pPr>
        <w:pStyle w:val="179"/>
        <w:widowControl w:val="0"/>
        <w:numPr>
          <w:ilvl w:val="0"/>
          <w:numId w:val="49"/>
        </w:numPr>
        <w:rPr>
          <w:color w:val="000000" w:themeColor="text1"/>
          <w14:textFill>
            <w14:solidFill>
              <w14:schemeClr w14:val="tx1"/>
            </w14:solidFill>
          </w14:textFill>
        </w:rPr>
      </w:pPr>
      <w:r>
        <w:rPr>
          <w:rFonts w:hint="eastAsia"/>
          <w:color w:val="000000" w:themeColor="text1"/>
          <w14:textFill>
            <w14:solidFill>
              <w14:schemeClr w14:val="tx1"/>
            </w14:solidFill>
          </w14:textFill>
        </w:rPr>
        <w:t>首次飞行验证，宜开启前视和下视摄像观察周围情况，记录飞行中通信导航数据，确认与障碍物间的距离，观察是否存在未知风险，确认高度裕度和已知未知风险。</w:t>
      </w:r>
    </w:p>
    <w:p w14:paraId="5B8855FC">
      <w:pPr>
        <w:pStyle w:val="228"/>
        <w:widowControl w:val="0"/>
        <w:spacing w:before="156" w:after="156"/>
        <w:ind w:left="420" w:hanging="420" w:hangingChars="200"/>
        <w:outlineLvl w:val="1"/>
        <w:rPr>
          <w:rFonts w:hAnsi="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低空航路/航线实施与管理</w:t>
      </w:r>
    </w:p>
    <w:p w14:paraId="5B8855FD">
      <w:pPr>
        <w:pStyle w:val="70"/>
        <w:numPr>
          <w:ilvl w:val="0"/>
          <w:numId w:val="0"/>
        </w:numPr>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9.5.1 低空</w:t>
      </w:r>
      <w:r>
        <w:rPr>
          <w:rFonts w:hint="eastAsia" w:hAnsi="宋体"/>
          <w:color w:val="000000" w:themeColor="text1"/>
          <w14:textFill>
            <w14:solidFill>
              <w14:schemeClr w14:val="tx1"/>
            </w14:solidFill>
          </w14:textFill>
        </w:rPr>
        <w:t>航路/</w:t>
      </w:r>
      <w:r>
        <w:rPr>
          <w:rFonts w:hint="eastAsia"/>
          <w:color w:val="000000" w:themeColor="text1"/>
          <w14:textFill>
            <w14:solidFill>
              <w14:schemeClr w14:val="tx1"/>
            </w14:solidFill>
          </w14:textFill>
        </w:rPr>
        <w:t>航线发布</w:t>
      </w:r>
    </w:p>
    <w:p w14:paraId="5B8855FE">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经过验证优化的</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航路/航线应正式发布，并纳入低空飞行服务平台管理，所需发布的信息参见附录B。</w:t>
      </w:r>
    </w:p>
    <w:p w14:paraId="5B8855FF">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起降场</w:t>
      </w:r>
      <w:r>
        <w:rPr>
          <w:rFonts w:hint="eastAsia"/>
          <w:color w:val="000000" w:themeColor="text1"/>
          <w14:textFill>
            <w14:solidFill>
              <w14:schemeClr w14:val="tx1"/>
            </w14:solidFill>
          </w14:textFill>
        </w:rPr>
        <w:t>/起降点</w:t>
      </w:r>
      <w:r>
        <w:rPr>
          <w:rFonts w:hint="eastAsia" w:hAnsi="宋体"/>
          <w:color w:val="000000" w:themeColor="text1"/>
          <w14:textFill>
            <w14:solidFill>
              <w14:schemeClr w14:val="tx1"/>
            </w14:solidFill>
          </w14:textFill>
        </w:rPr>
        <w:t>和备降场</w:t>
      </w:r>
      <w:r>
        <w:rPr>
          <w:rFonts w:hint="eastAsia"/>
          <w:color w:val="000000" w:themeColor="text1"/>
          <w14:textFill>
            <w14:solidFill>
              <w14:schemeClr w14:val="tx1"/>
            </w14:solidFill>
          </w14:textFill>
        </w:rPr>
        <w:t>/备降点</w:t>
      </w:r>
      <w:r>
        <w:rPr>
          <w:rFonts w:hint="eastAsia" w:hAnsi="宋体"/>
          <w:color w:val="000000" w:themeColor="text1"/>
          <w14:textFill>
            <w14:solidFill>
              <w14:schemeClr w14:val="tx1"/>
            </w14:solidFill>
          </w14:textFill>
        </w:rPr>
        <w:t>位置描述应采用</w:t>
      </w:r>
      <w:r>
        <w:t>CGCS2000</w:t>
      </w:r>
      <w:r>
        <w:rPr>
          <w:rFonts w:hint="eastAsia" w:hAnsi="宋体"/>
          <w:color w:val="000000" w:themeColor="text1"/>
          <w14:textFill>
            <w14:solidFill>
              <w14:schemeClr w14:val="tx1"/>
            </w14:solidFill>
          </w14:textFill>
        </w:rPr>
        <w:t>坐标，误差不大于5m。</w:t>
      </w:r>
    </w:p>
    <w:p w14:paraId="5B885600">
      <w:pPr>
        <w:pStyle w:val="70"/>
        <w:numPr>
          <w:ilvl w:val="0"/>
          <w:numId w:val="0"/>
        </w:numPr>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9.5.2 定期评估</w:t>
      </w:r>
    </w:p>
    <w:p w14:paraId="5B885601">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依照低空</w:t>
      </w:r>
      <w:r>
        <w:rPr>
          <w:rFonts w:hint="eastAsia" w:hAnsi="宋体"/>
          <w:color w:val="000000" w:themeColor="text1"/>
          <w14:textFill>
            <w14:solidFill>
              <w14:schemeClr w14:val="tx1"/>
            </w14:solidFill>
          </w14:textFill>
        </w:rPr>
        <w:t>航路/航线划设评估指标要素（见第8章）</w:t>
      </w:r>
      <w:r>
        <w:rPr>
          <w:rFonts w:hint="eastAsia"/>
          <w:color w:val="000000" w:themeColor="text1"/>
          <w14:textFill>
            <w14:solidFill>
              <w14:schemeClr w14:val="tx1"/>
            </w14:solidFill>
          </w14:textFill>
        </w:rPr>
        <w:t>定期对低空</w:t>
      </w:r>
      <w:r>
        <w:rPr>
          <w:rFonts w:hint="eastAsia" w:hAnsi="宋体"/>
          <w:color w:val="000000" w:themeColor="text1"/>
          <w14:textFill>
            <w14:solidFill>
              <w14:schemeClr w14:val="tx1"/>
            </w14:solidFill>
          </w14:textFill>
        </w:rPr>
        <w:t>航路/</w:t>
      </w:r>
      <w:r>
        <w:rPr>
          <w:rFonts w:hint="eastAsia"/>
          <w:color w:val="000000" w:themeColor="text1"/>
          <w14:textFill>
            <w14:solidFill>
              <w14:schemeClr w14:val="tx1"/>
            </w14:solidFill>
          </w14:textFill>
        </w:rPr>
        <w:t>航线进行评估和对比，如发现评估对比结果相较历史数据有所恶化，应及时调整优化低空</w:t>
      </w:r>
      <w:r>
        <w:rPr>
          <w:rFonts w:hint="eastAsia" w:hAnsi="宋体"/>
          <w:color w:val="000000" w:themeColor="text1"/>
          <w14:textFill>
            <w14:solidFill>
              <w14:schemeClr w14:val="tx1"/>
            </w14:solidFill>
          </w14:textFill>
        </w:rPr>
        <w:t>航路/</w:t>
      </w:r>
      <w:r>
        <w:rPr>
          <w:rFonts w:hint="eastAsia"/>
          <w:color w:val="000000" w:themeColor="text1"/>
          <w14:textFill>
            <w14:solidFill>
              <w14:schemeClr w14:val="tx1"/>
            </w14:solidFill>
          </w14:textFill>
        </w:rPr>
        <w:t>航线。</w:t>
      </w:r>
    </w:p>
    <w:bookmarkEnd w:id="20"/>
    <w:p w14:paraId="5B885602">
      <w:pPr>
        <w:pStyle w:val="109"/>
        <w:widowControl w:val="0"/>
        <w:spacing w:before="312" w:after="312"/>
        <w:ind w:left="0"/>
        <w:rPr>
          <w:color w:val="000000" w:themeColor="text1"/>
          <w14:textFill>
            <w14:solidFill>
              <w14:schemeClr w14:val="tx1"/>
            </w14:solidFill>
          </w14:textFill>
        </w:rPr>
      </w:pPr>
      <w:bookmarkStart w:id="575" w:name="_Toc240381779"/>
      <w:bookmarkStart w:id="576" w:name="BookMark6"/>
      <w:r>
        <w:rPr>
          <w:rFonts w:hint="eastAsia"/>
          <w:color w:val="000000" w:themeColor="text1"/>
          <w14:textFill>
            <w14:solidFill>
              <w14:schemeClr w14:val="tx1"/>
            </w14:solidFill>
          </w14:textFill>
        </w:rPr>
        <w:t>标准实施及评价</w:t>
      </w:r>
      <w:bookmarkEnd w:id="575"/>
    </w:p>
    <w:p w14:paraId="5B885603">
      <w:pPr>
        <w:pStyle w:val="110"/>
        <w:widowControl w:val="0"/>
        <w:numPr>
          <w:ilvl w:val="0"/>
          <w:numId w:val="0"/>
        </w:numPr>
        <w:spacing w:beforeLines="0" w:afterLines="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10.1</w:t>
      </w:r>
      <w:r>
        <w:rPr>
          <w:rFonts w:hint="eastAsia" w:ascii="宋体" w:hAnsi="宋体" w:eastAsia="宋体"/>
          <w:color w:val="000000" w:themeColor="text1"/>
          <w14:textFill>
            <w14:solidFill>
              <w14:schemeClr w14:val="tx1"/>
            </w14:solidFill>
          </w14:textFill>
        </w:rPr>
        <w:t xml:space="preserve"> 结合实际，准备标准实施，包括但不限于标准实施的方案准备、组织准备、知识准备、手段准备和物质条件准备等</w:t>
      </w:r>
      <w:r>
        <w:rPr>
          <w:rFonts w:hint="eastAsia"/>
          <w:color w:val="000000" w:themeColor="text1"/>
          <w14:textFill>
            <w14:solidFill>
              <w14:schemeClr w14:val="tx1"/>
            </w14:solidFill>
          </w14:textFill>
        </w:rPr>
        <w:t>。</w:t>
      </w:r>
    </w:p>
    <w:p w14:paraId="5B885604">
      <w:pPr>
        <w:pStyle w:val="110"/>
        <w:widowControl w:val="0"/>
        <w:numPr>
          <w:ilvl w:val="0"/>
          <w:numId w:val="0"/>
        </w:numPr>
        <w:spacing w:beforeLines="0" w:afterLines="0"/>
        <w:rPr>
          <w:rFonts w:ascii="宋体" w:hAnsi="宋体" w:eastAsia="宋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10.2</w:t>
      </w:r>
      <w:r>
        <w:rPr>
          <w:rFonts w:hint="eastAsia" w:ascii="宋体" w:hAnsi="宋体" w:eastAsia="宋体"/>
          <w:color w:val="000000" w:themeColor="text1"/>
          <w14:textFill>
            <w14:solidFill>
              <w14:schemeClr w14:val="tx1"/>
            </w14:solidFill>
          </w14:textFill>
        </w:rPr>
        <w:t xml:space="preserve"> 制定标准实施方案，应明确适用对象和场景、提供实施必备条件和保障（组织、制度、资金、人员和设施设备等）、推荐方法路径，确定资源要素配置、关键环节和控制点，提出标准实施中的注意事项。</w:t>
      </w:r>
    </w:p>
    <w:p w14:paraId="5B885605">
      <w:pPr>
        <w:pStyle w:val="110"/>
        <w:widowControl w:val="0"/>
        <w:numPr>
          <w:ilvl w:val="0"/>
          <w:numId w:val="0"/>
        </w:numPr>
        <w:spacing w:beforeLines="0" w:afterLines="0"/>
        <w:rPr>
          <w:rFonts w:ascii="宋体" w:hAnsi="宋体" w:eastAsia="宋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10.3</w:t>
      </w:r>
      <w:r>
        <w:rPr>
          <w:rFonts w:hint="eastAsia" w:ascii="宋体" w:hAnsi="宋体" w:eastAsia="宋体"/>
          <w:color w:val="000000" w:themeColor="text1"/>
          <w14:textFill>
            <w14:solidFill>
              <w14:schemeClr w14:val="tx1"/>
            </w14:solidFill>
          </w14:textFill>
        </w:rPr>
        <w:t xml:space="preserve"> 针对低空无人驾驶航空器航路/航线划设工作人员进行标准宣贯和培训，结合标准要求，落实责任制，做到横向到边，纵向到底。</w:t>
      </w:r>
    </w:p>
    <w:p w14:paraId="5B885606">
      <w:pPr>
        <w:pStyle w:val="110"/>
        <w:widowControl w:val="0"/>
        <w:numPr>
          <w:ilvl w:val="0"/>
          <w:numId w:val="0"/>
        </w:numPr>
        <w:spacing w:beforeLines="0" w:afterLines="0"/>
        <w:rPr>
          <w:rFonts w:ascii="宋体" w:hAnsi="宋体" w:eastAsia="宋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10.4</w:t>
      </w:r>
      <w:r>
        <w:rPr>
          <w:rFonts w:hint="eastAsia" w:ascii="宋体" w:hAnsi="宋体" w:eastAsia="宋体"/>
          <w:color w:val="000000" w:themeColor="text1"/>
          <w14:textFill>
            <w14:solidFill>
              <w14:schemeClr w14:val="tx1"/>
            </w14:solidFill>
          </w14:textFill>
        </w:rPr>
        <w:t xml:space="preserve"> 标准实施主要在低空无人驾驶航空器航路/航线划设等活动中开展。低空无人驾驶航空器航路/航线划设标准实施的重点是落实国家的航空安全要求。</w:t>
      </w:r>
    </w:p>
    <w:p w14:paraId="5B885607">
      <w:pPr>
        <w:pStyle w:val="110"/>
        <w:widowControl w:val="0"/>
        <w:numPr>
          <w:ilvl w:val="0"/>
          <w:numId w:val="0"/>
        </w:numPr>
        <w:spacing w:beforeLines="0" w:afterLines="0"/>
        <w:rPr>
          <w:rFonts w:ascii="宋体" w:hAnsi="宋体" w:eastAsia="宋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10.5</w:t>
      </w:r>
      <w:r>
        <w:rPr>
          <w:rFonts w:hint="eastAsia" w:ascii="宋体" w:hAnsi="宋体" w:eastAsia="宋体"/>
          <w:color w:val="000000" w:themeColor="text1"/>
          <w14:textFill>
            <w14:solidFill>
              <w14:schemeClr w14:val="tx1"/>
            </w14:solidFill>
          </w14:textFill>
        </w:rPr>
        <w:t xml:space="preserve"> 标准实施评价的基本依据是《中华人民共和国标准化法》等。</w:t>
      </w:r>
    </w:p>
    <w:p w14:paraId="5B885608">
      <w:pPr>
        <w:pStyle w:val="110"/>
        <w:widowControl w:val="0"/>
        <w:numPr>
          <w:ilvl w:val="0"/>
          <w:numId w:val="0"/>
        </w:numPr>
        <w:spacing w:beforeLines="0" w:afterLines="0"/>
        <w:rPr>
          <w:rFonts w:ascii="宋体" w:hAnsi="宋体" w:eastAsia="宋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10.6</w:t>
      </w:r>
      <w:r>
        <w:rPr>
          <w:rFonts w:hint="eastAsia" w:ascii="宋体" w:hAnsi="宋体" w:eastAsia="宋体"/>
          <w:color w:val="000000" w:themeColor="text1"/>
          <w14:textFill>
            <w14:solidFill>
              <w14:schemeClr w14:val="tx1"/>
            </w14:solidFill>
          </w14:textFill>
        </w:rPr>
        <w:t xml:space="preserve"> 在标准实施一定时间后，对照标准实施方案，开展标准实施效果评价分析，总结实施经验成效，梳理存在的薄弱环节，标准实施的评价主要是评价标准实施的效果，主要从技术进步、质量水平提高、客户满意度、规范秩序、效率提高、节约费用、节省时间、履行社会责任等方面进行有益性评价，还应评价标准实施带来的问题，以便为未来改进提供参考。</w:t>
      </w:r>
    </w:p>
    <w:p w14:paraId="5B885609">
      <w:pPr>
        <w:pStyle w:val="110"/>
        <w:widowControl w:val="0"/>
        <w:numPr>
          <w:ilvl w:val="0"/>
          <w:numId w:val="0"/>
        </w:numPr>
        <w:spacing w:beforeLines="0" w:afterLines="0"/>
        <w:rPr>
          <w:rFonts w:ascii="宋体" w:hAnsi="宋体" w:eastAsia="宋体"/>
          <w:color w:val="000000" w:themeColor="text1"/>
          <w14:textFill>
            <w14:solidFill>
              <w14:schemeClr w14:val="tx1"/>
            </w14:solidFill>
          </w14:textFill>
        </w:rPr>
      </w:pPr>
      <w:r>
        <w:rPr>
          <w:rFonts w:hAnsi="黑体"/>
          <w:color w:val="000000" w:themeColor="text1"/>
          <w14:textFill>
            <w14:solidFill>
              <w14:schemeClr w14:val="tx1"/>
            </w14:solidFill>
          </w14:textFill>
        </w:rPr>
        <w:t>10.</w:t>
      </w:r>
      <w:r>
        <w:rPr>
          <w:rFonts w:hint="eastAsia" w:hAnsi="黑体"/>
          <w:color w:val="000000" w:themeColor="text1"/>
          <w14:textFill>
            <w14:solidFill>
              <w14:schemeClr w14:val="tx1"/>
            </w14:solidFill>
          </w14:textFill>
        </w:rPr>
        <w:t>7</w:t>
      </w:r>
      <w:r>
        <w:rPr>
          <w:rFonts w:ascii="宋体" w:hAnsi="宋体" w:eastAsia="宋体"/>
          <w:color w:val="000000" w:themeColor="text1"/>
          <w14:textFill>
            <w14:solidFill>
              <w14:schemeClr w14:val="tx1"/>
            </w14:solidFill>
          </w14:textFill>
        </w:rPr>
        <w:t xml:space="preserve"> </w:t>
      </w:r>
      <w:r>
        <w:rPr>
          <w:rFonts w:hint="eastAsia" w:ascii="宋体" w:hAnsi="宋体" w:eastAsia="宋体"/>
          <w:color w:val="000000" w:themeColor="text1"/>
          <w14:textFill>
            <w14:solidFill>
              <w14:schemeClr w14:val="tx1"/>
            </w14:solidFill>
          </w14:textFill>
        </w:rPr>
        <w:t>适时向专业标准化技术委员会和标准归口管理单位反馈情况，提出标准推广、修改、补充、完善或者废止等意见建议。</w:t>
      </w:r>
    </w:p>
    <w:p w14:paraId="5B88560A">
      <w:pPr>
        <w:pStyle w:val="110"/>
        <w:widowControl w:val="0"/>
        <w:numPr>
          <w:ilvl w:val="0"/>
          <w:numId w:val="0"/>
        </w:numPr>
        <w:spacing w:beforeLines="0" w:afterLines="0"/>
        <w:rPr>
          <w:rFonts w:hAnsi="宋体"/>
          <w:color w:val="000000" w:themeColor="text1"/>
          <w14:textFill>
            <w14:solidFill>
              <w14:schemeClr w14:val="tx1"/>
            </w14:solidFill>
          </w14:textFill>
        </w:rPr>
      </w:pPr>
      <w:r>
        <w:rPr>
          <w:rFonts w:hAnsi="黑体"/>
          <w:color w:val="000000" w:themeColor="text1"/>
          <w14:textFill>
            <w14:solidFill>
              <w14:schemeClr w14:val="tx1"/>
            </w14:solidFill>
          </w14:textFill>
        </w:rPr>
        <w:t>10.</w:t>
      </w:r>
      <w:r>
        <w:rPr>
          <w:rFonts w:hint="eastAsia" w:hAnsi="黑体"/>
          <w:color w:val="000000" w:themeColor="text1"/>
          <w14:textFill>
            <w14:solidFill>
              <w14:schemeClr w14:val="tx1"/>
            </w14:solidFill>
          </w14:textFill>
        </w:rPr>
        <w:t>8</w:t>
      </w:r>
      <w:r>
        <w:rPr>
          <w:rFonts w:ascii="宋体" w:hAnsi="宋体" w:eastAsia="宋体"/>
          <w:color w:val="000000" w:themeColor="text1"/>
          <w14:textFill>
            <w14:solidFill>
              <w14:schemeClr w14:val="tx1"/>
            </w14:solidFill>
          </w14:textFill>
        </w:rPr>
        <w:t xml:space="preserve"> </w:t>
      </w:r>
      <w:r>
        <w:rPr>
          <w:rFonts w:hint="eastAsia" w:ascii="宋体" w:hAnsi="宋体" w:eastAsia="宋体"/>
          <w:color w:val="000000" w:themeColor="text1"/>
          <w14:textFill>
            <w14:solidFill>
              <w14:schemeClr w14:val="tx1"/>
            </w14:solidFill>
          </w14:textFill>
        </w:rPr>
        <w:t>标准实施信息及意见反馈表相关示例见附录C。</w:t>
      </w:r>
    </w:p>
    <w:p w14:paraId="5B88560B">
      <w:pPr>
        <w:pStyle w:val="81"/>
        <w:widowControl w:val="0"/>
        <w:numPr>
          <w:ilvl w:val="0"/>
          <w:numId w:val="0"/>
        </w:numPr>
        <w:spacing w:before="78" w:after="156"/>
        <w:jc w:val="both"/>
        <w:rPr>
          <w:color w:val="000000" w:themeColor="text1"/>
          <w14:textFill>
            <w14:solidFill>
              <w14:schemeClr w14:val="tx1"/>
            </w14:solidFill>
          </w14:textFill>
        </w:rPr>
        <w:sectPr>
          <w:pgSz w:w="11906" w:h="16838"/>
          <w:pgMar w:top="2410" w:right="1134" w:bottom="1134" w:left="1134" w:header="1418" w:footer="1134" w:gutter="284"/>
          <w:pgNumType w:start="1"/>
          <w:cols w:space="425" w:num="1"/>
          <w:formProt w:val="0"/>
          <w:docGrid w:type="lines" w:linePitch="312" w:charSpace="0"/>
        </w:sectPr>
      </w:pPr>
    </w:p>
    <w:p w14:paraId="5B88560C">
      <w:pPr>
        <w:pStyle w:val="81"/>
        <w:widowControl w:val="0"/>
        <w:spacing w:before="78" w:after="156"/>
        <w:rPr>
          <w:color w:val="000000" w:themeColor="text1"/>
          <w14:textFill>
            <w14:solidFill>
              <w14:schemeClr w14:val="tx1"/>
            </w14:solidFill>
          </w14:textFill>
        </w:rPr>
      </w:pPr>
      <w:r>
        <w:rPr>
          <w:color w:val="000000" w:themeColor="text1"/>
          <w14:textFill>
            <w14:solidFill>
              <w14:schemeClr w14:val="tx1"/>
            </w14:solidFill>
          </w14:textFill>
        </w:rPr>
        <w:br w:type="textWrapping"/>
      </w:r>
      <w:bookmarkStart w:id="577" w:name="_Toc236215126"/>
      <w:bookmarkStart w:id="578" w:name="_Toc240381780"/>
      <w:r>
        <w:rPr>
          <w:rFonts w:hint="eastAsia"/>
          <w:color w:val="000000" w:themeColor="text1"/>
          <w14:textFill>
            <w14:solidFill>
              <w14:schemeClr w14:val="tx1"/>
            </w14:solidFill>
          </w14:textFill>
        </w:rPr>
        <w:t>（资料性）</w:t>
      </w:r>
      <w:r>
        <w:rPr>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t>低空航路/航线划设评估指标要素计算参考方法</w:t>
      </w:r>
      <w:bookmarkEnd w:id="577"/>
      <w:bookmarkEnd w:id="578"/>
    </w:p>
    <w:p w14:paraId="5B88560D">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指标要素主要用于不同划设方案之间的横向对比、以及同一划设方案在时间维度的纵向对比，为划设方案的动态调整提供对照参考的着力点。低空飞行活动的时空动态特点导致在低空航路/航线划设前无法确定理论最优指标值。</w:t>
      </w:r>
    </w:p>
    <w:p w14:paraId="5B88560E">
      <w:pPr>
        <w:pStyle w:val="61"/>
        <w:widowControl w:val="0"/>
        <w:spacing w:before="78" w:after="156" w:afterLines="5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评估指标要素计算参考方法如下表A.1。</w:t>
      </w:r>
    </w:p>
    <w:p w14:paraId="5B88560F">
      <w:pPr>
        <w:pStyle w:val="82"/>
        <w:numPr>
          <w:ilvl w:val="1"/>
          <w:numId w:val="50"/>
        </w:numPr>
        <w:spacing w:before="156" w:after="156"/>
        <w:rPr>
          <w:rFonts w:hAnsi="宋体"/>
        </w:rPr>
      </w:pPr>
      <w:r>
        <w:rPr>
          <w:rFonts w:hint="eastAsia"/>
        </w:rPr>
        <w:t>低空航路/航线划设评估指标要素计算参考方法列表</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3827"/>
        <w:gridCol w:w="3537"/>
      </w:tblGrid>
      <w:tr w14:paraId="5B88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5B885610">
            <w:pPr>
              <w:pStyle w:val="61"/>
              <w:widowControl w:val="0"/>
              <w:ind w:firstLine="0" w:firstLineChars="0"/>
            </w:pPr>
            <w:r>
              <w:rPr>
                <w:rFonts w:hint="eastAsia"/>
              </w:rPr>
              <w:t>关键性能指标</w:t>
            </w:r>
          </w:p>
        </w:tc>
        <w:tc>
          <w:tcPr>
            <w:tcW w:w="3827" w:type="dxa"/>
          </w:tcPr>
          <w:p w14:paraId="5B885611">
            <w:pPr>
              <w:pStyle w:val="61"/>
              <w:widowControl w:val="0"/>
              <w:ind w:firstLine="0" w:firstLineChars="0"/>
            </w:pPr>
            <w:r>
              <w:rPr>
                <w:rFonts w:hint="eastAsia"/>
              </w:rPr>
              <w:t>计算参考方法</w:t>
            </w:r>
          </w:p>
        </w:tc>
        <w:tc>
          <w:tcPr>
            <w:tcW w:w="3537" w:type="dxa"/>
          </w:tcPr>
          <w:p w14:paraId="5B885612">
            <w:pPr>
              <w:pStyle w:val="61"/>
              <w:widowControl w:val="0"/>
              <w:ind w:firstLine="0" w:firstLineChars="0"/>
            </w:pPr>
            <w:r>
              <w:rPr>
                <w:rFonts w:hint="eastAsia"/>
              </w:rPr>
              <w:t>备注说明</w:t>
            </w:r>
          </w:p>
        </w:tc>
      </w:tr>
      <w:tr w14:paraId="5B88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980" w:type="dxa"/>
            <w:vMerge w:val="restart"/>
            <w:vAlign w:val="center"/>
          </w:tcPr>
          <w:p w14:paraId="5B885614">
            <w:pPr>
              <w:pStyle w:val="61"/>
              <w:widowControl w:val="0"/>
              <w:ind w:firstLine="0" w:firstLineChars="0"/>
              <w:jc w:val="left"/>
            </w:pPr>
            <w:r>
              <w:rPr>
                <w:rFonts w:hint="eastAsia"/>
              </w:rPr>
              <w:t xml:space="preserve">安全冗余度 </w:t>
            </w:r>
            <m:oMath>
              <m:sSub>
                <m:sSubPr>
                  <m:ctrlPr>
                    <w:rPr>
                      <w:rFonts w:ascii="Cambria Math" w:hAnsi="Cambria Math"/>
                      <w:i/>
                    </w:rPr>
                  </m:ctrlPr>
                </m:sSubPr>
                <m:e>
                  <m:r>
                    <m:rPr/>
                    <w:rPr>
                      <w:rFonts w:hint="eastAsia" w:ascii="Cambria Math" w:hAnsi="Cambria Math"/>
                    </w:rPr>
                    <m:t>R</m:t>
                  </m:r>
                  <m:ctrlPr>
                    <w:rPr>
                      <w:rFonts w:ascii="Cambria Math" w:hAnsi="Cambria Math"/>
                      <w:i/>
                    </w:rPr>
                  </m:ctrlPr>
                </m:e>
                <m:sub>
                  <m:r>
                    <m:rPr/>
                    <w:rPr>
                      <w:rFonts w:ascii="Cambria Math" w:hAnsi="Cambria Math"/>
                    </w:rPr>
                    <m:t>safe</m:t>
                  </m:r>
                  <m:ctrlPr>
                    <w:rPr>
                      <w:rFonts w:ascii="Cambria Math" w:hAnsi="Cambria Math"/>
                      <w:i/>
                    </w:rPr>
                  </m:ctrlPr>
                </m:sub>
              </m:sSub>
            </m:oMath>
          </w:p>
        </w:tc>
        <w:tc>
          <w:tcPr>
            <w:tcW w:w="3827" w:type="dxa"/>
            <w:vAlign w:val="center"/>
          </w:tcPr>
          <w:p w14:paraId="5B885615">
            <w:pPr>
              <w:pStyle w:val="61"/>
              <w:widowControl w:val="0"/>
              <w:ind w:firstLine="0" w:firstLineChars="0"/>
              <w:jc w:val="left"/>
            </w:pPr>
            <m:oMath>
              <m:sSub>
                <m:sSubPr>
                  <m:ctrlPr>
                    <w:rPr>
                      <w:rFonts w:ascii="Cambria Math" w:hAnsi="Cambria Math"/>
                      <w:i/>
                    </w:rPr>
                  </m:ctrlPr>
                </m:sSubPr>
                <m:e>
                  <m:r>
                    <m:rPr/>
                    <w:rPr>
                      <w:rFonts w:hint="eastAsia" w:ascii="Cambria Math" w:hAnsi="Cambria Math"/>
                    </w:rPr>
                    <m:t>R</m:t>
                  </m:r>
                  <m:ctrlPr>
                    <w:rPr>
                      <w:rFonts w:ascii="Cambria Math" w:hAnsi="Cambria Math"/>
                      <w:i/>
                    </w:rPr>
                  </m:ctrlPr>
                </m:e>
                <m:sub>
                  <m:r>
                    <m:rPr/>
                    <w:rPr>
                      <w:rFonts w:ascii="Cambria Math" w:hAnsi="Cambria Math"/>
                    </w:rPr>
                    <m:t>safe</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s</m:t>
                  </m:r>
                  <m:ctrlPr>
                    <w:rPr>
                      <w:rFonts w:ascii="Cambria Math" w:hAnsi="Cambria Math"/>
                      <w:i/>
                    </w:rPr>
                  </m:ctrlPr>
                </m:sub>
              </m:sSub>
              <m:sSub>
                <m:sSubPr>
                  <m:ctrlPr>
                    <w:rPr>
                      <w:rFonts w:ascii="Cambria Math" w:hAnsi="Cambria Math"/>
                      <w:i/>
                    </w:rPr>
                  </m:ctrlPr>
                </m:sSubPr>
                <m:e>
                  <m:r>
                    <m:rPr/>
                    <w:rPr>
                      <w:rFonts w:hint="eastAsia" w:ascii="Cambria Math" w:hAnsi="Cambria Math"/>
                    </w:rPr>
                    <m:t>R</m:t>
                  </m:r>
                  <m:ctrlPr>
                    <w:rPr>
                      <w:rFonts w:ascii="Cambria Math" w:hAnsi="Cambria Math"/>
                      <w:i/>
                    </w:rPr>
                  </m:ctrlPr>
                </m:e>
                <m:sub>
                  <m:r>
                    <m:rPr/>
                    <w:rPr>
                      <w:rFonts w:ascii="Cambria Math" w:hAnsi="Cambria Math"/>
                    </w:rPr>
                    <m:t>s</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o</m:t>
                  </m:r>
                  <m:ctrlPr>
                    <w:rPr>
                      <w:rFonts w:ascii="Cambria Math" w:hAnsi="Cambria Math"/>
                      <w:i/>
                    </w:rPr>
                  </m:ctrlPr>
                </m:sub>
              </m:sSub>
              <m:sSub>
                <m:sSubPr>
                  <m:ctrlPr>
                    <w:rPr>
                      <w:rFonts w:ascii="Cambria Math" w:hAnsi="Cambria Math"/>
                      <w:i/>
                    </w:rPr>
                  </m:ctrlPr>
                </m:sSubPr>
                <m:e>
                  <m:r>
                    <m:rPr/>
                    <w:rPr>
                      <w:rFonts w:hint="eastAsia" w:ascii="Cambria Math" w:hAnsi="Cambria Math"/>
                    </w:rPr>
                    <m:t>R</m:t>
                  </m:r>
                  <m:ctrlPr>
                    <w:rPr>
                      <w:rFonts w:ascii="Cambria Math" w:hAnsi="Cambria Math"/>
                      <w:i/>
                    </w:rPr>
                  </m:ctrlPr>
                </m:e>
                <m:sub>
                  <m:r>
                    <m:rPr/>
                    <w:rPr>
                      <w:rFonts w:ascii="Cambria Math" w:hAnsi="Cambria Math"/>
                    </w:rPr>
                    <m:t>o</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t</m:t>
                  </m:r>
                  <m:ctrlPr>
                    <w:rPr>
                      <w:rFonts w:ascii="Cambria Math" w:hAnsi="Cambria Math"/>
                      <w:i/>
                    </w:rPr>
                  </m:ctrlPr>
                </m:sub>
              </m:sSub>
              <m:sSub>
                <m:sSubPr>
                  <m:ctrlPr>
                    <w:rPr>
                      <w:rFonts w:ascii="Cambria Math" w:hAnsi="Cambria Math"/>
                      <w:i/>
                    </w:rPr>
                  </m:ctrlPr>
                </m:sSubPr>
                <m:e>
                  <m:r>
                    <m:rPr/>
                    <w:rPr>
                      <w:rFonts w:hint="eastAsia" w:ascii="Cambria Math" w:hAnsi="Cambria Math"/>
                    </w:rPr>
                    <m:t>R</m:t>
                  </m:r>
                  <m:ctrlPr>
                    <w:rPr>
                      <w:rFonts w:ascii="Cambria Math" w:hAnsi="Cambria Math"/>
                      <w:i/>
                    </w:rPr>
                  </m:ctrlPr>
                </m:e>
                <m:sub>
                  <m:r>
                    <m:rPr/>
                    <w:rPr>
                      <w:rFonts w:ascii="Cambria Math" w:hAnsi="Cambria Math"/>
                    </w:rPr>
                    <m:t>t</m:t>
                  </m:r>
                  <m:ctrlPr>
                    <w:rPr>
                      <w:rFonts w:ascii="Cambria Math" w:hAnsi="Cambria Math"/>
                      <w:i/>
                    </w:rPr>
                  </m:ctrlPr>
                </m:sub>
              </m:sSub>
            </m:oMath>
            <w:r>
              <w:t xml:space="preserve"> </w:t>
            </w:r>
          </w:p>
        </w:tc>
        <w:tc>
          <w:tcPr>
            <w:tcW w:w="3537" w:type="dxa"/>
            <w:vAlign w:val="center"/>
          </w:tcPr>
          <w:p w14:paraId="5B885616">
            <w:pPr>
              <w:pStyle w:val="61"/>
              <w:widowControl w:val="0"/>
              <w:ind w:firstLine="0" w:firstLineChars="0"/>
              <w:jc w:val="left"/>
              <w:rPr>
                <w:i/>
                <w:iCs/>
              </w:rPr>
            </w:pPr>
            <m:oMath>
              <m:sSub>
                <m:sSubPr>
                  <m:ctrlPr>
                    <w:rPr>
                      <w:rFonts w:ascii="Cambria Math" w:hAnsi="Cambria Math"/>
                      <w:i/>
                    </w:rPr>
                  </m:ctrlPr>
                </m:sSubPr>
                <m:e>
                  <m:r>
                    <m:rPr/>
                    <w:rPr>
                      <w:rFonts w:hint="eastAsia" w:ascii="Cambria Math" w:hAnsi="Cambria Math"/>
                    </w:rPr>
                    <m:t>R</m:t>
                  </m:r>
                  <m:ctrlPr>
                    <w:rPr>
                      <w:rFonts w:ascii="Cambria Math" w:hAnsi="Cambria Math"/>
                      <w:i/>
                    </w:rPr>
                  </m:ctrlPr>
                </m:e>
                <m:sub>
                  <m:r>
                    <m:rPr/>
                    <w:rPr>
                      <w:rFonts w:ascii="Cambria Math" w:hAnsi="Cambria Math"/>
                    </w:rPr>
                    <m:t>s</m:t>
                  </m:r>
                  <m:ctrlPr>
                    <w:rPr>
                      <w:rFonts w:ascii="Cambria Math" w:hAnsi="Cambria Math"/>
                      <w:i/>
                    </w:rPr>
                  </m:ctrlPr>
                </m:sub>
              </m:sSub>
            </m:oMath>
            <w:r>
              <w:rPr>
                <w:rFonts w:hint="eastAsia"/>
                <w:iCs/>
              </w:rPr>
              <w:t>表示空间冗余度（</w:t>
            </w:r>
            <w:r>
              <w:rPr>
                <w:iCs/>
              </w:rPr>
              <w:t>spatial redundancy</w:t>
            </w:r>
            <w:r>
              <w:rPr>
                <w:rFonts w:hint="eastAsia"/>
                <w:iCs/>
              </w:rPr>
              <w:t>），</w:t>
            </w:r>
            <m:oMath>
              <m:sSub>
                <m:sSubPr>
                  <m:ctrlPr>
                    <w:rPr>
                      <w:rFonts w:ascii="Cambria Math" w:hAnsi="Cambria Math"/>
                      <w:i/>
                    </w:rPr>
                  </m:ctrlPr>
                </m:sSubPr>
                <m:e>
                  <m:r>
                    <m:rPr/>
                    <w:rPr>
                      <w:rFonts w:hint="eastAsia" w:ascii="Cambria Math" w:hAnsi="Cambria Math"/>
                    </w:rPr>
                    <m:t>R</m:t>
                  </m:r>
                  <m:ctrlPr>
                    <w:rPr>
                      <w:rFonts w:ascii="Cambria Math" w:hAnsi="Cambria Math"/>
                      <w:i/>
                    </w:rPr>
                  </m:ctrlPr>
                </m:e>
                <m:sub>
                  <m:r>
                    <m:rPr/>
                    <w:rPr>
                      <w:rFonts w:ascii="Cambria Math" w:hAnsi="Cambria Math"/>
                    </w:rPr>
                    <m:t>o</m:t>
                  </m:r>
                  <m:ctrlPr>
                    <w:rPr>
                      <w:rFonts w:hint="eastAsia" w:ascii="Cambria Math" w:hAnsi="Cambria Math"/>
                      <w:i/>
                    </w:rPr>
                  </m:ctrlPr>
                </m:sub>
              </m:sSub>
            </m:oMath>
            <w:r>
              <w:rPr>
                <w:rFonts w:hint="eastAsia"/>
                <w:iCs/>
              </w:rPr>
              <w:t xml:space="preserve">表示运行冗余度（operational </w:t>
            </w:r>
            <w:r>
              <w:rPr>
                <w:iCs/>
              </w:rPr>
              <w:t>redundancy</w:t>
            </w:r>
            <w:r>
              <w:rPr>
                <w:rFonts w:hint="eastAsia"/>
                <w:iCs/>
              </w:rPr>
              <w:t>），</w:t>
            </w:r>
            <m:oMath>
              <m:sSub>
                <m:sSubPr>
                  <m:ctrlPr>
                    <w:rPr>
                      <w:rFonts w:ascii="Cambria Math" w:hAnsi="Cambria Math"/>
                      <w:i/>
                    </w:rPr>
                  </m:ctrlPr>
                </m:sSubPr>
                <m:e>
                  <m:r>
                    <m:rPr/>
                    <w:rPr>
                      <w:rFonts w:hint="eastAsia" w:ascii="Cambria Math" w:hAnsi="Cambria Math"/>
                    </w:rPr>
                    <m:t>R</m:t>
                  </m:r>
                  <m:ctrlPr>
                    <w:rPr>
                      <w:rFonts w:ascii="Cambria Math" w:hAnsi="Cambria Math"/>
                      <w:i/>
                    </w:rPr>
                  </m:ctrlPr>
                </m:e>
                <m:sub>
                  <m:r>
                    <m:rPr/>
                    <w:rPr>
                      <w:rFonts w:hint="eastAsia" w:ascii="Cambria Math" w:hAnsi="Cambria Math"/>
                    </w:rPr>
                    <m:t>t</m:t>
                  </m:r>
                  <m:ctrlPr>
                    <w:rPr>
                      <w:rFonts w:ascii="Cambria Math" w:hAnsi="Cambria Math"/>
                      <w:i/>
                    </w:rPr>
                  </m:ctrlPr>
                </m:sub>
              </m:sSub>
            </m:oMath>
            <w:r>
              <w:rPr>
                <w:rFonts w:hint="eastAsia"/>
                <w:iCs/>
              </w:rPr>
              <w:t xml:space="preserve">表示时间冗余度（temporal </w:t>
            </w:r>
            <w:r>
              <w:rPr>
                <w:iCs/>
              </w:rPr>
              <w:t>redundancy</w:t>
            </w:r>
            <w:r>
              <w:rPr>
                <w:rFonts w:hint="eastAsia"/>
                <w:iCs/>
              </w:rPr>
              <w:t>）；</w:t>
            </w:r>
            <m:oMath>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s</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o</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t</m:t>
                  </m:r>
                  <m:ctrlPr>
                    <w:rPr>
                      <w:rFonts w:ascii="Cambria Math" w:hAnsi="Cambria Math"/>
                      <w:i/>
                    </w:rPr>
                  </m:ctrlPr>
                </m:sub>
              </m:sSub>
              <m:r>
                <m:rPr/>
                <w:rPr>
                  <w:rFonts w:ascii="Cambria Math" w:hAnsi="Cambria Math"/>
                </w:rPr>
                <m:t>∈[0,1]</m:t>
              </m:r>
            </m:oMath>
            <w:r>
              <w:rPr>
                <w:rFonts w:hint="eastAsia"/>
              </w:rPr>
              <w:t>表示对应的权重系数，满足</w:t>
            </w:r>
            <m:oMath>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s</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o</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t</m:t>
                  </m:r>
                  <m:ctrlPr>
                    <w:rPr>
                      <w:rFonts w:ascii="Cambria Math" w:hAnsi="Cambria Math"/>
                      <w:i/>
                    </w:rPr>
                  </m:ctrlPr>
                </m:sub>
              </m:sSub>
              <m:r>
                <m:rPr/>
                <w:rPr>
                  <w:rFonts w:ascii="Cambria Math" w:hAnsi="Cambria Math"/>
                </w:rPr>
                <m:t>=1</m:t>
              </m:r>
            </m:oMath>
            <w:r>
              <w:rPr>
                <w:rFonts w:hint="eastAsia"/>
              </w:rPr>
              <w:t>。</w:t>
            </w:r>
          </w:p>
        </w:tc>
      </w:tr>
      <w:tr w14:paraId="5B885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980" w:type="dxa"/>
            <w:vMerge w:val="continue"/>
            <w:vAlign w:val="center"/>
          </w:tcPr>
          <w:p w14:paraId="5B885618">
            <w:pPr>
              <w:pStyle w:val="61"/>
              <w:widowControl w:val="0"/>
              <w:ind w:firstLine="0" w:firstLineChars="0"/>
              <w:jc w:val="left"/>
            </w:pPr>
          </w:p>
        </w:tc>
        <w:tc>
          <w:tcPr>
            <w:tcW w:w="3827" w:type="dxa"/>
            <w:vAlign w:val="center"/>
          </w:tcPr>
          <w:p w14:paraId="5B885619">
            <w:pPr>
              <w:pStyle w:val="61"/>
              <w:widowControl w:val="0"/>
              <w:ind w:firstLine="0" w:firstLineChars="0"/>
              <w:jc w:val="left"/>
            </w:pPr>
            <m:oMath>
              <m:sSub>
                <m:sSubPr>
                  <m:ctrlPr>
                    <w:rPr>
                      <w:rFonts w:ascii="Cambria Math" w:hAnsi="Cambria Math"/>
                      <w:i/>
                    </w:rPr>
                  </m:ctrlPr>
                </m:sSubPr>
                <m:e>
                  <m:r>
                    <m:rPr/>
                    <w:rPr>
                      <w:rFonts w:hint="eastAsia" w:ascii="Cambria Math" w:hAnsi="Cambria Math"/>
                    </w:rPr>
                    <m:t>R</m:t>
                  </m:r>
                  <m:ctrlPr>
                    <w:rPr>
                      <w:rFonts w:ascii="Cambria Math" w:hAnsi="Cambria Math"/>
                      <w:i/>
                    </w:rPr>
                  </m:ctrlPr>
                </m:e>
                <m:sub>
                  <m:r>
                    <m:rPr/>
                    <w:rPr>
                      <w:rFonts w:ascii="Cambria Math" w:hAnsi="Cambria Math"/>
                    </w:rPr>
                    <m:t>s</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α</m:t>
                  </m:r>
                  <m:ctrlPr>
                    <w:rPr>
                      <w:rFonts w:ascii="Cambria Math" w:hAnsi="Cambria Math"/>
                      <w:i/>
                    </w:rPr>
                  </m:ctrlPr>
                </m:e>
                <m:sub>
                  <m:r>
                    <m:rPr/>
                    <w:rPr>
                      <w:rFonts w:ascii="Cambria Math" w:hAnsi="Cambria Math"/>
                    </w:rPr>
                    <m:t>1</m:t>
                  </m:r>
                  <m:ctrlPr>
                    <w:rPr>
                      <w:rFonts w:ascii="Cambria Math" w:hAnsi="Cambria Math"/>
                      <w:i/>
                    </w:rPr>
                  </m:ctrlPr>
                </m:sub>
              </m:sSub>
              <m:f>
                <m:fPr>
                  <m:ctrlPr>
                    <w:rPr>
                      <w:rFonts w:ascii="Cambria Math" w:hAnsi="Cambria Math"/>
                      <w:i/>
                    </w:rPr>
                  </m:ctrlPr>
                </m:fPr>
                <m:num>
                  <m:r>
                    <m:rPr/>
                    <w:rPr>
                      <w:rFonts w:ascii="Cambria Math" w:hAnsi="Cambria Math"/>
                    </w:rPr>
                    <m:t>1</m:t>
                  </m:r>
                  <m:ctrlPr>
                    <w:rPr>
                      <w:rFonts w:ascii="Cambria Math" w:hAnsi="Cambria Math"/>
                      <w:i/>
                    </w:rPr>
                  </m:ctrlPr>
                </m:num>
                <m:den>
                  <m:r>
                    <m:rPr/>
                    <w:rPr>
                      <w:rFonts w:ascii="Cambria Math" w:hAnsi="Cambria Math"/>
                    </w:rPr>
                    <m:t>N</m:t>
                  </m:r>
                  <m:ctrlPr>
                    <w:rPr>
                      <w:rFonts w:ascii="Cambria Math" w:hAnsi="Cambria Math"/>
                      <w:i/>
                    </w:rPr>
                  </m:ctrlPr>
                </m:den>
              </m:f>
              <m:nary>
                <m:naryPr>
                  <m:chr m:val="∑"/>
                  <m:limLoc m:val="subSup"/>
                  <m:ctrlPr>
                    <w:rPr>
                      <w:rFonts w:ascii="Cambria Math" w:hAnsi="Cambria Math"/>
                      <w:i/>
                    </w:rPr>
                  </m:ctrlPr>
                </m:naryPr>
                <m:sub>
                  <m:r>
                    <m:rPr/>
                    <w:rPr>
                      <w:rFonts w:ascii="Cambria Math" w:hAnsi="Cambria Math"/>
                    </w:rPr>
                    <m:t>1</m:t>
                  </m:r>
                  <m:ctrlPr>
                    <w:rPr>
                      <w:rFonts w:ascii="Cambria Math" w:hAnsi="Cambria Math"/>
                      <w:i/>
                    </w:rPr>
                  </m:ctrlPr>
                </m:sub>
                <m:sup>
                  <m:r>
                    <m:rPr/>
                    <w:rPr>
                      <w:rFonts w:ascii="Cambria Math" w:hAnsi="Cambria Math"/>
                    </w:rPr>
                    <m:t>N</m:t>
                  </m:r>
                  <m:ctrlPr>
                    <w:rPr>
                      <w:rFonts w:ascii="Cambria Math" w:hAnsi="Cambria Math"/>
                      <w:i/>
                    </w:rPr>
                  </m:ctrlPr>
                </m:sup>
                <m:e>
                  <m:f>
                    <m:fPr>
                      <m:ctrlPr>
                        <w:rPr>
                          <w:rFonts w:ascii="Cambria Math" w:hAnsi="Cambria Math"/>
                          <w:i/>
                        </w:rPr>
                      </m:ctrlPr>
                    </m:fPr>
                    <m:num>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i</m:t>
                          </m:r>
                          <m:ctrlPr>
                            <w:rPr>
                              <w:rFonts w:ascii="Cambria Math" w:hAnsi="Cambria Math"/>
                              <w:i/>
                            </w:rPr>
                          </m:ctrlPr>
                        </m:sub>
                      </m:sSub>
                      <m:ctrlPr>
                        <w:rPr>
                          <w:rFonts w:ascii="Cambria Math" w:hAnsi="Cambria Math"/>
                          <w:i/>
                        </w:rPr>
                      </m:ctrlPr>
                    </m:num>
                    <m:den>
                      <m:sSubSup>
                        <m:sSubSupPr>
                          <m:ctrlPr>
                            <w:rPr>
                              <w:rFonts w:ascii="Cambria Math" w:hAnsi="Cambria Math"/>
                              <w:i/>
                            </w:rPr>
                          </m:ctrlPr>
                        </m:sSubSupPr>
                        <m:e>
                          <m:r>
                            <m:rPr/>
                            <w:rPr>
                              <w:rFonts w:ascii="Cambria Math" w:hAnsi="Cambria Math"/>
                            </w:rPr>
                            <m:t>d</m:t>
                          </m:r>
                          <m:ctrlPr>
                            <w:rPr>
                              <w:rFonts w:ascii="Cambria Math" w:hAnsi="Cambria Math"/>
                              <w:i/>
                            </w:rPr>
                          </m:ctrlPr>
                        </m:e>
                        <m:sub>
                          <m:r>
                            <m:rPr/>
                            <w:rPr>
                              <w:rFonts w:ascii="Cambria Math" w:hAnsi="Cambria Math"/>
                            </w:rPr>
                            <m:t>i</m:t>
                          </m:r>
                          <m:ctrlPr>
                            <w:rPr>
                              <w:rFonts w:ascii="Cambria Math" w:hAnsi="Cambria Math"/>
                              <w:i/>
                            </w:rPr>
                          </m:ctrlPr>
                        </m:sub>
                        <m:sup>
                          <m:r>
                            <m:rPr/>
                            <w:rPr>
                              <w:rFonts w:ascii="Cambria Math" w:hAnsi="Cambria Math"/>
                            </w:rPr>
                            <m:t>min</m:t>
                          </m:r>
                          <m:ctrlPr>
                            <w:rPr>
                              <w:rFonts w:ascii="Cambria Math" w:hAnsi="Cambria Math"/>
                              <w:i/>
                            </w:rPr>
                          </m:ctrlPr>
                        </m:sup>
                      </m:sSubSup>
                      <m:ctrlPr>
                        <w:rPr>
                          <w:rFonts w:ascii="Cambria Math" w:hAnsi="Cambria Math"/>
                          <w:i/>
                        </w:rPr>
                      </m:ctrlPr>
                    </m:den>
                  </m:f>
                  <m:ctrlPr>
                    <w:rPr>
                      <w:rFonts w:ascii="Cambria Math" w:hAnsi="Cambria Math"/>
                      <w:i/>
                    </w:rPr>
                  </m:ctrlPr>
                </m:e>
              </m:nary>
              <m:r>
                <m:rPr/>
                <w:rPr>
                  <w:rFonts w:ascii="Cambria Math" w:hAnsi="Cambria Math"/>
                </w:rPr>
                <m:t>+</m:t>
              </m:r>
              <m:sSub>
                <m:sSubPr>
                  <m:ctrlPr>
                    <w:rPr>
                      <w:rFonts w:ascii="Cambria Math" w:hAnsi="Cambria Math"/>
                      <w:i/>
                    </w:rPr>
                  </m:ctrlPr>
                </m:sSubPr>
                <m:e>
                  <m:r>
                    <m:rPr/>
                    <w:rPr>
                      <w:rFonts w:ascii="Cambria Math" w:hAnsi="Cambria Math"/>
                    </w:rPr>
                    <m:t>α</m:t>
                  </m:r>
                  <m:ctrlPr>
                    <w:rPr>
                      <w:rFonts w:ascii="Cambria Math" w:hAnsi="Cambria Math"/>
                      <w:i/>
                    </w:rPr>
                  </m:ctrlPr>
                </m:e>
                <m:sub>
                  <m:r>
                    <m:rPr/>
                    <w:rPr>
                      <w:rFonts w:ascii="Cambria Math" w:hAnsi="Cambria Math"/>
                    </w:rPr>
                    <m:t>2</m:t>
                  </m:r>
                  <m:ctrlPr>
                    <w:rPr>
                      <w:rFonts w:ascii="Cambria Math" w:hAnsi="Cambria Math"/>
                      <w:i/>
                    </w:rPr>
                  </m:ctrlPr>
                </m:sub>
              </m:sSub>
              <m:f>
                <m:fPr>
                  <m:ctrlPr>
                    <w:rPr>
                      <w:rFonts w:ascii="Cambria Math" w:hAnsi="Cambria Math"/>
                      <w:i/>
                    </w:rPr>
                  </m:ctrlPr>
                </m:fPr>
                <m:num>
                  <m:sSub>
                    <m:sSubPr>
                      <m:ctrlPr>
                        <w:rPr>
                          <w:rFonts w:ascii="Cambria Math" w:hAnsi="Cambria Math"/>
                          <w:i/>
                        </w:rPr>
                      </m:ctrlPr>
                    </m:sSubPr>
                    <m:e>
                      <m:r>
                        <m:rPr/>
                        <w:rPr>
                          <w:rFonts w:ascii="Cambria Math" w:hAnsi="Cambria Math"/>
                        </w:rPr>
                        <m:t>N</m:t>
                      </m:r>
                      <m:ctrlPr>
                        <w:rPr>
                          <w:rFonts w:ascii="Cambria Math" w:hAnsi="Cambria Math"/>
                          <w:i/>
                        </w:rPr>
                      </m:ctrlPr>
                    </m:e>
                    <m:sub>
                      <m:r>
                        <m:rPr/>
                        <w:rPr>
                          <w:rFonts w:ascii="Cambria Math" w:hAnsi="Cambria Math"/>
                        </w:rPr>
                        <m:t>al</m:t>
                      </m:r>
                      <m:r>
                        <m:rPr/>
                        <w:rPr>
                          <w:rFonts w:hint="eastAsia" w:ascii="Cambria Math" w:hAnsi="Cambria Math"/>
                        </w:rPr>
                        <m:t>t</m:t>
                      </m:r>
                      <m:ctrlPr>
                        <w:rPr>
                          <w:rFonts w:ascii="Cambria Math" w:hAnsi="Cambria Math"/>
                          <w:i/>
                        </w:rPr>
                      </m:ctrlPr>
                    </m:sub>
                  </m:sSub>
                  <m:ctrlPr>
                    <w:rPr>
                      <w:rFonts w:ascii="Cambria Math" w:hAnsi="Cambria Math"/>
                      <w:i/>
                    </w:rPr>
                  </m:ctrlPr>
                </m:num>
                <m:den>
                  <m:sSubSup>
                    <m:sSubSupPr>
                      <m:ctrlPr>
                        <w:rPr>
                          <w:rFonts w:ascii="Cambria Math" w:hAnsi="Cambria Math"/>
                          <w:i/>
                        </w:rPr>
                      </m:ctrlPr>
                    </m:sSubSupPr>
                    <m:e>
                      <m:r>
                        <m:rPr/>
                        <w:rPr>
                          <w:rFonts w:ascii="Cambria Math" w:hAnsi="Cambria Math"/>
                        </w:rPr>
                        <m:t>N</m:t>
                      </m:r>
                      <m:ctrlPr>
                        <w:rPr>
                          <w:rFonts w:ascii="Cambria Math" w:hAnsi="Cambria Math"/>
                          <w:i/>
                        </w:rPr>
                      </m:ctrlPr>
                    </m:e>
                    <m:sub>
                      <m:r>
                        <m:rPr/>
                        <w:rPr>
                          <w:rFonts w:ascii="Cambria Math" w:hAnsi="Cambria Math"/>
                        </w:rPr>
                        <m:t>al</m:t>
                      </m:r>
                      <m:r>
                        <m:rPr/>
                        <w:rPr>
                          <w:rFonts w:hint="eastAsia" w:ascii="Cambria Math" w:hAnsi="Cambria Math"/>
                        </w:rPr>
                        <m:t>t</m:t>
                      </m:r>
                      <m:ctrlPr>
                        <w:rPr>
                          <w:rFonts w:ascii="Cambria Math" w:hAnsi="Cambria Math"/>
                          <w:i/>
                        </w:rPr>
                      </m:ctrlPr>
                    </m:sub>
                    <m:sup>
                      <m:r>
                        <m:rPr/>
                        <w:rPr>
                          <w:rFonts w:ascii="Cambria Math" w:hAnsi="Cambria Math"/>
                        </w:rPr>
                        <m:t>req</m:t>
                      </m:r>
                      <m:ctrlPr>
                        <w:rPr>
                          <w:rFonts w:ascii="Cambria Math" w:hAnsi="Cambria Math"/>
                          <w:i/>
                        </w:rPr>
                      </m:ctrlPr>
                    </m:sup>
                  </m:sSubSup>
                  <m:ctrlPr>
                    <w:rPr>
                      <w:rFonts w:ascii="Cambria Math" w:hAnsi="Cambria Math"/>
                      <w:i/>
                    </w:rPr>
                  </m:ctrlPr>
                </m:den>
              </m:f>
            </m:oMath>
            <w:r>
              <w:t xml:space="preserve"> </w:t>
            </w:r>
          </w:p>
        </w:tc>
        <w:tc>
          <w:tcPr>
            <w:tcW w:w="3537" w:type="dxa"/>
            <w:vAlign w:val="center"/>
          </w:tcPr>
          <w:p w14:paraId="5B88561A">
            <w:pPr>
              <w:pStyle w:val="61"/>
              <w:widowControl w:val="0"/>
              <w:ind w:firstLine="0" w:firstLineChars="0"/>
              <w:jc w:val="left"/>
              <w:rPr>
                <w:i/>
              </w:rPr>
            </w:pPr>
            <m:oMath>
              <m:r>
                <m:rPr/>
                <w:rPr>
                  <w:rFonts w:ascii="Cambria Math" w:hAnsi="Cambria Math"/>
                </w:rPr>
                <m:t>N</m:t>
              </m:r>
            </m:oMath>
            <w:r>
              <w:rPr>
                <w:rFonts w:hint="eastAsia"/>
              </w:rPr>
              <w:t>表示各类障碍物的总量，</w:t>
            </w:r>
            <m:oMath>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i</m:t>
                  </m:r>
                  <m:ctrlPr>
                    <w:rPr>
                      <w:rFonts w:ascii="Cambria Math" w:hAnsi="Cambria Math"/>
                      <w:i/>
                    </w:rPr>
                  </m:ctrlPr>
                </m:sub>
              </m:sSub>
            </m:oMath>
            <w:r>
              <w:rPr>
                <w:rFonts w:hint="eastAsia"/>
              </w:rPr>
              <w:t>表示航路点到第i类障碍物的实际距离，</w:t>
            </w:r>
            <m:oMath>
              <m:sSubSup>
                <m:sSubSupPr>
                  <m:ctrlPr>
                    <w:rPr>
                      <w:rFonts w:ascii="Cambria Math" w:hAnsi="Cambria Math"/>
                      <w:i/>
                    </w:rPr>
                  </m:ctrlPr>
                </m:sSubSupPr>
                <m:e>
                  <m:r>
                    <m:rPr/>
                    <w:rPr>
                      <w:rFonts w:ascii="Cambria Math" w:hAnsi="Cambria Math"/>
                    </w:rPr>
                    <m:t>d</m:t>
                  </m:r>
                  <m:ctrlPr>
                    <w:rPr>
                      <w:rFonts w:ascii="Cambria Math" w:hAnsi="Cambria Math"/>
                      <w:i/>
                    </w:rPr>
                  </m:ctrlPr>
                </m:e>
                <m:sub>
                  <m:r>
                    <m:rPr/>
                    <w:rPr>
                      <w:rFonts w:ascii="Cambria Math" w:hAnsi="Cambria Math"/>
                    </w:rPr>
                    <m:t>i</m:t>
                  </m:r>
                  <m:ctrlPr>
                    <w:rPr>
                      <w:rFonts w:ascii="Cambria Math" w:hAnsi="Cambria Math"/>
                      <w:i/>
                    </w:rPr>
                  </m:ctrlPr>
                </m:sub>
                <m:sup>
                  <m:r>
                    <m:rPr/>
                    <w:rPr>
                      <w:rFonts w:ascii="Cambria Math" w:hAnsi="Cambria Math"/>
                    </w:rPr>
                    <m:t>min</m:t>
                  </m:r>
                  <m:ctrlPr>
                    <w:rPr>
                      <w:rFonts w:ascii="Cambria Math" w:hAnsi="Cambria Math"/>
                      <w:i/>
                    </w:rPr>
                  </m:ctrlPr>
                </m:sup>
              </m:sSubSup>
            </m:oMath>
            <w:r>
              <w:rPr>
                <w:rFonts w:hint="eastAsia"/>
              </w:rPr>
              <w:t>表示对应的最小安全距离，</w:t>
            </w:r>
            <m:oMath>
              <m:sSub>
                <m:sSubPr>
                  <m:ctrlPr>
                    <w:rPr>
                      <w:rFonts w:ascii="Cambria Math" w:hAnsi="Cambria Math"/>
                      <w:i/>
                    </w:rPr>
                  </m:ctrlPr>
                </m:sSubPr>
                <m:e>
                  <m:r>
                    <m:rPr/>
                    <w:rPr>
                      <w:rFonts w:ascii="Cambria Math" w:hAnsi="Cambria Math"/>
                    </w:rPr>
                    <m:t>N</m:t>
                  </m:r>
                  <m:ctrlPr>
                    <w:rPr>
                      <w:rFonts w:ascii="Cambria Math" w:hAnsi="Cambria Math"/>
                      <w:i/>
                    </w:rPr>
                  </m:ctrlPr>
                </m:e>
                <m:sub>
                  <m:r>
                    <m:rPr/>
                    <w:rPr>
                      <w:rFonts w:ascii="Cambria Math" w:hAnsi="Cambria Math"/>
                    </w:rPr>
                    <m:t>al</m:t>
                  </m:r>
                  <m:r>
                    <m:rPr/>
                    <w:rPr>
                      <w:rFonts w:hint="eastAsia" w:ascii="Cambria Math" w:hAnsi="Cambria Math"/>
                    </w:rPr>
                    <m:t>t</m:t>
                  </m:r>
                  <m:ctrlPr>
                    <w:rPr>
                      <w:rFonts w:ascii="Cambria Math" w:hAnsi="Cambria Math"/>
                      <w:i/>
                    </w:rPr>
                  </m:ctrlPr>
                </m:sub>
              </m:sSub>
            </m:oMath>
            <w:r>
              <w:rPr>
                <w:rFonts w:hint="eastAsia"/>
              </w:rPr>
              <w:t>表示可用备降场</w:t>
            </w:r>
            <w:r>
              <w:rPr>
                <w:rFonts w:hint="eastAsia"/>
                <w:color w:val="000000" w:themeColor="text1"/>
                <w14:textFill>
                  <w14:solidFill>
                    <w14:schemeClr w14:val="tx1"/>
                  </w14:solidFill>
                </w14:textFill>
              </w:rPr>
              <w:t>/备降点</w:t>
            </w:r>
            <w:r>
              <w:rPr>
                <w:rFonts w:hint="eastAsia"/>
              </w:rPr>
              <w:t>数量，</w:t>
            </w:r>
            <m:oMath>
              <m:sSubSup>
                <m:sSubSupPr>
                  <m:ctrlPr>
                    <w:rPr>
                      <w:rFonts w:ascii="Cambria Math" w:hAnsi="Cambria Math"/>
                      <w:i/>
                    </w:rPr>
                  </m:ctrlPr>
                </m:sSubSupPr>
                <m:e>
                  <m:r>
                    <m:rPr/>
                    <w:rPr>
                      <w:rFonts w:ascii="Cambria Math" w:hAnsi="Cambria Math"/>
                    </w:rPr>
                    <m:t>N</m:t>
                  </m:r>
                  <m:ctrlPr>
                    <w:rPr>
                      <w:rFonts w:ascii="Cambria Math" w:hAnsi="Cambria Math"/>
                      <w:i/>
                    </w:rPr>
                  </m:ctrlPr>
                </m:e>
                <m:sub>
                  <m:r>
                    <m:rPr/>
                    <w:rPr>
                      <w:rFonts w:ascii="Cambria Math" w:hAnsi="Cambria Math"/>
                    </w:rPr>
                    <m:t>al</m:t>
                  </m:r>
                  <m:r>
                    <m:rPr/>
                    <w:rPr>
                      <w:rFonts w:hint="eastAsia" w:ascii="Cambria Math" w:hAnsi="Cambria Math"/>
                    </w:rPr>
                    <m:t>t</m:t>
                  </m:r>
                  <m:ctrlPr>
                    <w:rPr>
                      <w:rFonts w:ascii="Cambria Math" w:hAnsi="Cambria Math"/>
                      <w:i/>
                    </w:rPr>
                  </m:ctrlPr>
                </m:sub>
                <m:sup>
                  <m:r>
                    <m:rPr/>
                    <w:rPr>
                      <w:rFonts w:ascii="Cambria Math" w:hAnsi="Cambria Math"/>
                    </w:rPr>
                    <m:t>req</m:t>
                  </m:r>
                  <m:ctrlPr>
                    <w:rPr>
                      <w:rFonts w:ascii="Cambria Math" w:hAnsi="Cambria Math"/>
                      <w:i/>
                    </w:rPr>
                  </m:ctrlPr>
                </m:sup>
              </m:sSubSup>
            </m:oMath>
            <w:r>
              <w:rPr>
                <w:rFonts w:hint="eastAsia"/>
              </w:rPr>
              <w:t>表示备降场</w:t>
            </w:r>
            <w:r>
              <w:rPr>
                <w:rFonts w:hint="eastAsia"/>
                <w:color w:val="000000" w:themeColor="text1"/>
                <w14:textFill>
                  <w14:solidFill>
                    <w14:schemeClr w14:val="tx1"/>
                  </w14:solidFill>
                </w14:textFill>
              </w:rPr>
              <w:t>/备降点</w:t>
            </w:r>
            <w:r>
              <w:rPr>
                <w:rFonts w:hint="eastAsia"/>
              </w:rPr>
              <w:t>最低要求数量，权重系数</w:t>
            </w:r>
            <m:oMath>
              <m:sSub>
                <m:sSubPr>
                  <m:ctrlPr>
                    <w:rPr>
                      <w:rFonts w:ascii="Cambria Math" w:hAnsi="Cambria Math"/>
                      <w:i/>
                    </w:rPr>
                  </m:ctrlPr>
                </m:sSubPr>
                <m:e>
                  <m:r>
                    <m:rPr/>
                    <w:rPr>
                      <w:rFonts w:ascii="Cambria Math" w:hAnsi="Cambria Math"/>
                    </w:rPr>
                    <m:t>α</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α</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=1</m:t>
              </m:r>
            </m:oMath>
            <w:r>
              <w:rPr>
                <w:rFonts w:hint="eastAsia"/>
              </w:rPr>
              <w:t>。</w:t>
            </w:r>
          </w:p>
        </w:tc>
      </w:tr>
      <w:tr w14:paraId="5B88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980" w:type="dxa"/>
            <w:vMerge w:val="continue"/>
            <w:vAlign w:val="center"/>
          </w:tcPr>
          <w:p w14:paraId="5B88561C">
            <w:pPr>
              <w:pStyle w:val="61"/>
              <w:widowControl w:val="0"/>
              <w:ind w:firstLine="0" w:firstLineChars="0"/>
              <w:jc w:val="left"/>
            </w:pPr>
          </w:p>
        </w:tc>
        <w:tc>
          <w:tcPr>
            <w:tcW w:w="3827" w:type="dxa"/>
            <w:vAlign w:val="center"/>
          </w:tcPr>
          <w:p w14:paraId="5B88561D">
            <w:pPr>
              <w:pStyle w:val="61"/>
              <w:widowControl w:val="0"/>
              <w:ind w:firstLine="0" w:firstLineChars="0"/>
              <w:jc w:val="left"/>
            </w:pPr>
            <m:oMath>
              <m:sSub>
                <m:sSubPr>
                  <m:ctrlPr>
                    <w:rPr>
                      <w:rFonts w:ascii="Cambria Math" w:hAnsi="Cambria Math"/>
                      <w:i/>
                    </w:rPr>
                  </m:ctrlPr>
                </m:sSubPr>
                <m:e>
                  <m:r>
                    <m:rPr/>
                    <w:rPr>
                      <w:rFonts w:hint="eastAsia" w:ascii="Cambria Math" w:hAnsi="Cambria Math"/>
                    </w:rPr>
                    <m:t>R</m:t>
                  </m:r>
                  <m:ctrlPr>
                    <w:rPr>
                      <w:rFonts w:ascii="Cambria Math" w:hAnsi="Cambria Math"/>
                      <w:i/>
                    </w:rPr>
                  </m:ctrlPr>
                </m:e>
                <m:sub>
                  <m:r>
                    <m:rPr/>
                    <w:rPr>
                      <w:rFonts w:ascii="Cambria Math" w:hAnsi="Cambria Math"/>
                    </w:rPr>
                    <m:t>o</m:t>
                  </m:r>
                  <m:ctrlPr>
                    <w:rPr>
                      <w:rFonts w:ascii="Cambria Math" w:hAnsi="Cambria Math"/>
                      <w:i/>
                    </w:rPr>
                  </m:ctrlPr>
                </m:sub>
              </m:sSub>
              <m:r>
                <m:rPr/>
                <w:rPr>
                  <w:rFonts w:ascii="Cambria Math" w:hAnsi="Cambria Math"/>
                </w:rPr>
                <m:t>=</m:t>
              </m:r>
              <m:f>
                <m:fPr>
                  <m:ctrlPr>
                    <w:rPr>
                      <w:rFonts w:ascii="Cambria Math" w:hAnsi="Cambria Math"/>
                      <w:i/>
                    </w:rPr>
                  </m:ctrlPr>
                </m:fPr>
                <m:num>
                  <m:r>
                    <m:rPr/>
                    <w:rPr>
                      <w:rFonts w:ascii="Cambria Math" w:hAnsi="Cambria Math"/>
                    </w:rPr>
                    <m:t>1</m:t>
                  </m:r>
                  <m:ctrlPr>
                    <w:rPr>
                      <w:rFonts w:ascii="Cambria Math" w:hAnsi="Cambria Math"/>
                      <w:i/>
                    </w:rPr>
                  </m:ctrlPr>
                </m:num>
                <m:den>
                  <m:r>
                    <m:rPr/>
                    <w:rPr>
                      <w:rFonts w:ascii="Cambria Math" w:hAnsi="Cambria Math"/>
                    </w:rPr>
                    <m:t>M</m:t>
                  </m:r>
                  <m:ctrlPr>
                    <w:rPr>
                      <w:rFonts w:ascii="Cambria Math" w:hAnsi="Cambria Math"/>
                      <w:i/>
                    </w:rPr>
                  </m:ctrlPr>
                </m:den>
              </m:f>
              <m:nary>
                <m:naryPr>
                  <m:chr m:val="∑"/>
                  <m:limLoc m:val="subSup"/>
                  <m:ctrlPr>
                    <w:rPr>
                      <w:rFonts w:ascii="Cambria Math" w:hAnsi="Cambria Math"/>
                      <w:i/>
                    </w:rPr>
                  </m:ctrlPr>
                </m:naryPr>
                <m:sub>
                  <m:r>
                    <m:rPr/>
                    <w:rPr>
                      <w:rFonts w:ascii="Cambria Math" w:hAnsi="Cambria Math"/>
                    </w:rPr>
                    <m:t>1</m:t>
                  </m:r>
                  <m:ctrlPr>
                    <w:rPr>
                      <w:rFonts w:ascii="Cambria Math" w:hAnsi="Cambria Math"/>
                      <w:i/>
                    </w:rPr>
                  </m:ctrlPr>
                </m:sub>
                <m:sup>
                  <m:r>
                    <m:rPr/>
                    <w:rPr>
                      <w:rFonts w:ascii="Cambria Math" w:hAnsi="Cambria Math"/>
                    </w:rPr>
                    <m:t>M</m:t>
                  </m:r>
                  <m:ctrlPr>
                    <w:rPr>
                      <w:rFonts w:ascii="Cambria Math" w:hAnsi="Cambria Math"/>
                      <w:i/>
                    </w:rPr>
                  </m:ctrlPr>
                </m:sup>
                <m:e>
                  <m:f>
                    <m:fPr>
                      <m:ctrlPr>
                        <w:rPr>
                          <w:rFonts w:ascii="Cambria Math" w:hAnsi="Cambria Math"/>
                          <w:i/>
                        </w:rPr>
                      </m:ctrlPr>
                    </m:fPr>
                    <m:num>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j</m:t>
                          </m:r>
                          <m:ctrlPr>
                            <w:rPr>
                              <w:rFonts w:ascii="Cambria Math" w:hAnsi="Cambria Math"/>
                              <w:i/>
                            </w:rPr>
                          </m:ctrlPr>
                        </m:sub>
                      </m:sSub>
                      <m:ctrlPr>
                        <w:rPr>
                          <w:rFonts w:ascii="Cambria Math" w:hAnsi="Cambria Math"/>
                          <w:i/>
                        </w:rPr>
                      </m:ctrlPr>
                    </m:num>
                    <m:den>
                      <m:sSubSup>
                        <m:sSubSupPr>
                          <m:ctrlPr>
                            <w:rPr>
                              <w:rFonts w:ascii="Cambria Math" w:hAnsi="Cambria Math"/>
                              <w:i/>
                            </w:rPr>
                          </m:ctrlPr>
                        </m:sSubSupPr>
                        <m:e>
                          <m:r>
                            <m:rPr/>
                            <w:rPr>
                              <w:rFonts w:ascii="Cambria Math" w:hAnsi="Cambria Math"/>
                            </w:rPr>
                            <m:t>D</m:t>
                          </m:r>
                          <m:ctrlPr>
                            <w:rPr>
                              <w:rFonts w:ascii="Cambria Math" w:hAnsi="Cambria Math"/>
                              <w:i/>
                            </w:rPr>
                          </m:ctrlPr>
                        </m:e>
                        <m:sub>
                          <m:r>
                            <m:rPr/>
                            <w:rPr>
                              <w:rFonts w:ascii="Cambria Math" w:hAnsi="Cambria Math"/>
                            </w:rPr>
                            <m:t>j</m:t>
                          </m:r>
                          <m:ctrlPr>
                            <w:rPr>
                              <w:rFonts w:ascii="Cambria Math" w:hAnsi="Cambria Math"/>
                              <w:i/>
                            </w:rPr>
                          </m:ctrlPr>
                        </m:sub>
                        <m:sup>
                          <m:r>
                            <m:rPr/>
                            <w:rPr>
                              <w:rFonts w:ascii="Cambria Math" w:hAnsi="Cambria Math"/>
                            </w:rPr>
                            <m:t>safe</m:t>
                          </m:r>
                          <m:ctrlPr>
                            <w:rPr>
                              <w:rFonts w:ascii="Cambria Math" w:hAnsi="Cambria Math"/>
                              <w:i/>
                            </w:rPr>
                          </m:ctrlPr>
                        </m:sup>
                      </m:sSubSup>
                      <m:ctrlPr>
                        <w:rPr>
                          <w:rFonts w:ascii="Cambria Math" w:hAnsi="Cambria Math"/>
                          <w:i/>
                        </w:rPr>
                      </m:ctrlPr>
                    </m:den>
                  </m:f>
                  <m:ctrlPr>
                    <w:rPr>
                      <w:rFonts w:ascii="Cambria Math" w:hAnsi="Cambria Math"/>
                      <w:i/>
                    </w:rPr>
                  </m:ctrlPr>
                </m:e>
              </m:nary>
            </m:oMath>
            <w:r>
              <w:t xml:space="preserve"> </w:t>
            </w:r>
          </w:p>
        </w:tc>
        <w:tc>
          <w:tcPr>
            <w:tcW w:w="3537" w:type="dxa"/>
            <w:vAlign w:val="center"/>
          </w:tcPr>
          <w:p w14:paraId="5B88561E">
            <w:pPr>
              <w:pStyle w:val="61"/>
              <w:widowControl w:val="0"/>
              <w:ind w:firstLine="0" w:firstLineChars="0"/>
              <w:jc w:val="left"/>
            </w:pPr>
            <m:oMath>
              <m:r>
                <m:rPr/>
                <w:rPr>
                  <w:rFonts w:hint="eastAsia" w:ascii="Cambria Math" w:hAnsi="Cambria Math"/>
                </w:rPr>
                <m:t>M</m:t>
              </m:r>
            </m:oMath>
            <w:r>
              <w:rPr>
                <w:rFonts w:hint="eastAsia"/>
              </w:rPr>
              <w:t>表示敏感区（例如民航机场、军事区等）的总量，</w:t>
            </w:r>
            <m:oMath>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j</m:t>
                  </m:r>
                  <m:ctrlPr>
                    <w:rPr>
                      <w:rFonts w:ascii="Cambria Math" w:hAnsi="Cambria Math"/>
                      <w:i/>
                    </w:rPr>
                  </m:ctrlPr>
                </m:sub>
              </m:sSub>
            </m:oMath>
            <w:r>
              <w:rPr>
                <w:rFonts w:hint="eastAsia"/>
              </w:rPr>
              <w:t>表示低空</w:t>
            </w:r>
            <w:r>
              <w:rPr>
                <w:rFonts w:hint="eastAsia" w:hAnsi="宋体"/>
                <w:color w:val="000000" w:themeColor="text1"/>
                <w14:textFill>
                  <w14:solidFill>
                    <w14:schemeClr w14:val="tx1"/>
                  </w14:solidFill>
                </w14:textFill>
              </w:rPr>
              <w:t>航路/</w:t>
            </w:r>
            <w:r>
              <w:rPr>
                <w:rFonts w:hint="eastAsia"/>
              </w:rPr>
              <w:t>航线到第j个敏感区的距离，</w:t>
            </w:r>
            <m:oMath>
              <m:sSubSup>
                <m:sSubSupPr>
                  <m:ctrlPr>
                    <w:rPr>
                      <w:rFonts w:ascii="Cambria Math" w:hAnsi="Cambria Math"/>
                      <w:i/>
                    </w:rPr>
                  </m:ctrlPr>
                </m:sSubSupPr>
                <m:e>
                  <m:r>
                    <m:rPr/>
                    <w:rPr>
                      <w:rFonts w:ascii="Cambria Math" w:hAnsi="Cambria Math"/>
                    </w:rPr>
                    <m:t>D</m:t>
                  </m:r>
                  <m:ctrlPr>
                    <w:rPr>
                      <w:rFonts w:ascii="Cambria Math" w:hAnsi="Cambria Math"/>
                      <w:i/>
                    </w:rPr>
                  </m:ctrlPr>
                </m:e>
                <m:sub>
                  <m:r>
                    <m:rPr/>
                    <w:rPr>
                      <w:rFonts w:ascii="Cambria Math" w:hAnsi="Cambria Math"/>
                    </w:rPr>
                    <m:t>j</m:t>
                  </m:r>
                  <m:ctrlPr>
                    <w:rPr>
                      <w:rFonts w:ascii="Cambria Math" w:hAnsi="Cambria Math"/>
                      <w:i/>
                    </w:rPr>
                  </m:ctrlPr>
                </m:sub>
                <m:sup>
                  <m:r>
                    <m:rPr/>
                    <w:rPr>
                      <w:rFonts w:ascii="Cambria Math" w:hAnsi="Cambria Math"/>
                    </w:rPr>
                    <m:t>safe</m:t>
                  </m:r>
                  <m:ctrlPr>
                    <w:rPr>
                      <w:rFonts w:ascii="Cambria Math" w:hAnsi="Cambria Math"/>
                      <w:i/>
                    </w:rPr>
                  </m:ctrlPr>
                </m:sup>
              </m:sSubSup>
            </m:oMath>
            <w:r>
              <w:rPr>
                <w:rFonts w:hint="eastAsia"/>
              </w:rPr>
              <w:t>表示对应的安全缓冲距离。</w:t>
            </w:r>
          </w:p>
        </w:tc>
      </w:tr>
      <w:tr w14:paraId="5B88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980" w:type="dxa"/>
            <w:vMerge w:val="continue"/>
            <w:vAlign w:val="center"/>
          </w:tcPr>
          <w:p w14:paraId="5B885620">
            <w:pPr>
              <w:pStyle w:val="61"/>
              <w:widowControl w:val="0"/>
              <w:ind w:firstLine="0" w:firstLineChars="0"/>
              <w:jc w:val="left"/>
            </w:pPr>
          </w:p>
        </w:tc>
        <w:tc>
          <w:tcPr>
            <w:tcW w:w="3827" w:type="dxa"/>
            <w:vAlign w:val="center"/>
          </w:tcPr>
          <w:p w14:paraId="5B885621">
            <w:pPr>
              <w:pStyle w:val="61"/>
              <w:widowControl w:val="0"/>
              <w:ind w:firstLine="0" w:firstLineChars="0"/>
              <w:jc w:val="left"/>
            </w:pPr>
            <m:oMath>
              <m:sSub>
                <m:sSubPr>
                  <m:ctrlPr>
                    <w:rPr>
                      <w:rFonts w:ascii="Cambria Math" w:hAnsi="Cambria Math"/>
                      <w:i/>
                    </w:rPr>
                  </m:ctrlPr>
                </m:sSubPr>
                <m:e>
                  <m:r>
                    <m:rPr/>
                    <w:rPr>
                      <w:rFonts w:hint="eastAsia" w:ascii="Cambria Math" w:hAnsi="Cambria Math"/>
                    </w:rPr>
                    <m:t>R</m:t>
                  </m:r>
                  <m:ctrlPr>
                    <w:rPr>
                      <w:rFonts w:ascii="Cambria Math" w:hAnsi="Cambria Math"/>
                      <w:i/>
                    </w:rPr>
                  </m:ctrlPr>
                </m:e>
                <m:sub>
                  <m:r>
                    <m:rPr/>
                    <w:rPr>
                      <w:rFonts w:hint="eastAsia" w:ascii="Cambria Math" w:hAnsi="Cambria Math"/>
                    </w:rPr>
                    <m:t>t</m:t>
                  </m:r>
                  <m:ctrlPr>
                    <w:rPr>
                      <w:rFonts w:ascii="Cambria Math" w:hAnsi="Cambria Math"/>
                      <w:i/>
                    </w:rPr>
                  </m:ctrlPr>
                </m:sub>
              </m:sSub>
              <m:r>
                <m:rPr/>
                <w:rPr>
                  <w:rFonts w:ascii="Cambria Math" w:hAnsi="Cambria Math"/>
                </w:rPr>
                <m:t>=1−</m:t>
              </m:r>
              <m:f>
                <m:fPr>
                  <m:ctrlPr>
                    <w:rPr>
                      <w:rFonts w:ascii="Cambria Math" w:hAnsi="Cambria Math"/>
                      <w:i/>
                    </w:rPr>
                  </m:ctrlPr>
                </m:fPr>
                <m:num>
                  <m:r>
                    <m:rPr/>
                    <w:rPr>
                      <w:rFonts w:hint="eastAsia" w:ascii="Cambria Math" w:hAnsi="Cambria Math"/>
                    </w:rPr>
                    <m:t>C</m:t>
                  </m:r>
                  <m:ctrlPr>
                    <w:rPr>
                      <w:rFonts w:ascii="Cambria Math" w:hAnsi="Cambria Math"/>
                      <w:i/>
                    </w:rPr>
                  </m:ctrlPr>
                </m:num>
                <m:den>
                  <m:sSub>
                    <m:sSubPr>
                      <m:ctrlPr>
                        <w:rPr>
                          <w:rFonts w:ascii="Cambria Math" w:hAnsi="Cambria Math"/>
                          <w:i/>
                        </w:rPr>
                      </m:ctrlPr>
                    </m:sSubPr>
                    <m:e>
                      <m:r>
                        <m:rPr/>
                        <w:rPr>
                          <w:rFonts w:hint="eastAsia" w:ascii="Cambria Math" w:hAnsi="Cambria Math"/>
                        </w:rPr>
                        <m:t>C</m:t>
                      </m:r>
                      <m:ctrlPr>
                        <w:rPr>
                          <w:rFonts w:ascii="Cambria Math" w:hAnsi="Cambria Math"/>
                          <w:i/>
                        </w:rPr>
                      </m:ctrlPr>
                    </m:e>
                    <m:sub>
                      <m:r>
                        <m:rPr/>
                        <w:rPr>
                          <w:rFonts w:hint="eastAsia" w:ascii="Cambria Math" w:hAnsi="Cambria Math"/>
                        </w:rPr>
                        <m:t>max</m:t>
                      </m:r>
                      <m:ctrlPr>
                        <w:rPr>
                          <w:rFonts w:ascii="Cambria Math" w:hAnsi="Cambria Math"/>
                          <w:i/>
                        </w:rPr>
                      </m:ctrlPr>
                    </m:sub>
                  </m:sSub>
                  <m:ctrlPr>
                    <w:rPr>
                      <w:rFonts w:ascii="Cambria Math" w:hAnsi="Cambria Math"/>
                      <w:i/>
                    </w:rPr>
                  </m:ctrlPr>
                </m:den>
              </m:f>
            </m:oMath>
            <w:r>
              <w:rPr>
                <w:rFonts w:hint="eastAsia"/>
              </w:rPr>
              <w:t xml:space="preserve"> </w:t>
            </w:r>
          </w:p>
        </w:tc>
        <w:tc>
          <w:tcPr>
            <w:tcW w:w="3537" w:type="dxa"/>
            <w:vAlign w:val="center"/>
          </w:tcPr>
          <w:p w14:paraId="5B885622">
            <w:pPr>
              <w:pStyle w:val="61"/>
              <w:widowControl w:val="0"/>
              <w:ind w:firstLine="0" w:firstLineChars="0"/>
              <w:jc w:val="left"/>
            </w:pPr>
            <m:oMath>
              <m:r>
                <m:rPr/>
                <w:rPr>
                  <w:rFonts w:hint="eastAsia" w:ascii="Cambria Math" w:hAnsi="Cambria Math"/>
                </w:rPr>
                <m:t>C</m:t>
              </m:r>
            </m:oMath>
            <w:r>
              <w:rPr>
                <w:rFonts w:hint="eastAsia"/>
              </w:rPr>
              <w:t>表示单位时间内低空</w:t>
            </w:r>
            <w:r>
              <w:rPr>
                <w:rFonts w:hint="eastAsia" w:hAnsi="宋体"/>
                <w:color w:val="000000" w:themeColor="text1"/>
                <w14:textFill>
                  <w14:solidFill>
                    <w14:schemeClr w14:val="tx1"/>
                  </w14:solidFill>
                </w14:textFill>
              </w:rPr>
              <w:t>航路/</w:t>
            </w:r>
            <w:r>
              <w:rPr>
                <w:rFonts w:hint="eastAsia"/>
              </w:rPr>
              <w:t>航线冲突次数（或冲突概率），</w:t>
            </w:r>
            <m:oMath>
              <m:sSub>
                <m:sSubPr>
                  <m:ctrlPr>
                    <w:rPr>
                      <w:rFonts w:ascii="Cambria Math" w:hAnsi="Cambria Math"/>
                      <w:i/>
                    </w:rPr>
                  </m:ctrlPr>
                </m:sSubPr>
                <m:e>
                  <m:r>
                    <m:rPr/>
                    <w:rPr>
                      <w:rFonts w:hint="eastAsia" w:ascii="Cambria Math" w:hAnsi="Cambria Math"/>
                    </w:rPr>
                    <m:t>C</m:t>
                  </m:r>
                  <m:ctrlPr>
                    <w:rPr>
                      <w:rFonts w:ascii="Cambria Math" w:hAnsi="Cambria Math"/>
                      <w:i/>
                    </w:rPr>
                  </m:ctrlPr>
                </m:e>
                <m:sub>
                  <m:r>
                    <m:rPr/>
                    <w:rPr>
                      <w:rFonts w:hint="eastAsia" w:ascii="Cambria Math" w:hAnsi="Cambria Math"/>
                    </w:rPr>
                    <m:t>max</m:t>
                  </m:r>
                  <m:ctrlPr>
                    <w:rPr>
                      <w:rFonts w:ascii="Cambria Math" w:hAnsi="Cambria Math"/>
                      <w:i/>
                    </w:rPr>
                  </m:ctrlPr>
                </m:sub>
              </m:sSub>
            </m:oMath>
            <w:r>
              <w:rPr>
                <w:rFonts w:hint="eastAsia"/>
              </w:rPr>
              <w:t>表示可接受最大冲突水平。</w:t>
            </w:r>
          </w:p>
        </w:tc>
      </w:tr>
      <w:tr w14:paraId="5B885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5B885624">
            <w:pPr>
              <w:pStyle w:val="61"/>
              <w:widowControl w:val="0"/>
              <w:ind w:firstLine="0" w:firstLineChars="0"/>
              <w:jc w:val="left"/>
            </w:pPr>
            <w:r>
              <w:rPr>
                <w:rFonts w:hint="eastAsia"/>
              </w:rPr>
              <w:t xml:space="preserve">场景适配性 </w:t>
            </w:r>
            <m:oMath>
              <m:sSub>
                <m:sSubPr>
                  <m:ctrlPr>
                    <w:rPr>
                      <w:rFonts w:ascii="Cambria Math" w:hAnsi="Cambria Math"/>
                      <w:i/>
                    </w:rPr>
                  </m:ctrlPr>
                </m:sSubPr>
                <m:e>
                  <m:r>
                    <m:rPr/>
                    <w:rPr>
                      <w:rFonts w:hint="eastAsia" w:ascii="Cambria Math" w:hAnsi="Cambria Math"/>
                    </w:rPr>
                    <m:t>A</m:t>
                  </m:r>
                  <m:ctrlPr>
                    <w:rPr>
                      <w:rFonts w:ascii="Cambria Math" w:hAnsi="Cambria Math"/>
                      <w:i/>
                    </w:rPr>
                  </m:ctrlPr>
                </m:e>
                <m:sub>
                  <m:r>
                    <m:rPr/>
                    <w:rPr>
                      <w:rFonts w:ascii="Cambria Math" w:hAnsi="Cambria Math"/>
                    </w:rPr>
                    <m:t>scene</m:t>
                  </m:r>
                  <m:ctrlPr>
                    <w:rPr>
                      <w:rFonts w:ascii="Cambria Math" w:hAnsi="Cambria Math"/>
                      <w:i/>
                    </w:rPr>
                  </m:ctrlPr>
                </m:sub>
              </m:sSub>
            </m:oMath>
          </w:p>
        </w:tc>
        <w:tc>
          <w:tcPr>
            <w:tcW w:w="3827" w:type="dxa"/>
            <w:vAlign w:val="center"/>
          </w:tcPr>
          <w:p w14:paraId="5B885625">
            <w:pPr>
              <w:pStyle w:val="61"/>
              <w:widowControl w:val="0"/>
              <w:ind w:firstLine="0" w:firstLineChars="0"/>
              <w:jc w:val="left"/>
              <w:rPr>
                <w:i/>
              </w:rPr>
            </w:pPr>
            <m:oMath>
              <m:sSub>
                <m:sSubPr>
                  <m:ctrlPr>
                    <w:rPr>
                      <w:rFonts w:ascii="Cambria Math" w:hAnsi="Cambria Math"/>
                      <w:i/>
                    </w:rPr>
                  </m:ctrlPr>
                </m:sSubPr>
                <m:e>
                  <m:r>
                    <m:rPr/>
                    <w:rPr>
                      <w:rFonts w:hint="eastAsia" w:ascii="Cambria Math" w:hAnsi="Cambria Math"/>
                    </w:rPr>
                    <m:t>A</m:t>
                  </m:r>
                  <m:ctrlPr>
                    <w:rPr>
                      <w:rFonts w:ascii="Cambria Math" w:hAnsi="Cambria Math"/>
                      <w:i/>
                    </w:rPr>
                  </m:ctrlPr>
                </m:e>
                <m:sub>
                  <m:r>
                    <m:rPr/>
                    <w:rPr>
                      <w:rFonts w:ascii="Cambria Math" w:hAnsi="Cambria Math"/>
                    </w:rPr>
                    <m:t>scene</m:t>
                  </m:r>
                  <m:ctrlPr>
                    <w:rPr>
                      <w:rFonts w:ascii="Cambria Math" w:hAnsi="Cambria Math"/>
                      <w:i/>
                    </w:rPr>
                  </m:ctrlPr>
                </m:sub>
              </m:sSub>
              <m:r>
                <m:rPr/>
                <w:rPr>
                  <w:rFonts w:ascii="Cambria Math" w:hAnsi="Cambria Math"/>
                </w:rPr>
                <m:t>=</m:t>
              </m:r>
              <m:nary>
                <m:naryPr>
                  <m:chr m:val="∑"/>
                  <m:limLoc m:val="subSup"/>
                  <m:ctrlPr>
                    <w:rPr>
                      <w:rFonts w:ascii="Cambria Math" w:hAnsi="Cambria Math"/>
                      <w:i/>
                    </w:rPr>
                  </m:ctrlPr>
                </m:naryPr>
                <m:sub>
                  <m:r>
                    <m:rPr/>
                    <w:rPr>
                      <w:rFonts w:ascii="Cambria Math" w:hAnsi="Cambria Math"/>
                    </w:rPr>
                    <m:t>1</m:t>
                  </m:r>
                  <m:ctrlPr>
                    <w:rPr>
                      <w:rFonts w:ascii="Cambria Math" w:hAnsi="Cambria Math"/>
                      <w:i/>
                    </w:rPr>
                  </m:ctrlPr>
                </m:sub>
                <m:sup>
                  <m:r>
                    <m:rPr/>
                    <w:rPr>
                      <w:rFonts w:hint="eastAsia" w:ascii="Cambria Math" w:hAnsi="Cambria Math"/>
                    </w:rPr>
                    <m:t>K</m:t>
                  </m:r>
                  <m:ctrlPr>
                    <w:rPr>
                      <w:rFonts w:ascii="Cambria Math" w:hAnsi="Cambria Math"/>
                      <w:i/>
                    </w:rPr>
                  </m:ctrlPr>
                </m:sup>
                <m:e>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k</m:t>
                      </m:r>
                      <m:ctrlPr>
                        <w:rPr>
                          <w:rFonts w:ascii="Cambria Math" w:hAnsi="Cambria Math"/>
                          <w:i/>
                        </w:rPr>
                      </m:ctrlPr>
                    </m:sub>
                  </m:sSub>
                  <m:d>
                    <m:dPr>
                      <m:ctrlPr>
                        <w:rPr>
                          <w:rFonts w:ascii="Cambria Math" w:hAnsi="Cambria Math"/>
                          <w:i/>
                        </w:rPr>
                      </m:ctrlPr>
                    </m:dPr>
                    <m:e>
                      <m:r>
                        <m:rPr/>
                        <w:rPr>
                          <w:rFonts w:ascii="Cambria Math" w:hAnsi="Cambria Math"/>
                        </w:rPr>
                        <m:t>1−</m:t>
                      </m:r>
                      <m:f>
                        <m:fPr>
                          <m:ctrlPr>
                            <w:rPr>
                              <w:rFonts w:ascii="Cambria Math" w:hAnsi="Cambria Math"/>
                              <w:i/>
                            </w:rPr>
                          </m:ctrlPr>
                        </m:fPr>
                        <m:num>
                          <m:r>
                            <m:rPr/>
                            <w:rPr>
                              <w:rFonts w:ascii="Cambria Math" w:hAnsi="Cambria Math"/>
                            </w:rPr>
                            <m:t>1</m:t>
                          </m:r>
                          <m:ctrlPr>
                            <w:rPr>
                              <w:rFonts w:ascii="Cambria Math" w:hAnsi="Cambria Math"/>
                              <w:i/>
                            </w:rPr>
                          </m:ctrlPr>
                        </m:num>
                        <m:den>
                          <m:r>
                            <m:rPr/>
                            <w:rPr>
                              <w:rFonts w:ascii="Cambria Math" w:hAnsi="Cambria Math"/>
                            </w:rPr>
                            <m:t>Q</m:t>
                          </m:r>
                          <m:ctrlPr>
                            <w:rPr>
                              <w:rFonts w:ascii="Cambria Math" w:hAnsi="Cambria Math"/>
                              <w:i/>
                            </w:rPr>
                          </m:ctrlPr>
                        </m:den>
                      </m:f>
                      <m:nary>
                        <m:naryPr>
                          <m:chr m:val="∑"/>
                          <m:limLoc m:val="subSup"/>
                          <m:ctrlPr>
                            <w:rPr>
                              <w:rFonts w:ascii="Cambria Math" w:hAnsi="Cambria Math"/>
                              <w:i/>
                            </w:rPr>
                          </m:ctrlPr>
                        </m:naryPr>
                        <m:sub>
                          <m:r>
                            <m:rPr/>
                            <w:rPr>
                              <w:rFonts w:ascii="Cambria Math" w:hAnsi="Cambria Math"/>
                            </w:rPr>
                            <m:t>1</m:t>
                          </m:r>
                          <m:ctrlPr>
                            <w:rPr>
                              <w:rFonts w:ascii="Cambria Math" w:hAnsi="Cambria Math"/>
                              <w:i/>
                            </w:rPr>
                          </m:ctrlPr>
                        </m:sub>
                        <m:sup>
                          <m:r>
                            <m:rPr/>
                            <w:rPr>
                              <w:rFonts w:ascii="Cambria Math" w:hAnsi="Cambria Math"/>
                            </w:rPr>
                            <m:t>Q</m:t>
                          </m:r>
                          <m:ctrlPr>
                            <w:rPr>
                              <w:rFonts w:ascii="Cambria Math" w:hAnsi="Cambria Math"/>
                              <w:i/>
                            </w:rPr>
                          </m:ctrlPr>
                        </m:sup>
                        <m:e>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w:rPr>
                                          <w:rFonts w:ascii="Cambria Math" w:hAnsi="Cambria Math"/>
                                        </w:rPr>
                                        <m:t>X</m:t>
                                      </m:r>
                                      <m:ctrlPr>
                                        <w:rPr>
                                          <w:rFonts w:ascii="Cambria Math" w:hAnsi="Cambria Math"/>
                                          <w:i/>
                                        </w:rPr>
                                      </m:ctrlPr>
                                    </m:e>
                                    <m:sub>
                                      <m:r>
                                        <m:rPr/>
                                        <w:rPr>
                                          <w:rFonts w:ascii="Cambria Math" w:hAnsi="Cambria Math"/>
                                        </w:rPr>
                                        <m:t>m</m:t>
                                      </m:r>
                                      <m:ctrlPr>
                                        <w:rPr>
                                          <w:rFonts w:ascii="Cambria Math" w:hAnsi="Cambria Math"/>
                                          <w:i/>
                                        </w:rPr>
                                      </m:ctrlPr>
                                    </m:sub>
                                  </m:sSub>
                                  <m:r>
                                    <m:rPr/>
                                    <w:rPr>
                                      <w:rFonts w:ascii="Cambria Math" w:hAnsi="Cambria Math"/>
                                    </w:rPr>
                                    <m:t>−</m:t>
                                  </m:r>
                                  <m:sSubSup>
                                    <m:sSubSupPr>
                                      <m:ctrlPr>
                                        <w:rPr>
                                          <w:rFonts w:ascii="Cambria Math" w:hAnsi="Cambria Math"/>
                                          <w:i/>
                                        </w:rPr>
                                      </m:ctrlPr>
                                    </m:sSubSupPr>
                                    <m:e>
                                      <m:r>
                                        <m:rPr/>
                                        <w:rPr>
                                          <w:rFonts w:ascii="Cambria Math" w:hAnsi="Cambria Math"/>
                                        </w:rPr>
                                        <m:t>X</m:t>
                                      </m:r>
                                      <m:ctrlPr>
                                        <w:rPr>
                                          <w:rFonts w:ascii="Cambria Math" w:hAnsi="Cambria Math"/>
                                          <w:i/>
                                        </w:rPr>
                                      </m:ctrlPr>
                                    </m:e>
                                    <m:sub>
                                      <m:r>
                                        <m:rPr/>
                                        <w:rPr>
                                          <w:rFonts w:ascii="Cambria Math" w:hAnsi="Cambria Math"/>
                                        </w:rPr>
                                        <m:t>q</m:t>
                                      </m:r>
                                      <m:ctrlPr>
                                        <w:rPr>
                                          <w:rFonts w:ascii="Cambria Math" w:hAnsi="Cambria Math"/>
                                          <w:i/>
                                        </w:rPr>
                                      </m:ctrlPr>
                                    </m:sub>
                                    <m:sup>
                                      <m:d>
                                        <m:dPr>
                                          <m:ctrlPr>
                                            <w:rPr>
                                              <w:rFonts w:ascii="Cambria Math" w:hAnsi="Cambria Math"/>
                                              <w:i/>
                                            </w:rPr>
                                          </m:ctrlPr>
                                        </m:dPr>
                                        <m:e>
                                          <m:r>
                                            <m:rPr/>
                                            <w:rPr>
                                              <w:rFonts w:ascii="Cambria Math" w:hAnsi="Cambria Math"/>
                                            </w:rPr>
                                            <m:t>k</m:t>
                                          </m:r>
                                          <m:ctrlPr>
                                            <w:rPr>
                                              <w:rFonts w:ascii="Cambria Math" w:hAnsi="Cambria Math"/>
                                              <w:i/>
                                            </w:rPr>
                                          </m:ctrlPr>
                                        </m:e>
                                      </m:d>
                                      <m:ctrlPr>
                                        <w:rPr>
                                          <w:rFonts w:ascii="Cambria Math" w:hAnsi="Cambria Math"/>
                                          <w:i/>
                                        </w:rPr>
                                      </m:ctrlPr>
                                    </m:sup>
                                  </m:sSubSup>
                                  <m:ctrlPr>
                                    <w:rPr>
                                      <w:rFonts w:ascii="Cambria Math" w:hAnsi="Cambria Math"/>
                                      <w:i/>
                                    </w:rPr>
                                  </m:ctrlPr>
                                </m:e>
                              </m:d>
                              <m:ctrlPr>
                                <w:rPr>
                                  <w:rFonts w:ascii="Cambria Math" w:hAnsi="Cambria Math"/>
                                  <w:i/>
                                </w:rPr>
                              </m:ctrlPr>
                            </m:num>
                            <m:den>
                              <m:sSubSup>
                                <m:sSubSupPr>
                                  <m:ctrlPr>
                                    <w:rPr>
                                      <w:rFonts w:ascii="Cambria Math" w:hAnsi="Cambria Math"/>
                                      <w:i/>
                                    </w:rPr>
                                  </m:ctrlPr>
                                </m:sSubSupPr>
                                <m:e>
                                  <m:r>
                                    <m:rPr/>
                                    <w:rPr>
                                      <w:rFonts w:ascii="Cambria Math" w:hAnsi="Cambria Math"/>
                                    </w:rPr>
                                    <m:t>X</m:t>
                                  </m:r>
                                  <m:ctrlPr>
                                    <w:rPr>
                                      <w:rFonts w:ascii="Cambria Math" w:hAnsi="Cambria Math"/>
                                      <w:i/>
                                    </w:rPr>
                                  </m:ctrlPr>
                                </m:e>
                                <m:sub>
                                  <m:r>
                                    <m:rPr/>
                                    <w:rPr>
                                      <w:rFonts w:ascii="Cambria Math" w:hAnsi="Cambria Math"/>
                                    </w:rPr>
                                    <m:t>q</m:t>
                                  </m:r>
                                  <m:ctrlPr>
                                    <w:rPr>
                                      <w:rFonts w:ascii="Cambria Math" w:hAnsi="Cambria Math"/>
                                      <w:i/>
                                    </w:rPr>
                                  </m:ctrlPr>
                                </m:sub>
                                <m:sup>
                                  <m:d>
                                    <m:dPr>
                                      <m:ctrlPr>
                                        <w:rPr>
                                          <w:rFonts w:ascii="Cambria Math" w:hAnsi="Cambria Math"/>
                                          <w:i/>
                                        </w:rPr>
                                      </m:ctrlPr>
                                    </m:dPr>
                                    <m:e>
                                      <m:r>
                                        <m:rPr/>
                                        <w:rPr>
                                          <w:rFonts w:ascii="Cambria Math" w:hAnsi="Cambria Math"/>
                                        </w:rPr>
                                        <m:t>k</m:t>
                                      </m:r>
                                      <m:ctrlPr>
                                        <w:rPr>
                                          <w:rFonts w:ascii="Cambria Math" w:hAnsi="Cambria Math"/>
                                          <w:i/>
                                        </w:rPr>
                                      </m:ctrlPr>
                                    </m:e>
                                  </m:d>
                                  <m:ctrlPr>
                                    <w:rPr>
                                      <w:rFonts w:ascii="Cambria Math" w:hAnsi="Cambria Math"/>
                                      <w:i/>
                                    </w:rPr>
                                  </m:ctrlPr>
                                </m:sup>
                              </m:sSubSup>
                              <m:ctrlPr>
                                <w:rPr>
                                  <w:rFonts w:ascii="Cambria Math" w:hAnsi="Cambria Math"/>
                                  <w:i/>
                                </w:rPr>
                              </m:ctrlPr>
                            </m:den>
                          </m:f>
                          <m:ctrlPr>
                            <w:rPr>
                              <w:rFonts w:ascii="Cambria Math" w:hAnsi="Cambria Math"/>
                              <w:i/>
                            </w:rPr>
                          </m:ctrlPr>
                        </m:e>
                      </m:nary>
                      <m:ctrlPr>
                        <w:rPr>
                          <w:rFonts w:ascii="Cambria Math" w:hAnsi="Cambria Math"/>
                          <w:i/>
                        </w:rPr>
                      </m:ctrlPr>
                    </m:e>
                  </m:d>
                  <m:ctrlPr>
                    <w:rPr>
                      <w:rFonts w:ascii="Cambria Math" w:hAnsi="Cambria Math"/>
                      <w:i/>
                    </w:rPr>
                  </m:ctrlPr>
                </m:e>
              </m:nary>
            </m:oMath>
            <w:r>
              <w:rPr>
                <w:rFonts w:hint="eastAsia"/>
                <w:i/>
              </w:rPr>
              <w:t xml:space="preserve"> </w:t>
            </w:r>
          </w:p>
        </w:tc>
        <w:tc>
          <w:tcPr>
            <w:tcW w:w="3537" w:type="dxa"/>
            <w:vAlign w:val="center"/>
          </w:tcPr>
          <w:p w14:paraId="5B885626">
            <w:pPr>
              <w:pStyle w:val="61"/>
              <w:widowControl w:val="0"/>
              <w:ind w:firstLine="0" w:firstLineChars="0"/>
              <w:jc w:val="left"/>
            </w:pPr>
            <m:oMath>
              <m:r>
                <m:rPr/>
                <w:rPr>
                  <w:rFonts w:ascii="Cambria Math" w:hAnsi="Cambria Math"/>
                </w:rPr>
                <m:t>K</m:t>
              </m:r>
            </m:oMath>
            <w:r>
              <w:rPr>
                <w:rFonts w:hint="eastAsia"/>
              </w:rPr>
              <w:t>表示场景类型总量，</w:t>
            </w:r>
            <m:oMath>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k</m:t>
                  </m:r>
                  <m:ctrlPr>
                    <w:rPr>
                      <w:rFonts w:ascii="Cambria Math" w:hAnsi="Cambria Math"/>
                      <w:i/>
                    </w:rPr>
                  </m:ctrlPr>
                </m:sub>
              </m:sSub>
            </m:oMath>
            <w:r>
              <w:rPr>
                <w:rFonts w:hint="eastAsia"/>
              </w:rPr>
              <w:t>表示场景任务占比，</w:t>
            </w:r>
            <m:oMath>
              <m:r>
                <m:rPr/>
                <w:rPr>
                  <w:rFonts w:hint="eastAsia" w:ascii="Cambria Math" w:hAnsi="Cambria Math"/>
                </w:rPr>
                <m:t>Q</m:t>
              </m:r>
            </m:oMath>
            <w:r>
              <w:rPr>
                <w:rFonts w:hint="eastAsia"/>
              </w:rPr>
              <w:t>表示评价维度数量，</w:t>
            </w:r>
            <m:oMath>
              <m:sSub>
                <m:sSubPr>
                  <m:ctrlPr>
                    <w:rPr>
                      <w:rFonts w:ascii="Cambria Math" w:hAnsi="Cambria Math"/>
                      <w:i/>
                    </w:rPr>
                  </m:ctrlPr>
                </m:sSubPr>
                <m:e>
                  <m:r>
                    <m:rPr/>
                    <w:rPr>
                      <w:rFonts w:ascii="Cambria Math" w:hAnsi="Cambria Math"/>
                    </w:rPr>
                    <m:t>X</m:t>
                  </m:r>
                  <m:ctrlPr>
                    <w:rPr>
                      <w:rFonts w:ascii="Cambria Math" w:hAnsi="Cambria Math"/>
                      <w:i/>
                    </w:rPr>
                  </m:ctrlPr>
                </m:e>
                <m:sub>
                  <m:r>
                    <m:rPr/>
                    <w:rPr>
                      <w:rFonts w:ascii="Cambria Math" w:hAnsi="Cambria Math"/>
                    </w:rPr>
                    <m:t>m</m:t>
                  </m:r>
                  <m:ctrlPr>
                    <w:rPr>
                      <w:rFonts w:ascii="Cambria Math" w:hAnsi="Cambria Math"/>
                      <w:i/>
                    </w:rPr>
                  </m:ctrlPr>
                </m:sub>
              </m:sSub>
            </m:oMath>
            <w:r>
              <w:rPr>
                <w:rFonts w:hint="eastAsia"/>
              </w:rPr>
              <w:t>表示低空</w:t>
            </w:r>
            <w:r>
              <w:rPr>
                <w:rFonts w:hint="eastAsia" w:hAnsi="宋体"/>
                <w:color w:val="000000" w:themeColor="text1"/>
                <w14:textFill>
                  <w14:solidFill>
                    <w14:schemeClr w14:val="tx1"/>
                  </w14:solidFill>
                </w14:textFill>
              </w:rPr>
              <w:t>航路/</w:t>
            </w:r>
            <w:r>
              <w:rPr>
                <w:rFonts w:hint="eastAsia"/>
              </w:rPr>
              <w:t>航线实际参数，</w:t>
            </w:r>
            <m:oMath>
              <m:sSubSup>
                <m:sSubSupPr>
                  <m:ctrlPr>
                    <w:rPr>
                      <w:rFonts w:ascii="Cambria Math" w:hAnsi="Cambria Math"/>
                      <w:i/>
                    </w:rPr>
                  </m:ctrlPr>
                </m:sSubSupPr>
                <m:e>
                  <m:r>
                    <m:rPr/>
                    <w:rPr>
                      <w:rFonts w:ascii="Cambria Math" w:hAnsi="Cambria Math"/>
                    </w:rPr>
                    <m:t>X</m:t>
                  </m:r>
                  <m:ctrlPr>
                    <w:rPr>
                      <w:rFonts w:ascii="Cambria Math" w:hAnsi="Cambria Math"/>
                      <w:i/>
                    </w:rPr>
                  </m:ctrlPr>
                </m:e>
                <m:sub>
                  <m:r>
                    <m:rPr/>
                    <w:rPr>
                      <w:rFonts w:ascii="Cambria Math" w:hAnsi="Cambria Math"/>
                    </w:rPr>
                    <m:t>q</m:t>
                  </m:r>
                  <m:ctrlPr>
                    <w:rPr>
                      <w:rFonts w:ascii="Cambria Math" w:hAnsi="Cambria Math"/>
                      <w:i/>
                    </w:rPr>
                  </m:ctrlPr>
                </m:sub>
                <m:sup>
                  <m:d>
                    <m:dPr>
                      <m:ctrlPr>
                        <w:rPr>
                          <w:rFonts w:ascii="Cambria Math" w:hAnsi="Cambria Math"/>
                          <w:i/>
                        </w:rPr>
                      </m:ctrlPr>
                    </m:dPr>
                    <m:e>
                      <m:r>
                        <m:rPr/>
                        <w:rPr>
                          <w:rFonts w:ascii="Cambria Math" w:hAnsi="Cambria Math"/>
                        </w:rPr>
                        <m:t>k</m:t>
                      </m:r>
                      <m:ctrlPr>
                        <w:rPr>
                          <w:rFonts w:ascii="Cambria Math" w:hAnsi="Cambria Math"/>
                          <w:i/>
                        </w:rPr>
                      </m:ctrlPr>
                    </m:e>
                  </m:d>
                  <m:ctrlPr>
                    <w:rPr>
                      <w:rFonts w:ascii="Cambria Math" w:hAnsi="Cambria Math"/>
                      <w:i/>
                    </w:rPr>
                  </m:ctrlPr>
                </m:sup>
              </m:sSubSup>
            </m:oMath>
            <w:r>
              <w:rPr>
                <w:rFonts w:hint="eastAsia"/>
              </w:rPr>
              <w:t>表示不同场景下的低空航路/航线参数需求值。</w:t>
            </w:r>
          </w:p>
        </w:tc>
      </w:tr>
      <w:tr w14:paraId="5B88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5B885628">
            <w:pPr>
              <w:pStyle w:val="61"/>
              <w:widowControl w:val="0"/>
              <w:ind w:firstLine="0" w:firstLineChars="0"/>
              <w:jc w:val="left"/>
            </w:pPr>
            <w:r>
              <w:rPr>
                <w:rFonts w:hint="eastAsia"/>
              </w:rPr>
              <w:t xml:space="preserve">连通性 </w:t>
            </w:r>
            <m:oMath>
              <m:sSub>
                <m:sSubPr>
                  <m:ctrlPr>
                    <w:rPr>
                      <w:rFonts w:ascii="Cambria Math" w:hAnsi="Cambria Math"/>
                      <w:i/>
                    </w:rPr>
                  </m:ctrlPr>
                </m:sSubPr>
                <m:e>
                  <m:r>
                    <m:rPr/>
                    <w:rPr>
                      <w:rFonts w:hint="eastAsia" w:ascii="Cambria Math" w:hAnsi="Cambria Math"/>
                    </w:rPr>
                    <m:t>E</m:t>
                  </m:r>
                  <m:ctrlPr>
                    <w:rPr>
                      <w:rFonts w:ascii="Cambria Math" w:hAnsi="Cambria Math"/>
                      <w:i/>
                    </w:rPr>
                  </m:ctrlPr>
                </m:e>
                <m:sub>
                  <m:r>
                    <m:rPr/>
                    <w:rPr>
                      <w:rFonts w:hint="eastAsia" w:ascii="Cambria Math" w:hAnsi="Cambria Math"/>
                    </w:rPr>
                    <m:t>global</m:t>
                  </m:r>
                  <m:ctrlPr>
                    <w:rPr>
                      <w:rFonts w:ascii="Cambria Math" w:hAnsi="Cambria Math"/>
                      <w:i/>
                    </w:rPr>
                  </m:ctrlPr>
                </m:sub>
              </m:sSub>
            </m:oMath>
          </w:p>
        </w:tc>
        <w:tc>
          <w:tcPr>
            <w:tcW w:w="3827" w:type="dxa"/>
            <w:vAlign w:val="center"/>
          </w:tcPr>
          <w:p w14:paraId="5B885629">
            <w:pPr>
              <w:pStyle w:val="61"/>
              <w:widowControl w:val="0"/>
              <w:ind w:firstLine="0" w:firstLineChars="0"/>
              <w:jc w:val="left"/>
              <w:rPr>
                <w:i/>
              </w:rPr>
            </w:pPr>
            <m:oMath>
              <m:sSub>
                <m:sSubPr>
                  <m:ctrlPr>
                    <w:rPr>
                      <w:rFonts w:ascii="Cambria Math" w:hAnsi="Cambria Math"/>
                      <w:i/>
                    </w:rPr>
                  </m:ctrlPr>
                </m:sSubPr>
                <m:e>
                  <m:r>
                    <m:rPr/>
                    <w:rPr>
                      <w:rFonts w:hint="eastAsia" w:ascii="Cambria Math" w:hAnsi="Cambria Math"/>
                    </w:rPr>
                    <m:t>E</m:t>
                  </m:r>
                  <m:ctrlPr>
                    <w:rPr>
                      <w:rFonts w:ascii="Cambria Math" w:hAnsi="Cambria Math"/>
                      <w:i/>
                    </w:rPr>
                  </m:ctrlPr>
                </m:e>
                <m:sub>
                  <m:r>
                    <m:rPr/>
                    <w:rPr>
                      <w:rFonts w:hint="eastAsia" w:ascii="Cambria Math" w:hAnsi="Cambria Math"/>
                    </w:rPr>
                    <m:t>global</m:t>
                  </m:r>
                  <m:ctrlPr>
                    <w:rPr>
                      <w:rFonts w:ascii="Cambria Math" w:hAnsi="Cambria Math"/>
                      <w:i/>
                    </w:rPr>
                  </m:ctrlPr>
                </m:sub>
              </m:sSub>
              <m:r>
                <m:rPr/>
                <w:rPr>
                  <w:rFonts w:ascii="Cambria Math" w:hAnsi="Cambria Math"/>
                </w:rPr>
                <m:t>=</m:t>
              </m:r>
              <m:f>
                <m:fPr>
                  <m:ctrlPr>
                    <w:rPr>
                      <w:rFonts w:ascii="Cambria Math" w:hAnsi="Cambria Math"/>
                      <w:i/>
                    </w:rPr>
                  </m:ctrlPr>
                </m:fPr>
                <m:num>
                  <m:r>
                    <m:rPr/>
                    <w:rPr>
                      <w:rFonts w:ascii="Cambria Math" w:hAnsi="Cambria Math"/>
                    </w:rPr>
                    <m:t>1</m:t>
                  </m:r>
                  <m:ctrlPr>
                    <w:rPr>
                      <w:rFonts w:ascii="Cambria Math" w:hAnsi="Cambria Math"/>
                      <w:i/>
                    </w:rPr>
                  </m:ctrlPr>
                </m:num>
                <m:den>
                  <m:d>
                    <m:dPr>
                      <m:begChr m:val="|"/>
                      <m:endChr m:val="|"/>
                      <m:ctrlPr>
                        <w:rPr>
                          <w:rFonts w:ascii="Cambria Math" w:hAnsi="Cambria Math"/>
                          <w:i/>
                        </w:rPr>
                      </m:ctrlPr>
                    </m:dPr>
                    <m:e>
                      <m:r>
                        <m:rPr/>
                        <w:rPr>
                          <w:rFonts w:hint="eastAsia" w:ascii="Cambria Math" w:hAnsi="Cambria Math"/>
                        </w:rPr>
                        <m:t>V</m:t>
                      </m:r>
                      <m:ctrlPr>
                        <w:rPr>
                          <w:rFonts w:ascii="Cambria Math" w:hAnsi="Cambria Math"/>
                          <w:i/>
                        </w:rPr>
                      </m:ctrlPr>
                    </m:e>
                  </m:d>
                  <m:d>
                    <m:dPr>
                      <m:ctrlPr>
                        <w:rPr>
                          <w:rFonts w:ascii="Cambria Math" w:hAnsi="Cambria Math"/>
                          <w:i/>
                        </w:rPr>
                      </m:ctrlPr>
                    </m:dPr>
                    <m:e>
                      <m:d>
                        <m:dPr>
                          <m:begChr m:val="|"/>
                          <m:endChr m:val="|"/>
                          <m:ctrlPr>
                            <w:rPr>
                              <w:rFonts w:ascii="Cambria Math" w:hAnsi="Cambria Math"/>
                              <w:i/>
                            </w:rPr>
                          </m:ctrlPr>
                        </m:dPr>
                        <m:e>
                          <m:r>
                            <m:rPr/>
                            <w:rPr>
                              <w:rFonts w:hint="eastAsia" w:ascii="Cambria Math" w:hAnsi="Cambria Math"/>
                            </w:rPr>
                            <m:t>V</m:t>
                          </m:r>
                          <m:ctrlPr>
                            <w:rPr>
                              <w:rFonts w:ascii="Cambria Math" w:hAnsi="Cambria Math"/>
                              <w:i/>
                            </w:rPr>
                          </m:ctrlPr>
                        </m:e>
                      </m:d>
                      <m:r>
                        <m:rPr/>
                        <w:rPr>
                          <w:rFonts w:ascii="Cambria Math" w:hAnsi="Cambria Math"/>
                        </w:rPr>
                        <m:t>−1</m:t>
                      </m:r>
                      <m:ctrlPr>
                        <w:rPr>
                          <w:rFonts w:ascii="Cambria Math" w:hAnsi="Cambria Math"/>
                          <w:i/>
                        </w:rPr>
                      </m:ctrlPr>
                    </m:e>
                  </m:d>
                  <m:ctrlPr>
                    <w:rPr>
                      <w:rFonts w:ascii="Cambria Math" w:hAnsi="Cambria Math"/>
                      <w:i/>
                    </w:rPr>
                  </m:ctrlPr>
                </m:den>
              </m:f>
              <m:nary>
                <m:naryPr>
                  <m:chr m:val="∑"/>
                  <m:limLoc m:val="subSup"/>
                  <m:supHide m:val="1"/>
                  <m:ctrlPr>
                    <w:rPr>
                      <w:rFonts w:ascii="Cambria Math" w:hAnsi="Cambria Math"/>
                      <w:i/>
                    </w:rPr>
                  </m:ctrlPr>
                </m:naryPr>
                <m:sub>
                  <m:r>
                    <m:rPr/>
                    <w:rPr>
                      <w:rFonts w:ascii="Cambria Math" w:hAnsi="Cambria Math"/>
                    </w:rPr>
                    <m:t>a≠b</m:t>
                  </m:r>
                  <m:ctrlPr>
                    <w:rPr>
                      <w:rFonts w:ascii="Cambria Math" w:hAnsi="Cambria Math"/>
                      <w:i/>
                    </w:rPr>
                  </m:ctrlPr>
                </m:sub>
                <m:sup>
                  <m:ctrlPr>
                    <w:rPr>
                      <w:rFonts w:ascii="Cambria Math" w:hAnsi="Cambria Math"/>
                      <w:i/>
                    </w:rPr>
                  </m:ctrlPr>
                </m:sup>
                <m:e>
                  <m:f>
                    <m:fPr>
                      <m:ctrlPr>
                        <w:rPr>
                          <w:rFonts w:ascii="Cambria Math" w:hAnsi="Cambria Math"/>
                          <w:i/>
                        </w:rPr>
                      </m:ctrlPr>
                    </m:fPr>
                    <m:num>
                      <m:r>
                        <m:rPr/>
                        <w:rPr>
                          <w:rFonts w:ascii="Cambria Math" w:hAnsi="Cambria Math"/>
                        </w:rPr>
                        <m:t>1</m:t>
                      </m:r>
                      <m:ctrlPr>
                        <w:rPr>
                          <w:rFonts w:ascii="Cambria Math" w:hAnsi="Cambria Math"/>
                          <w:i/>
                        </w:rPr>
                      </m:ctrlPr>
                    </m:num>
                    <m:den>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ab</m:t>
                          </m:r>
                          <m:ctrlPr>
                            <w:rPr>
                              <w:rFonts w:ascii="Cambria Math" w:hAnsi="Cambria Math"/>
                              <w:i/>
                            </w:rPr>
                          </m:ctrlPr>
                        </m:sub>
                      </m:sSub>
                      <m:ctrlPr>
                        <w:rPr>
                          <w:rFonts w:ascii="Cambria Math" w:hAnsi="Cambria Math"/>
                          <w:i/>
                        </w:rPr>
                      </m:ctrlPr>
                    </m:den>
                  </m:f>
                  <m:ctrlPr>
                    <w:rPr>
                      <w:rFonts w:ascii="Cambria Math" w:hAnsi="Cambria Math"/>
                      <w:i/>
                    </w:rPr>
                  </m:ctrlPr>
                </m:e>
              </m:nary>
            </m:oMath>
            <w:r>
              <w:rPr>
                <w:i/>
              </w:rPr>
              <w:t xml:space="preserve"> </w:t>
            </w:r>
          </w:p>
        </w:tc>
        <w:tc>
          <w:tcPr>
            <w:tcW w:w="3537" w:type="dxa"/>
            <w:vAlign w:val="center"/>
          </w:tcPr>
          <w:p w14:paraId="5B88562A">
            <w:pPr>
              <w:pStyle w:val="61"/>
              <w:widowControl w:val="0"/>
              <w:ind w:firstLine="0" w:firstLineChars="0"/>
              <w:jc w:val="left"/>
            </w:pPr>
            <m:oMath>
              <m:d>
                <m:dPr>
                  <m:begChr m:val="|"/>
                  <m:endChr m:val="|"/>
                  <m:ctrlPr>
                    <w:rPr>
                      <w:rFonts w:ascii="Cambria Math" w:hAnsi="Cambria Math"/>
                      <w:i/>
                    </w:rPr>
                  </m:ctrlPr>
                </m:dPr>
                <m:e>
                  <m:r>
                    <m:rPr/>
                    <w:rPr>
                      <w:rFonts w:hint="eastAsia" w:ascii="Cambria Math" w:hAnsi="Cambria Math"/>
                    </w:rPr>
                    <m:t>V</m:t>
                  </m:r>
                  <m:ctrlPr>
                    <w:rPr>
                      <w:rFonts w:ascii="Cambria Math" w:hAnsi="Cambria Math"/>
                      <w:i/>
                    </w:rPr>
                  </m:ctrlPr>
                </m:e>
              </m:d>
            </m:oMath>
            <w:r>
              <w:rPr>
                <w:rFonts w:hint="eastAsia"/>
              </w:rPr>
              <w:t>表示低空航路/航线所构成网络中各类节点的总量，</w:t>
            </w:r>
            <m:oMath>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ab</m:t>
                  </m:r>
                  <m:ctrlPr>
                    <w:rPr>
                      <w:rFonts w:ascii="Cambria Math" w:hAnsi="Cambria Math"/>
                      <w:i/>
                    </w:rPr>
                  </m:ctrlPr>
                </m:sub>
              </m:sSub>
            </m:oMath>
            <w:r>
              <w:rPr>
                <w:rFonts w:hint="eastAsia"/>
              </w:rPr>
              <w:t>表示节点</w:t>
            </w:r>
            <m:oMath>
              <m:r>
                <m:rPr/>
                <w:rPr>
                  <w:rFonts w:hint="eastAsia" w:ascii="Cambria Math" w:hAnsi="Cambria Math"/>
                </w:rPr>
                <m:t>a</m:t>
              </m:r>
            </m:oMath>
            <w:r>
              <w:rPr>
                <w:rFonts w:hint="eastAsia"/>
              </w:rPr>
              <w:t>和</w:t>
            </w:r>
            <m:oMath>
              <m:r>
                <m:rPr/>
                <w:rPr>
                  <w:rFonts w:hint="eastAsia" w:ascii="Cambria Math" w:hAnsi="Cambria Math"/>
                </w:rPr>
                <m:t>b</m:t>
              </m:r>
            </m:oMath>
            <w:r>
              <w:rPr>
                <w:rFonts w:hint="eastAsia"/>
              </w:rPr>
              <w:t>的最短航径长度（可取航段数量或加权飞行距离）。</w:t>
            </w:r>
          </w:p>
        </w:tc>
      </w:tr>
      <w:tr w14:paraId="5B88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5B88562C">
            <w:pPr>
              <w:pStyle w:val="61"/>
              <w:widowControl w:val="0"/>
              <w:ind w:firstLine="0" w:firstLineChars="0"/>
              <w:jc w:val="left"/>
            </w:pPr>
            <w:r>
              <w:rPr>
                <w:rFonts w:hint="eastAsia"/>
              </w:rPr>
              <w:t xml:space="preserve">非直线率 </w:t>
            </w:r>
            <m:oMath>
              <m:r>
                <m:rPr/>
                <w:rPr>
                  <w:rFonts w:ascii="Cambria Math" w:hAnsi="Cambria Math"/>
                </w:rPr>
                <m:t>η</m:t>
              </m:r>
            </m:oMath>
          </w:p>
        </w:tc>
        <w:tc>
          <w:tcPr>
            <w:tcW w:w="3827" w:type="dxa"/>
            <w:vAlign w:val="center"/>
          </w:tcPr>
          <w:p w14:paraId="5B88562D">
            <w:pPr>
              <w:pStyle w:val="61"/>
              <w:widowControl w:val="0"/>
              <w:ind w:firstLine="0" w:firstLineChars="0"/>
              <w:jc w:val="left"/>
              <w:rPr>
                <w:i/>
              </w:rPr>
            </w:pPr>
            <m:oMath>
              <m:r>
                <m:rPr/>
                <w:rPr>
                  <w:rFonts w:ascii="Cambria Math" w:hAnsi="Cambria Math"/>
                </w:rPr>
                <m:t>η=</m:t>
              </m:r>
              <m:f>
                <m:fPr>
                  <m:ctrlPr>
                    <w:rPr>
                      <w:rFonts w:ascii="Cambria Math" w:hAnsi="Cambria Math"/>
                      <w:i/>
                    </w:rPr>
                  </m:ctrlPr>
                </m:fPr>
                <m:num>
                  <m:sSub>
                    <m:sSubPr>
                      <m:ctrlPr>
                        <w:rPr>
                          <w:rFonts w:ascii="Cambria Math" w:hAnsi="Cambria Math"/>
                          <w:i/>
                        </w:rPr>
                      </m:ctrlPr>
                    </m:sSubPr>
                    <m:e>
                      <m:r>
                        <m:rPr/>
                        <w:rPr>
                          <w:rFonts w:hint="eastAsia" w:ascii="Cambria Math" w:hAnsi="Cambria Math"/>
                        </w:rPr>
                        <m:t>L</m:t>
                      </m:r>
                      <m:ctrlPr>
                        <w:rPr>
                          <w:rFonts w:ascii="Cambria Math" w:hAnsi="Cambria Math"/>
                          <w:i/>
                        </w:rPr>
                      </m:ctrlPr>
                    </m:e>
                    <m:sub>
                      <m:r>
                        <m:rPr/>
                        <w:rPr>
                          <w:rFonts w:ascii="Cambria Math" w:hAnsi="Cambria Math"/>
                        </w:rPr>
                        <m:t>route</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gc</m:t>
                      </m:r>
                      <m:ctrlPr>
                        <w:rPr>
                          <w:rFonts w:ascii="Cambria Math" w:hAnsi="Cambria Math"/>
                          <w:i/>
                        </w:rPr>
                      </m:ctrlPr>
                    </m:sub>
                  </m:sSub>
                  <m:ctrlPr>
                    <w:rPr>
                      <w:rFonts w:ascii="Cambria Math" w:hAnsi="Cambria Math"/>
                      <w:i/>
                    </w:rPr>
                  </m:ctrlPr>
                </m:den>
              </m:f>
            </m:oMath>
            <w:r>
              <w:rPr>
                <w:i/>
              </w:rPr>
              <w:t xml:space="preserve"> </w:t>
            </w:r>
          </w:p>
        </w:tc>
        <w:tc>
          <w:tcPr>
            <w:tcW w:w="3537" w:type="dxa"/>
            <w:vAlign w:val="center"/>
          </w:tcPr>
          <w:p w14:paraId="5B88562E">
            <w:pPr>
              <w:pStyle w:val="61"/>
              <w:widowControl w:val="0"/>
              <w:ind w:firstLine="0" w:firstLineChars="0"/>
              <w:jc w:val="left"/>
            </w:pPr>
            <m:oMath>
              <m:sSub>
                <m:sSubPr>
                  <m:ctrlPr>
                    <w:rPr>
                      <w:rFonts w:ascii="Cambria Math" w:hAnsi="Cambria Math"/>
                      <w:i/>
                    </w:rPr>
                  </m:ctrlPr>
                </m:sSubPr>
                <m:e>
                  <m:r>
                    <m:rPr/>
                    <w:rPr>
                      <w:rFonts w:hint="eastAsia" w:ascii="Cambria Math" w:hAnsi="Cambria Math"/>
                    </w:rPr>
                    <m:t>L</m:t>
                  </m:r>
                  <m:ctrlPr>
                    <w:rPr>
                      <w:rFonts w:ascii="Cambria Math" w:hAnsi="Cambria Math"/>
                      <w:i/>
                    </w:rPr>
                  </m:ctrlPr>
                </m:e>
                <m:sub>
                  <m:r>
                    <m:rPr/>
                    <w:rPr>
                      <w:rFonts w:ascii="Cambria Math" w:hAnsi="Cambria Math"/>
                    </w:rPr>
                    <m:t>route</m:t>
                  </m:r>
                  <m:ctrlPr>
                    <w:rPr>
                      <w:rFonts w:ascii="Cambria Math" w:hAnsi="Cambria Math"/>
                      <w:i/>
                    </w:rPr>
                  </m:ctrlPr>
                </m:sub>
              </m:sSub>
            </m:oMath>
            <w:r>
              <w:rPr>
                <w:rFonts w:hint="eastAsia"/>
              </w:rPr>
              <w:t>表示低空航路/航线实际长度，</w:t>
            </w:r>
            <m:oMath>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gc</m:t>
                  </m:r>
                  <m:ctrlPr>
                    <w:rPr>
                      <w:rFonts w:ascii="Cambria Math" w:hAnsi="Cambria Math"/>
                      <w:i/>
                    </w:rPr>
                  </m:ctrlPr>
                </m:sub>
              </m:sSub>
            </m:oMath>
            <w:r>
              <w:rPr>
                <w:rFonts w:hint="eastAsia"/>
              </w:rPr>
              <w:t>表示起讫起降场</w:t>
            </w:r>
            <w:r>
              <w:rPr>
                <w:rFonts w:hint="eastAsia"/>
                <w:color w:val="000000" w:themeColor="text1"/>
                <w14:textFill>
                  <w14:solidFill>
                    <w14:schemeClr w14:val="tx1"/>
                  </w14:solidFill>
                </w14:textFill>
              </w:rPr>
              <w:t>/起降点</w:t>
            </w:r>
            <w:r>
              <w:rPr>
                <w:rFonts w:hint="eastAsia"/>
              </w:rPr>
              <w:t>间的大圆最短距离。</w:t>
            </w:r>
          </w:p>
        </w:tc>
      </w:tr>
      <w:tr w14:paraId="5B88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5B885630">
            <w:pPr>
              <w:pStyle w:val="61"/>
              <w:widowControl w:val="0"/>
              <w:ind w:firstLine="0" w:firstLineChars="0"/>
              <w:jc w:val="left"/>
            </w:pPr>
            <w:r>
              <w:rPr>
                <w:rFonts w:hint="eastAsia"/>
              </w:rPr>
              <w:t xml:space="preserve">动态调整效率 </w:t>
            </w:r>
            <m:oMath>
              <m:r>
                <m:rPr/>
                <w:rPr>
                  <w:rFonts w:hint="eastAsia" w:ascii="Cambria Math" w:hAnsi="Cambria Math"/>
                </w:rPr>
                <m:t>R</m:t>
              </m:r>
            </m:oMath>
          </w:p>
        </w:tc>
        <w:tc>
          <w:tcPr>
            <w:tcW w:w="3827" w:type="dxa"/>
            <w:vAlign w:val="center"/>
          </w:tcPr>
          <w:p w14:paraId="5B885631">
            <w:pPr>
              <w:pStyle w:val="61"/>
              <w:widowControl w:val="0"/>
              <w:ind w:firstLine="0" w:firstLineChars="0"/>
              <w:jc w:val="left"/>
              <w:rPr>
                <w:i/>
              </w:rPr>
            </w:pPr>
            <m:oMath>
              <m:r>
                <m:rPr/>
                <w:rPr>
                  <w:rFonts w:hint="eastAsia" w:ascii="Cambria Math" w:hAnsi="Cambria Math"/>
                </w:rPr>
                <m:t>R</m:t>
              </m:r>
              <m:r>
                <m:rPr/>
                <w:rPr>
                  <w:rFonts w:ascii="Cambria Math" w:hAnsi="Cambria Math"/>
                </w:rPr>
                <m:t>=</m:t>
              </m:r>
              <m:f>
                <m:fPr>
                  <m:ctrlPr>
                    <w:rPr>
                      <w:rFonts w:ascii="Cambria Math" w:hAnsi="Cambria Math"/>
                      <w:i/>
                    </w:rPr>
                  </m:ctrlPr>
                </m:fPr>
                <m:num>
                  <m:r>
                    <m:rPr/>
                    <w:rPr>
                      <w:rFonts w:ascii="Cambria Math" w:hAnsi="Cambria Math"/>
                    </w:rPr>
                    <m:t>1</m:t>
                  </m:r>
                  <m:ctrlPr>
                    <w:rPr>
                      <w:rFonts w:ascii="Cambria Math" w:hAnsi="Cambria Math"/>
                      <w:i/>
                    </w:rPr>
                  </m:ctrlPr>
                </m:num>
                <m:den>
                  <m:r>
                    <m:rPr/>
                    <w:rPr>
                      <w:rFonts w:hint="eastAsia" w:ascii="Cambria Math" w:hAnsi="Cambria Math"/>
                    </w:rPr>
                    <m:t>T</m:t>
                  </m:r>
                  <m:ctrlPr>
                    <w:rPr>
                      <w:rFonts w:ascii="Cambria Math" w:hAnsi="Cambria Math"/>
                      <w:i/>
                    </w:rPr>
                  </m:ctrlPr>
                </m:den>
              </m:f>
              <m:nary>
                <m:naryPr>
                  <m:limLoc m:val="subSup"/>
                  <m:ctrlPr>
                    <w:rPr>
                      <w:rFonts w:ascii="Cambria Math" w:hAnsi="Cambria Math"/>
                      <w:i/>
                    </w:rPr>
                  </m:ctrlPr>
                </m:naryPr>
                <m:sub>
                  <m:sSub>
                    <m:sSubPr>
                      <m:ctrlPr>
                        <w:rPr>
                          <w:rFonts w:ascii="Cambria Math" w:hAnsi="Cambria Math"/>
                          <w:i/>
                        </w:rPr>
                      </m:ctrlPr>
                    </m:sSubPr>
                    <m:e>
                      <m:r>
                        <m:rPr/>
                        <w:rPr>
                          <w:rFonts w:hint="eastAsia" w:ascii="Cambria Math" w:hAnsi="Cambria Math"/>
                        </w:rPr>
                        <m:t>t</m:t>
                      </m:r>
                      <m:ctrlPr>
                        <w:rPr>
                          <w:rFonts w:ascii="Cambria Math" w:hAnsi="Cambria Math"/>
                          <w:i/>
                        </w:rPr>
                      </m:ctrlPr>
                    </m:e>
                    <m:sub>
                      <m:r>
                        <m:rPr/>
                        <w:rPr>
                          <w:rFonts w:ascii="Cambria Math" w:hAnsi="Cambria Math"/>
                        </w:rPr>
                        <m:t>0</m:t>
                      </m:r>
                      <m:ctrlPr>
                        <w:rPr>
                          <w:rFonts w:ascii="Cambria Math" w:hAnsi="Cambria Math"/>
                          <w:i/>
                        </w:rPr>
                      </m:ctrlPr>
                    </m:sub>
                  </m:sSub>
                  <m:ctrlPr>
                    <w:rPr>
                      <w:rFonts w:ascii="Cambria Math" w:hAnsi="Cambria Math"/>
                      <w:i/>
                    </w:rPr>
                  </m:ctrlPr>
                </m:sub>
                <m:sup>
                  <m:sSub>
                    <m:sSubPr>
                      <m:ctrlPr>
                        <w:rPr>
                          <w:rFonts w:ascii="Cambria Math" w:hAnsi="Cambria Math"/>
                          <w:i/>
                        </w:rPr>
                      </m:ctrlPr>
                    </m:sSubPr>
                    <m:e>
                      <m:r>
                        <m:rPr/>
                        <w:rPr>
                          <w:rFonts w:hint="eastAsia" w:ascii="Cambria Math" w:hAnsi="Cambria Math"/>
                        </w:rPr>
                        <m:t>t</m:t>
                      </m:r>
                      <m:ctrlPr>
                        <w:rPr>
                          <w:rFonts w:ascii="Cambria Math" w:hAnsi="Cambria Math"/>
                          <w:i/>
                        </w:rPr>
                      </m:ctrlPr>
                    </m:e>
                    <m:sub>
                      <m:r>
                        <m:rPr/>
                        <w:rPr>
                          <w:rFonts w:ascii="Cambria Math" w:hAnsi="Cambria Math"/>
                        </w:rPr>
                        <m:t>0</m:t>
                      </m:r>
                      <m:ctrlPr>
                        <w:rPr>
                          <w:rFonts w:ascii="Cambria Math" w:hAnsi="Cambria Math"/>
                          <w:i/>
                        </w:rPr>
                      </m:ctrlPr>
                    </m:sub>
                  </m:sSub>
                  <m:r>
                    <m:rPr/>
                    <w:rPr>
                      <w:rFonts w:ascii="Cambria Math" w:hAnsi="Cambria Math"/>
                    </w:rPr>
                    <m:t>+T</m:t>
                  </m:r>
                  <m:ctrlPr>
                    <w:rPr>
                      <w:rFonts w:ascii="Cambria Math" w:hAnsi="Cambria Math"/>
                      <w:i/>
                    </w:rPr>
                  </m:ctrlPr>
                </m:sup>
                <m:e>
                  <m:f>
                    <m:fPr>
                      <m:ctrlPr>
                        <w:rPr>
                          <w:rFonts w:ascii="Cambria Math" w:hAnsi="Cambria Math"/>
                          <w:i/>
                        </w:rPr>
                      </m:ctrlPr>
                    </m:fPr>
                    <m:num>
                      <m:r>
                        <m:rPr/>
                        <w:rPr>
                          <w:rFonts w:ascii="Cambria Math" w:hAnsi="Cambria Math"/>
                        </w:rPr>
                        <m:t>P(t)</m:t>
                      </m:r>
                      <m:ctrlPr>
                        <w:rPr>
                          <w:rFonts w:ascii="Cambria Math" w:hAnsi="Cambria Math"/>
                          <w:i/>
                        </w:rPr>
                      </m:ctrlPr>
                    </m:num>
                    <m:den>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0</m:t>
                          </m:r>
                          <m:ctrlPr>
                            <w:rPr>
                              <w:rFonts w:ascii="Cambria Math" w:hAnsi="Cambria Math"/>
                              <w:i/>
                            </w:rPr>
                          </m:ctrlPr>
                        </m:sub>
                      </m:sSub>
                      <m:ctrlPr>
                        <w:rPr>
                          <w:rFonts w:ascii="Cambria Math" w:hAnsi="Cambria Math"/>
                          <w:i/>
                        </w:rPr>
                      </m:ctrlPr>
                    </m:den>
                  </m:f>
                  <m:ctrlPr>
                    <w:rPr>
                      <w:rFonts w:ascii="Cambria Math" w:hAnsi="Cambria Math"/>
                      <w:i/>
                    </w:rPr>
                  </m:ctrlPr>
                </m:e>
              </m:nary>
              <m:box>
                <m:boxPr>
                  <m:diff m:val="1"/>
                  <m:ctrlPr>
                    <w:rPr>
                      <w:rFonts w:ascii="Cambria Math" w:hAnsi="Cambria Math"/>
                      <w:i/>
                    </w:rPr>
                  </m:ctrlPr>
                </m:boxPr>
                <m:e>
                  <m:r>
                    <m:rPr/>
                    <w:rPr>
                      <w:rFonts w:ascii="Cambria Math" w:hAnsi="Cambria Math"/>
                    </w:rPr>
                    <m:t>dt</m:t>
                  </m:r>
                  <m:ctrlPr>
                    <w:rPr>
                      <w:rFonts w:ascii="Cambria Math" w:hAnsi="Cambria Math"/>
                      <w:i/>
                    </w:rPr>
                  </m:ctrlPr>
                </m:e>
              </m:box>
            </m:oMath>
            <w:r>
              <w:rPr>
                <w:rFonts w:hint="eastAsia"/>
                <w:i/>
              </w:rPr>
              <w:t xml:space="preserve"> </w:t>
            </w:r>
          </w:p>
        </w:tc>
        <w:tc>
          <w:tcPr>
            <w:tcW w:w="3537" w:type="dxa"/>
            <w:vAlign w:val="center"/>
          </w:tcPr>
          <w:p w14:paraId="5B885632">
            <w:pPr>
              <w:pStyle w:val="61"/>
              <w:widowControl w:val="0"/>
              <w:ind w:firstLine="0" w:firstLineChars="0"/>
              <w:jc w:val="left"/>
            </w:pPr>
            <m:oMath>
              <m:r>
                <m:rPr/>
                <w:rPr>
                  <w:rFonts w:ascii="Cambria Math" w:hAnsi="Cambria Math"/>
                </w:rPr>
                <m:t>P(t)</m:t>
              </m:r>
            </m:oMath>
            <w:r>
              <w:rPr>
                <w:rFonts w:hint="eastAsia"/>
              </w:rPr>
              <w:t>表示不确定性干扰事件发生</w:t>
            </w:r>
            <m:oMath>
              <m:r>
                <m:rPr/>
                <w:rPr>
                  <w:rFonts w:hint="eastAsia" w:ascii="Cambria Math" w:hAnsi="Cambria Math"/>
                </w:rPr>
                <m:t>t</m:t>
              </m:r>
            </m:oMath>
            <w:r>
              <w:rPr>
                <w:rFonts w:hint="eastAsia"/>
              </w:rPr>
              <w:t>时刻的低空航路/航线系统运行性能（如航线通行能力、节点可达率等），</w:t>
            </w:r>
            <m:oMath>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0</m:t>
                  </m:r>
                  <m:ctrlPr>
                    <w:rPr>
                      <w:rFonts w:ascii="Cambria Math" w:hAnsi="Cambria Math"/>
                      <w:i/>
                    </w:rPr>
                  </m:ctrlPr>
                </m:sub>
              </m:sSub>
            </m:oMath>
            <w:r>
              <w:rPr>
                <w:rFonts w:hint="eastAsia"/>
              </w:rPr>
              <w:t>表示扰动前的基准能力水平，</w:t>
            </w:r>
            <m:oMath>
              <m:r>
                <m:rPr/>
                <w:rPr>
                  <w:rFonts w:ascii="Cambria Math" w:hAnsi="Cambria Math"/>
                </w:rPr>
                <m:t>T</m:t>
              </m:r>
            </m:oMath>
            <w:r>
              <w:rPr>
                <w:rFonts w:hint="eastAsia"/>
              </w:rPr>
              <w:t>表示观测时间窗口。</w:t>
            </w:r>
          </w:p>
        </w:tc>
      </w:tr>
    </w:tbl>
    <w:p w14:paraId="5B885634">
      <w:pPr>
        <w:pStyle w:val="61"/>
        <w:widowControl w:val="0"/>
        <w:tabs>
          <w:tab w:val="left" w:pos="6406"/>
        </w:tabs>
        <w:spacing w:before="78" w:after="156"/>
        <w:ind w:firstLine="420"/>
        <w:rPr>
          <w:color w:val="000000" w:themeColor="text1"/>
          <w14:textFill>
            <w14:solidFill>
              <w14:schemeClr w14:val="tx1"/>
            </w14:solidFill>
          </w14:textFill>
        </w:rPr>
        <w:sectPr>
          <w:pgSz w:w="11906" w:h="16838"/>
          <w:pgMar w:top="2410" w:right="1134" w:bottom="1134" w:left="1134" w:header="1418" w:footer="1134" w:gutter="284"/>
          <w:cols w:space="425" w:num="1"/>
          <w:formProt w:val="0"/>
          <w:docGrid w:type="lines" w:linePitch="312" w:charSpace="0"/>
        </w:sectPr>
      </w:pPr>
    </w:p>
    <w:p w14:paraId="5B885635">
      <w:pPr>
        <w:pStyle w:val="81"/>
        <w:widowControl w:val="0"/>
        <w:spacing w:before="78" w:after="156"/>
        <w:rPr>
          <w:color w:val="000000" w:themeColor="text1"/>
          <w14:textFill>
            <w14:solidFill>
              <w14:schemeClr w14:val="tx1"/>
            </w14:solidFill>
          </w14:textFill>
        </w:rPr>
      </w:pPr>
      <w:r>
        <w:rPr>
          <w:color w:val="000000" w:themeColor="text1"/>
          <w14:textFill>
            <w14:solidFill>
              <w14:schemeClr w14:val="tx1"/>
            </w14:solidFill>
          </w14:textFill>
        </w:rPr>
        <w:br w:type="textWrapping"/>
      </w:r>
      <w:bookmarkStart w:id="579" w:name="_Toc240381781"/>
      <w:bookmarkStart w:id="580" w:name="_Toc236215127"/>
      <w:r>
        <w:rPr>
          <w:rFonts w:hint="eastAsia"/>
          <w:color w:val="000000" w:themeColor="text1"/>
          <w14:textFill>
            <w14:solidFill>
              <w14:schemeClr w14:val="tx1"/>
            </w14:solidFill>
          </w14:textFill>
        </w:rPr>
        <w:t>（资料性）</w:t>
      </w:r>
      <w:r>
        <w:rPr>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t>低空航路/航线发布信息参考</w:t>
      </w:r>
      <w:bookmarkEnd w:id="579"/>
      <w:bookmarkEnd w:id="580"/>
    </w:p>
    <w:p w14:paraId="5B885636">
      <w:pPr>
        <w:pStyle w:val="61"/>
        <w:widowControl w:val="0"/>
        <w:spacing w:before="156" w:after="156"/>
        <w:ind w:firstLine="0" w:firstLineChars="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t>B.1</w:t>
      </w:r>
      <w:r>
        <w:rPr>
          <w:rFonts w:ascii="黑体" w:hAnsi="黑体" w:eastAsia="黑体"/>
          <w:color w:val="000000" w:themeColor="text1"/>
          <w14:textFill>
            <w14:solidFill>
              <w14:schemeClr w14:val="tx1"/>
            </w14:solidFill>
          </w14:textFill>
        </w:rPr>
        <w:tab/>
      </w:r>
      <w:r>
        <w:rPr>
          <w:rFonts w:hint="eastAsia" w:ascii="黑体" w:hAnsi="黑体" w:eastAsia="黑体"/>
          <w:color w:val="000000" w:themeColor="text1"/>
          <w14:textFill>
            <w14:solidFill>
              <w14:schemeClr w14:val="tx1"/>
            </w14:solidFill>
          </w14:textFill>
        </w:rPr>
        <w:t>低空航路/航线发布信息</w:t>
      </w:r>
    </w:p>
    <w:p w14:paraId="5B885637">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低空航路/航线在发布时可考虑包含下列信息：</w:t>
      </w:r>
    </w:p>
    <w:p w14:paraId="5B885638">
      <w:pPr>
        <w:pStyle w:val="179"/>
        <w:widowControl w:val="0"/>
        <w:numPr>
          <w:ilvl w:val="0"/>
          <w:numId w:val="51"/>
        </w:numPr>
        <w:rPr>
          <w:color w:val="000000" w:themeColor="text1"/>
          <w14:textFill>
            <w14:solidFill>
              <w14:schemeClr w14:val="tx1"/>
            </w14:solidFill>
          </w14:textFill>
        </w:rPr>
      </w:pPr>
      <w:r>
        <w:rPr>
          <w:rFonts w:hint="eastAsia"/>
          <w:color w:val="000000" w:themeColor="text1"/>
          <w14:textFill>
            <w14:solidFill>
              <w14:schemeClr w14:val="tx1"/>
            </w14:solidFill>
          </w14:textFill>
        </w:rPr>
        <w:t>低空航路/航线名称及类型，宜参照B.2中的类型为低空航路/航线分类；</w:t>
      </w:r>
    </w:p>
    <w:p w14:paraId="5B885639">
      <w:pPr>
        <w:pStyle w:val="179"/>
        <w:widowControl w:val="0"/>
        <w:numPr>
          <w:ilvl w:val="0"/>
          <w:numId w:val="51"/>
        </w:numPr>
        <w:rPr>
          <w:color w:val="000000" w:themeColor="text1"/>
          <w14:textFill>
            <w14:solidFill>
              <w14:schemeClr w14:val="tx1"/>
            </w14:solidFill>
          </w14:textFill>
        </w:rPr>
      </w:pPr>
      <w:r>
        <w:rPr>
          <w:rFonts w:hint="eastAsia"/>
          <w:color w:val="000000" w:themeColor="text1"/>
          <w14:textFill>
            <w14:solidFill>
              <w14:schemeClr w14:val="tx1"/>
            </w14:solidFill>
          </w14:textFill>
        </w:rPr>
        <w:t>航路点的位置；</w:t>
      </w:r>
    </w:p>
    <w:p w14:paraId="5B88563A">
      <w:pPr>
        <w:pStyle w:val="179"/>
        <w:widowControl w:val="0"/>
        <w:numPr>
          <w:ilvl w:val="0"/>
          <w:numId w:val="51"/>
        </w:numPr>
        <w:rPr>
          <w:color w:val="000000" w:themeColor="text1"/>
          <w14:textFill>
            <w14:solidFill>
              <w14:schemeClr w14:val="tx1"/>
            </w14:solidFill>
          </w14:textFill>
        </w:rPr>
      </w:pPr>
      <w:r>
        <w:rPr>
          <w:rFonts w:hint="eastAsia"/>
          <w:color w:val="000000" w:themeColor="text1"/>
          <w14:textFill>
            <w14:solidFill>
              <w14:schemeClr w14:val="tx1"/>
            </w14:solidFill>
          </w14:textFill>
        </w:rPr>
        <w:t>低空航路/航线根据航路点作分段后，各段的长度、航路宽度、可运行的高度层以及其对应的无人驾驶航空器运行方向、保护区范围；</w:t>
      </w:r>
    </w:p>
    <w:p w14:paraId="5B88563B">
      <w:pPr>
        <w:pStyle w:val="179"/>
        <w:widowControl w:val="0"/>
        <w:numPr>
          <w:ilvl w:val="0"/>
          <w:numId w:val="51"/>
        </w:numPr>
        <w:rPr>
          <w:color w:val="000000" w:themeColor="text1"/>
          <w14:textFill>
            <w14:solidFill>
              <w14:schemeClr w14:val="tx1"/>
            </w14:solidFill>
          </w14:textFill>
        </w:rPr>
      </w:pPr>
      <w:r>
        <w:rPr>
          <w:rFonts w:hint="eastAsia"/>
          <w:color w:val="000000" w:themeColor="text1"/>
          <w14:textFill>
            <w14:solidFill>
              <w14:schemeClr w14:val="tx1"/>
            </w14:solidFill>
          </w14:textFill>
        </w:rPr>
        <w:t>低空航路/航线的准入条件、速度限制，对于低空进离场航线和低空起落航线，在此基础上还应包含标称爬升梯度、标称下降梯度；</w:t>
      </w:r>
    </w:p>
    <w:p w14:paraId="5B88563C">
      <w:pPr>
        <w:pStyle w:val="179"/>
        <w:widowControl w:val="0"/>
        <w:numPr>
          <w:ilvl w:val="0"/>
          <w:numId w:val="51"/>
        </w:numPr>
        <w:rPr>
          <w:color w:val="000000" w:themeColor="text1"/>
          <w14:textFill>
            <w14:solidFill>
              <w14:schemeClr w14:val="tx1"/>
            </w14:solidFill>
          </w14:textFill>
        </w:rPr>
      </w:pPr>
      <w:r>
        <w:rPr>
          <w:rFonts w:hint="eastAsia"/>
          <w:color w:val="000000" w:themeColor="text1"/>
          <w14:textFill>
            <w14:solidFill>
              <w14:schemeClr w14:val="tx1"/>
            </w14:solidFill>
          </w14:textFill>
        </w:rPr>
        <w:t>低空航路/航线运行的水平纵向安全间隔和垂直安全间隔；</w:t>
      </w:r>
    </w:p>
    <w:p w14:paraId="5B88563D">
      <w:pPr>
        <w:pStyle w:val="179"/>
        <w:widowControl w:val="0"/>
        <w:numPr>
          <w:ilvl w:val="0"/>
          <w:numId w:val="51"/>
        </w:numPr>
        <w:rPr>
          <w:color w:val="000000" w:themeColor="text1"/>
          <w14:textFill>
            <w14:solidFill>
              <w14:schemeClr w14:val="tx1"/>
            </w14:solidFill>
          </w14:textFill>
        </w:rPr>
      </w:pPr>
      <w:r>
        <w:rPr>
          <w:rFonts w:hint="eastAsia"/>
          <w:color w:val="000000" w:themeColor="text1"/>
          <w14:textFill>
            <w14:solidFill>
              <w14:schemeClr w14:val="tx1"/>
            </w14:solidFill>
          </w14:textFill>
        </w:rPr>
        <w:t>低空航路/航线所配备的通信、导航、监视能力和气象、反制等服务能力；</w:t>
      </w:r>
    </w:p>
    <w:p w14:paraId="5B88563E">
      <w:pPr>
        <w:pStyle w:val="179"/>
        <w:widowControl w:val="0"/>
        <w:numPr>
          <w:ilvl w:val="0"/>
          <w:numId w:val="51"/>
        </w:numPr>
        <w:rPr>
          <w:color w:val="000000" w:themeColor="text1"/>
          <w14:textFill>
            <w14:solidFill>
              <w14:schemeClr w14:val="tx1"/>
            </w14:solidFill>
          </w14:textFill>
        </w:rPr>
      </w:pPr>
      <w:r>
        <w:rPr>
          <w:rFonts w:hint="eastAsia"/>
          <w:color w:val="000000" w:themeColor="text1"/>
          <w14:textFill>
            <w14:solidFill>
              <w14:schemeClr w14:val="tx1"/>
            </w14:solidFill>
          </w14:textFill>
        </w:rPr>
        <w:t>适用无人驾驶航空器的运行规则、类型、性能；</w:t>
      </w:r>
    </w:p>
    <w:p w14:paraId="5B88563F">
      <w:pPr>
        <w:pStyle w:val="179"/>
        <w:widowControl w:val="0"/>
        <w:numPr>
          <w:ilvl w:val="0"/>
          <w:numId w:val="51"/>
        </w:numPr>
        <w:rPr>
          <w:color w:val="000000" w:themeColor="text1"/>
          <w14:textFill>
            <w14:solidFill>
              <w14:schemeClr w14:val="tx1"/>
            </w14:solidFill>
          </w14:textFill>
        </w:rPr>
      </w:pPr>
      <w:r>
        <w:rPr>
          <w:rFonts w:hint="eastAsia"/>
          <w:color w:val="000000" w:themeColor="text1"/>
          <w14:textFill>
            <w14:solidFill>
              <w14:schemeClr w14:val="tx1"/>
            </w14:solidFill>
          </w14:textFill>
        </w:rPr>
        <w:t>建议的无人驾驶航空器运行任务；</w:t>
      </w:r>
    </w:p>
    <w:p w14:paraId="5B885640">
      <w:pPr>
        <w:pStyle w:val="179"/>
        <w:widowControl w:val="0"/>
        <w:numPr>
          <w:ilvl w:val="0"/>
          <w:numId w:val="51"/>
        </w:numPr>
        <w:rPr>
          <w:color w:val="000000" w:themeColor="text1"/>
          <w14:textFill>
            <w14:solidFill>
              <w14:schemeClr w14:val="tx1"/>
            </w14:solidFill>
          </w14:textFill>
        </w:rPr>
      </w:pPr>
      <w:r>
        <w:rPr>
          <w:rFonts w:hint="eastAsia"/>
          <w:color w:val="000000" w:themeColor="text1"/>
          <w14:textFill>
            <w14:solidFill>
              <w14:schemeClr w14:val="tx1"/>
            </w14:solidFill>
          </w14:textFill>
        </w:rPr>
        <w:t>潜在冲突热点、建议的避让及调度措施。</w:t>
      </w:r>
    </w:p>
    <w:p w14:paraId="5B885641">
      <w:pPr>
        <w:pStyle w:val="61"/>
        <w:widowControl w:val="0"/>
        <w:spacing w:before="156" w:after="156"/>
        <w:ind w:firstLine="0" w:firstLineChars="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t>B.2</w:t>
      </w:r>
      <w:r>
        <w:rPr>
          <w:rFonts w:ascii="黑体" w:hAnsi="黑体" w:eastAsia="黑体"/>
          <w:color w:val="000000" w:themeColor="text1"/>
          <w14:textFill>
            <w14:solidFill>
              <w14:schemeClr w14:val="tx1"/>
            </w14:solidFill>
          </w14:textFill>
        </w:rPr>
        <w:tab/>
      </w:r>
      <w:r>
        <w:rPr>
          <w:rFonts w:hint="eastAsia" w:ascii="黑体" w:hAnsi="黑体" w:eastAsia="黑体"/>
          <w:color w:val="000000" w:themeColor="text1"/>
          <w14:textFill>
            <w14:solidFill>
              <w14:schemeClr w14:val="tx1"/>
            </w14:solidFill>
          </w14:textFill>
        </w:rPr>
        <w:t>低空航路/航线类型</w:t>
      </w:r>
    </w:p>
    <w:p w14:paraId="5B885642">
      <w:pPr>
        <w:pStyle w:val="70"/>
        <w:numPr>
          <w:ilvl w:val="0"/>
          <w:numId w:val="0"/>
        </w:numPr>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B.2.1</w:t>
      </w:r>
      <w:r>
        <w:rPr>
          <w:color w:val="000000" w:themeColor="text1"/>
          <w14:textFill>
            <w14:solidFill>
              <w14:schemeClr w14:val="tx1"/>
            </w14:solidFill>
          </w14:textFill>
        </w:rPr>
        <w:tab/>
      </w:r>
      <w:r>
        <w:rPr>
          <w:rFonts w:hint="eastAsia"/>
          <w:color w:val="000000" w:themeColor="text1"/>
          <w14:textFill>
            <w14:solidFill>
              <w14:schemeClr w14:val="tx1"/>
            </w14:solidFill>
          </w14:textFill>
        </w:rPr>
        <w:t>固定类和临时类</w:t>
      </w:r>
    </w:p>
    <w:p w14:paraId="5B885643">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固定类</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航路/航线是指固定划设、无特殊要求可长期使用的低空航路/航线。</w:t>
      </w:r>
    </w:p>
    <w:p w14:paraId="5B885644">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临时类</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航路/航线是指为保障某飞行活动所临时划设的低空航路/航线，飞行活动结束后撤销该</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w:t>
      </w:r>
    </w:p>
    <w:p w14:paraId="5B885645">
      <w:pPr>
        <w:pStyle w:val="70"/>
        <w:numPr>
          <w:ilvl w:val="0"/>
          <w:numId w:val="0"/>
        </w:numPr>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B.2.2</w:t>
      </w:r>
      <w:r>
        <w:rPr>
          <w:color w:val="000000" w:themeColor="text1"/>
          <w14:textFill>
            <w14:solidFill>
              <w14:schemeClr w14:val="tx1"/>
            </w14:solidFill>
          </w14:textFill>
        </w:rPr>
        <w:tab/>
      </w:r>
      <w:r>
        <w:rPr>
          <w:rFonts w:hint="eastAsia"/>
          <w:color w:val="000000" w:themeColor="text1"/>
          <w14:textFill>
            <w14:solidFill>
              <w14:schemeClr w14:val="tx1"/>
            </w14:solidFill>
          </w14:textFill>
        </w:rPr>
        <w:t>公共类和专用类</w:t>
      </w:r>
    </w:p>
    <w:p w14:paraId="5B885646">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公共类</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航路/航线是指供2个（含）以上运营人共同使用的低空航路/航线。</w:t>
      </w:r>
    </w:p>
    <w:p w14:paraId="5B885647">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专用类</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航路/航线是指供特定运营人专门使用的低空航路/航线。</w:t>
      </w:r>
    </w:p>
    <w:p w14:paraId="5B885648">
      <w:pPr>
        <w:pStyle w:val="70"/>
        <w:numPr>
          <w:ilvl w:val="0"/>
          <w:numId w:val="0"/>
        </w:numPr>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B.2.3</w:t>
      </w:r>
      <w:r>
        <w:rPr>
          <w:color w:val="000000" w:themeColor="text1"/>
          <w14:textFill>
            <w14:solidFill>
              <w14:schemeClr w14:val="tx1"/>
            </w14:solidFill>
          </w14:textFill>
        </w:rPr>
        <w:tab/>
      </w:r>
      <w:r>
        <w:rPr>
          <w:rFonts w:hint="eastAsia"/>
          <w:color w:val="000000" w:themeColor="text1"/>
          <w14:textFill>
            <w14:solidFill>
              <w14:schemeClr w14:val="tx1"/>
            </w14:solidFill>
          </w14:textFill>
        </w:rPr>
        <w:t>无人驾驶航空器使用类和有人与无人驾驶航空器共用类</w:t>
      </w:r>
    </w:p>
    <w:p w14:paraId="5B885649">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无人驾驶航空器使用类</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航路/航线是指供无人驾驶航空器使用的低空航路/航线，低空有人驾驶航空器不得使用。</w:t>
      </w:r>
    </w:p>
    <w:p w14:paraId="5B88564A">
      <w:pPr>
        <w:pStyle w:val="61"/>
        <w:widowControl w:val="0"/>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有人与无人驾驶航空器共用类</w:t>
      </w:r>
      <w:r>
        <w:rPr>
          <w:rFonts w:hint="eastAsia"/>
          <w:color w:val="000000" w:themeColor="text1"/>
          <w14:textFill>
            <w14:solidFill>
              <w14:schemeClr w14:val="tx1"/>
            </w14:solidFill>
          </w14:textFill>
        </w:rPr>
        <w:t>低空</w:t>
      </w:r>
      <w:r>
        <w:rPr>
          <w:rFonts w:hint="eastAsia" w:hAnsi="宋体"/>
          <w:color w:val="000000" w:themeColor="text1"/>
          <w14:textFill>
            <w14:solidFill>
              <w14:schemeClr w14:val="tx1"/>
            </w14:solidFill>
          </w14:textFill>
        </w:rPr>
        <w:t>航路/航线是指无人和有人驾驶航空器均可使用的低空航路/航线。</w:t>
      </w:r>
    </w:p>
    <w:p w14:paraId="5B88564B">
      <w:pPr>
        <w:pStyle w:val="61"/>
        <w:widowControl w:val="0"/>
        <w:ind w:firstLine="420"/>
        <w:rPr>
          <w:color w:val="000000" w:themeColor="text1"/>
          <w14:textFill>
            <w14:solidFill>
              <w14:schemeClr w14:val="tx1"/>
            </w14:solidFill>
          </w14:textFill>
        </w:rPr>
        <w:sectPr>
          <w:pgSz w:w="11906" w:h="16838"/>
          <w:pgMar w:top="2410" w:right="1134" w:bottom="1134" w:left="1134" w:header="1418" w:footer="1134" w:gutter="284"/>
          <w:cols w:space="425" w:num="1"/>
          <w:formProt w:val="0"/>
          <w:docGrid w:type="lines" w:linePitch="312" w:charSpace="0"/>
        </w:sectPr>
      </w:pPr>
    </w:p>
    <w:p w14:paraId="5B88564C">
      <w:pPr>
        <w:pStyle w:val="81"/>
        <w:widowControl w:val="0"/>
        <w:spacing w:before="78" w:after="156"/>
        <w:rPr>
          <w:color w:val="000000" w:themeColor="text1"/>
          <w14:textFill>
            <w14:solidFill>
              <w14:schemeClr w14:val="tx1"/>
            </w14:solidFill>
          </w14:textFill>
        </w:rPr>
      </w:pPr>
      <w:r>
        <w:rPr>
          <w:color w:val="000000" w:themeColor="text1"/>
          <w14:textFill>
            <w14:solidFill>
              <w14:schemeClr w14:val="tx1"/>
            </w14:solidFill>
          </w14:textFill>
        </w:rPr>
        <w:br w:type="textWrapping"/>
      </w:r>
      <w:bookmarkStart w:id="581" w:name="_Toc240381782"/>
      <w:bookmarkStart w:id="582" w:name="_Toc236215128"/>
      <w:r>
        <w:rPr>
          <w:rFonts w:hint="eastAsia"/>
          <w:color w:val="000000" w:themeColor="text1"/>
          <w14:textFill>
            <w14:solidFill>
              <w14:schemeClr w14:val="tx1"/>
            </w14:solidFill>
          </w14:textFill>
        </w:rPr>
        <w:t>（资料性）</w:t>
      </w:r>
      <w:r>
        <w:rPr>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t>湖北省地方标准实施信息及意见反馈表</w:t>
      </w:r>
      <w:bookmarkEnd w:id="581"/>
      <w:bookmarkEnd w:id="582"/>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134"/>
        <w:gridCol w:w="2420"/>
        <w:gridCol w:w="2258"/>
        <w:gridCol w:w="1355"/>
      </w:tblGrid>
      <w:tr w14:paraId="5B88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tcPr>
          <w:p w14:paraId="5B88564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标准名称及编号</w:t>
            </w:r>
          </w:p>
        </w:tc>
        <w:tc>
          <w:tcPr>
            <w:tcW w:w="6033" w:type="dxa"/>
            <w:gridSpan w:val="3"/>
          </w:tcPr>
          <w:p w14:paraId="5B88564E">
            <w:pPr>
              <w:rPr>
                <w:rFonts w:ascii="宋体" w:hAnsi="宋体"/>
                <w:color w:val="000000" w:themeColor="text1"/>
                <w14:textFill>
                  <w14:solidFill>
                    <w14:schemeClr w14:val="tx1"/>
                  </w14:solidFill>
                </w14:textFill>
              </w:rPr>
            </w:pPr>
          </w:p>
        </w:tc>
      </w:tr>
      <w:tr w14:paraId="5B885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restart"/>
            <w:vAlign w:val="center"/>
          </w:tcPr>
          <w:p w14:paraId="5B885650">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总体评价</w:t>
            </w:r>
          </w:p>
        </w:tc>
        <w:tc>
          <w:tcPr>
            <w:tcW w:w="1134" w:type="dxa"/>
            <w:vAlign w:val="center"/>
          </w:tcPr>
          <w:p w14:paraId="5B885651">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适用性</w:t>
            </w:r>
          </w:p>
        </w:tc>
        <w:tc>
          <w:tcPr>
            <w:tcW w:w="4678" w:type="dxa"/>
            <w:gridSpan w:val="2"/>
            <w:vAlign w:val="center"/>
          </w:tcPr>
          <w:p w14:paraId="5B885652">
            <w:pPr>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该标准与当前所在地的产业或社会发展水平是否相匹配？</w:t>
            </w:r>
          </w:p>
        </w:tc>
        <w:tc>
          <w:tcPr>
            <w:tcW w:w="1355" w:type="dxa"/>
            <w:vAlign w:val="center"/>
          </w:tcPr>
          <w:p w14:paraId="5B88565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 xml:space="preserve">是   </w:t>
            </w:r>
            <w:r>
              <w:rPr>
                <w:rFonts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否</w:t>
            </w:r>
          </w:p>
        </w:tc>
      </w:tr>
      <w:tr w14:paraId="5B88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5B885655">
            <w:pPr>
              <w:jc w:val="center"/>
              <w:rPr>
                <w:rFonts w:ascii="宋体" w:hAnsi="宋体"/>
                <w:color w:val="000000" w:themeColor="text1"/>
                <w14:textFill>
                  <w14:solidFill>
                    <w14:schemeClr w14:val="tx1"/>
                  </w14:solidFill>
                </w14:textFill>
              </w:rPr>
            </w:pPr>
          </w:p>
        </w:tc>
        <w:tc>
          <w:tcPr>
            <w:tcW w:w="1134" w:type="dxa"/>
            <w:vAlign w:val="center"/>
          </w:tcPr>
          <w:p w14:paraId="5B885656">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协调性</w:t>
            </w:r>
          </w:p>
        </w:tc>
        <w:tc>
          <w:tcPr>
            <w:tcW w:w="4678" w:type="dxa"/>
            <w:gridSpan w:val="2"/>
            <w:vAlign w:val="center"/>
          </w:tcPr>
          <w:p w14:paraId="5B885657">
            <w:pPr>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该标准的特色要求与其他强制性标准的主要技术指标、相关法律法规、部门规章或产业政策是否协调？</w:t>
            </w:r>
          </w:p>
        </w:tc>
        <w:tc>
          <w:tcPr>
            <w:tcW w:w="1355" w:type="dxa"/>
            <w:vAlign w:val="center"/>
          </w:tcPr>
          <w:p w14:paraId="5B885658">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 xml:space="preserve">是   </w:t>
            </w:r>
            <w:r>
              <w:rPr>
                <w:rFonts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否</w:t>
            </w:r>
          </w:p>
        </w:tc>
      </w:tr>
      <w:tr w14:paraId="5B88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5B88565A">
            <w:pPr>
              <w:jc w:val="center"/>
              <w:rPr>
                <w:rFonts w:ascii="宋体" w:hAnsi="宋体"/>
                <w:color w:val="000000" w:themeColor="text1"/>
                <w14:textFill>
                  <w14:solidFill>
                    <w14:schemeClr w14:val="tx1"/>
                  </w14:solidFill>
                </w14:textFill>
              </w:rPr>
            </w:pPr>
          </w:p>
        </w:tc>
        <w:tc>
          <w:tcPr>
            <w:tcW w:w="1134" w:type="dxa"/>
            <w:vAlign w:val="center"/>
          </w:tcPr>
          <w:p w14:paraId="5B88565B">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执行</w:t>
            </w:r>
          </w:p>
          <w:p w14:paraId="5B88565C">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情况</w:t>
            </w:r>
          </w:p>
        </w:tc>
        <w:tc>
          <w:tcPr>
            <w:tcW w:w="4678" w:type="dxa"/>
            <w:gridSpan w:val="2"/>
            <w:vAlign w:val="center"/>
          </w:tcPr>
          <w:p w14:paraId="5B88565D">
            <w:pPr>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标准执行单位或人员按照标准要求组织开展相关工作？</w:t>
            </w:r>
          </w:p>
        </w:tc>
        <w:tc>
          <w:tcPr>
            <w:tcW w:w="1355" w:type="dxa"/>
            <w:vAlign w:val="center"/>
          </w:tcPr>
          <w:p w14:paraId="5B88565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 xml:space="preserve">是   </w:t>
            </w:r>
            <w:r>
              <w:rPr>
                <w:rFonts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否</w:t>
            </w:r>
          </w:p>
        </w:tc>
      </w:tr>
      <w:tr w14:paraId="5B88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restart"/>
            <w:vAlign w:val="center"/>
          </w:tcPr>
          <w:p w14:paraId="5B88566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实施信息</w:t>
            </w:r>
          </w:p>
        </w:tc>
        <w:tc>
          <w:tcPr>
            <w:tcW w:w="5812" w:type="dxa"/>
            <w:gridSpan w:val="3"/>
          </w:tcPr>
          <w:p w14:paraId="5B885661">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标准实施过程中是否存在阻力或障碍？</w:t>
            </w:r>
          </w:p>
        </w:tc>
        <w:tc>
          <w:tcPr>
            <w:tcW w:w="1355" w:type="dxa"/>
          </w:tcPr>
          <w:p w14:paraId="5B885662">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 xml:space="preserve">是   </w:t>
            </w:r>
            <w:r>
              <w:rPr>
                <w:rFonts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否</w:t>
            </w:r>
          </w:p>
        </w:tc>
      </w:tr>
      <w:tr w14:paraId="5B88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5B885664">
            <w:pPr>
              <w:rPr>
                <w:rFonts w:ascii="宋体" w:hAnsi="宋体"/>
                <w:color w:val="000000" w:themeColor="text1"/>
                <w14:textFill>
                  <w14:solidFill>
                    <w14:schemeClr w14:val="tx1"/>
                  </w14:solidFill>
                </w14:textFill>
              </w:rPr>
            </w:pPr>
          </w:p>
        </w:tc>
        <w:tc>
          <w:tcPr>
            <w:tcW w:w="3554" w:type="dxa"/>
            <w:gridSpan w:val="2"/>
          </w:tcPr>
          <w:p w14:paraId="5B885665">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实施过程中存在的主要问题</w:t>
            </w:r>
          </w:p>
        </w:tc>
        <w:tc>
          <w:tcPr>
            <w:tcW w:w="3613" w:type="dxa"/>
            <w:gridSpan w:val="2"/>
          </w:tcPr>
          <w:p w14:paraId="5B885666">
            <w:pPr>
              <w:rPr>
                <w:rFonts w:ascii="宋体" w:hAnsi="宋体"/>
                <w:color w:val="000000" w:themeColor="text1"/>
                <w14:textFill>
                  <w14:solidFill>
                    <w14:schemeClr w14:val="tx1"/>
                  </w14:solidFill>
                </w14:textFill>
              </w:rPr>
            </w:pPr>
          </w:p>
        </w:tc>
      </w:tr>
      <w:tr w14:paraId="5B88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restart"/>
            <w:vAlign w:val="center"/>
          </w:tcPr>
          <w:p w14:paraId="5B885668">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修改意见</w:t>
            </w:r>
          </w:p>
        </w:tc>
        <w:tc>
          <w:tcPr>
            <w:tcW w:w="1134" w:type="dxa"/>
          </w:tcPr>
          <w:p w14:paraId="5B885669">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总体</w:t>
            </w:r>
          </w:p>
          <w:p w14:paraId="5B88566A">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意见</w:t>
            </w:r>
          </w:p>
        </w:tc>
        <w:tc>
          <w:tcPr>
            <w:tcW w:w="6033" w:type="dxa"/>
            <w:gridSpan w:val="3"/>
            <w:vAlign w:val="center"/>
          </w:tcPr>
          <w:p w14:paraId="5B88566B">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 xml:space="preserve">适用     </w:t>
            </w: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 xml:space="preserve">修改     </w:t>
            </w: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废止</w:t>
            </w:r>
          </w:p>
        </w:tc>
      </w:tr>
      <w:tr w14:paraId="5B88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5B88566D">
            <w:pPr>
              <w:rPr>
                <w:rFonts w:ascii="宋体" w:hAnsi="宋体"/>
                <w:color w:val="000000" w:themeColor="text1"/>
                <w14:textFill>
                  <w14:solidFill>
                    <w14:schemeClr w14:val="tx1"/>
                  </w14:solidFill>
                </w14:textFill>
              </w:rPr>
            </w:pPr>
          </w:p>
        </w:tc>
        <w:tc>
          <w:tcPr>
            <w:tcW w:w="1134" w:type="dxa"/>
          </w:tcPr>
          <w:p w14:paraId="5B88566E">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具体修</w:t>
            </w:r>
          </w:p>
          <w:p w14:paraId="5B88566F">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改意见</w:t>
            </w:r>
          </w:p>
        </w:tc>
        <w:tc>
          <w:tcPr>
            <w:tcW w:w="6033" w:type="dxa"/>
            <w:gridSpan w:val="3"/>
          </w:tcPr>
          <w:p w14:paraId="5B88567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需修改章节：</w:t>
            </w:r>
          </w:p>
          <w:p w14:paraId="5B885671">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具体修改意见：</w:t>
            </w:r>
          </w:p>
        </w:tc>
      </w:tr>
      <w:tr w14:paraId="5B88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Align w:val="center"/>
          </w:tcPr>
          <w:p w14:paraId="5B88567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反馈渠道</w:t>
            </w:r>
          </w:p>
        </w:tc>
        <w:tc>
          <w:tcPr>
            <w:tcW w:w="7167" w:type="dxa"/>
            <w:gridSpan w:val="4"/>
          </w:tcPr>
          <w:p w14:paraId="5B885674">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标准化行政主管部门</w:t>
            </w:r>
          </w:p>
          <w:p w14:paraId="5B885675">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省直行业主管部门</w:t>
            </w:r>
          </w:p>
          <w:p w14:paraId="5B885676">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专业标准化技术委员会(工作组)</w:t>
            </w:r>
          </w:p>
          <w:p w14:paraId="5B88567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标准起草组（牵头起草单位）</w:t>
            </w:r>
          </w:p>
        </w:tc>
      </w:tr>
      <w:tr w14:paraId="5B88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Align w:val="center"/>
          </w:tcPr>
          <w:p w14:paraId="5B885679">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反馈人</w:t>
            </w:r>
          </w:p>
        </w:tc>
        <w:tc>
          <w:tcPr>
            <w:tcW w:w="7167" w:type="dxa"/>
            <w:gridSpan w:val="4"/>
          </w:tcPr>
          <w:p w14:paraId="5B88567A">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姓名：         单位：              联系方式：</w:t>
            </w:r>
          </w:p>
        </w:tc>
      </w:tr>
    </w:tbl>
    <w:p w14:paraId="5B88567C">
      <w:pPr>
        <w:pStyle w:val="61"/>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填表说明：为及时掌握标准实施情况，了解地方标准实施过程中存在的问题，并为标准复审提供科学依据，特制定《湖北省地方标准实施信息及意见反馈表》。可根据实际情况在表格中对应方框打勾，有需要文字说明的反馈意见可在相应位置进行文字描述，也可另附页</w:t>
      </w:r>
      <w:bookmarkEnd w:id="576"/>
      <w:bookmarkStart w:id="583" w:name="_Toc234856697"/>
      <w:bookmarkEnd w:id="583"/>
      <w:bookmarkStart w:id="584" w:name="_Toc234856747"/>
      <w:bookmarkEnd w:id="584"/>
      <w:bookmarkStart w:id="585" w:name="_Toc234856698"/>
      <w:bookmarkEnd w:id="585"/>
      <w:bookmarkStart w:id="586" w:name="_Toc234855961"/>
      <w:bookmarkEnd w:id="586"/>
      <w:bookmarkStart w:id="587" w:name="_Toc234856237"/>
      <w:bookmarkEnd w:id="587"/>
      <w:bookmarkStart w:id="588" w:name="_Toc234855448"/>
      <w:bookmarkEnd w:id="588"/>
      <w:bookmarkStart w:id="589" w:name="_Toc234856351"/>
      <w:bookmarkEnd w:id="589"/>
      <w:bookmarkStart w:id="590" w:name="_Toc234856301"/>
      <w:bookmarkEnd w:id="590"/>
      <w:bookmarkStart w:id="591" w:name="_Toc234856300"/>
      <w:bookmarkEnd w:id="591"/>
      <w:bookmarkStart w:id="592" w:name="_Toc234856814"/>
      <w:bookmarkEnd w:id="592"/>
      <w:bookmarkStart w:id="593" w:name="_Toc234856417"/>
      <w:bookmarkEnd w:id="593"/>
      <w:bookmarkStart w:id="594" w:name="_Toc234855630"/>
      <w:bookmarkEnd w:id="594"/>
      <w:bookmarkStart w:id="595" w:name="_Toc234856027"/>
      <w:bookmarkEnd w:id="595"/>
      <w:bookmarkStart w:id="596" w:name="_Toc234856182"/>
      <w:bookmarkEnd w:id="596"/>
      <w:bookmarkStart w:id="597" w:name="_Toc234856576"/>
      <w:bookmarkEnd w:id="597"/>
      <w:bookmarkStart w:id="598" w:name="_Toc234856573"/>
      <w:bookmarkEnd w:id="598"/>
      <w:bookmarkStart w:id="599" w:name="_Toc234855787"/>
      <w:bookmarkEnd w:id="599"/>
      <w:bookmarkStart w:id="600" w:name="_Toc234856177"/>
      <w:bookmarkEnd w:id="600"/>
      <w:bookmarkStart w:id="601" w:name="_Toc234855390"/>
      <w:bookmarkEnd w:id="601"/>
      <w:bookmarkStart w:id="602" w:name="_Toc234856574"/>
      <w:bookmarkEnd w:id="602"/>
      <w:bookmarkStart w:id="603" w:name="_Toc234855786"/>
      <w:bookmarkEnd w:id="603"/>
      <w:bookmarkStart w:id="604" w:name="_Toc234855789"/>
      <w:bookmarkEnd w:id="604"/>
      <w:bookmarkStart w:id="605" w:name="_Toc234856577"/>
      <w:bookmarkEnd w:id="605"/>
      <w:bookmarkStart w:id="606" w:name="_Toc234855392"/>
      <w:bookmarkEnd w:id="606"/>
      <w:bookmarkStart w:id="607" w:name="_Toc234855391"/>
      <w:bookmarkEnd w:id="607"/>
      <w:bookmarkStart w:id="608" w:name="_Toc234856176"/>
      <w:bookmarkEnd w:id="608"/>
      <w:bookmarkStart w:id="609" w:name="_Toc234856185"/>
      <w:bookmarkEnd w:id="609"/>
      <w:bookmarkStart w:id="610" w:name="_Toc234855788"/>
      <w:bookmarkEnd w:id="610"/>
      <w:bookmarkStart w:id="611" w:name="_Toc234856179"/>
      <w:bookmarkEnd w:id="611"/>
      <w:bookmarkStart w:id="612" w:name="_Toc234855389"/>
      <w:bookmarkEnd w:id="612"/>
      <w:bookmarkStart w:id="613" w:name="_Toc234856180"/>
      <w:bookmarkEnd w:id="613"/>
      <w:bookmarkStart w:id="614" w:name="_Toc234856575"/>
      <w:bookmarkEnd w:id="614"/>
      <w:bookmarkStart w:id="615" w:name="_Toc234856579"/>
      <w:bookmarkEnd w:id="615"/>
      <w:bookmarkStart w:id="616" w:name="_Toc234855393"/>
      <w:bookmarkEnd w:id="616"/>
      <w:bookmarkStart w:id="617" w:name="_Toc234856580"/>
      <w:bookmarkEnd w:id="617"/>
      <w:bookmarkStart w:id="618" w:name="_Toc234855843"/>
      <w:bookmarkEnd w:id="618"/>
      <w:bookmarkStart w:id="619" w:name="_Toc234856582"/>
      <w:bookmarkEnd w:id="619"/>
      <w:bookmarkStart w:id="620" w:name="_Toc234856233"/>
      <w:bookmarkEnd w:id="620"/>
      <w:bookmarkStart w:id="621" w:name="_Toc234856178"/>
      <w:bookmarkEnd w:id="621"/>
      <w:bookmarkStart w:id="622" w:name="_Toc234855394"/>
      <w:bookmarkEnd w:id="622"/>
      <w:bookmarkStart w:id="623" w:name="_Toc234856578"/>
      <w:bookmarkEnd w:id="623"/>
      <w:bookmarkStart w:id="624" w:name="_Toc234855795"/>
      <w:bookmarkEnd w:id="624"/>
      <w:bookmarkStart w:id="625" w:name="_Toc234855792"/>
      <w:bookmarkEnd w:id="625"/>
      <w:bookmarkStart w:id="626" w:name="_Toc234855791"/>
      <w:bookmarkEnd w:id="626"/>
      <w:bookmarkStart w:id="627" w:name="_Toc234855395"/>
      <w:bookmarkEnd w:id="627"/>
      <w:bookmarkStart w:id="628" w:name="_Toc234855398"/>
      <w:bookmarkEnd w:id="628"/>
      <w:bookmarkStart w:id="629" w:name="_Toc234856350"/>
      <w:bookmarkEnd w:id="629"/>
      <w:bookmarkStart w:id="630" w:name="_Toc234855563"/>
      <w:bookmarkEnd w:id="630"/>
      <w:bookmarkStart w:id="631" w:name="_Toc234855450"/>
      <w:bookmarkEnd w:id="631"/>
      <w:bookmarkStart w:id="632" w:name="_Toc234855794"/>
      <w:bookmarkEnd w:id="632"/>
      <w:bookmarkStart w:id="633" w:name="_Toc234856632"/>
      <w:bookmarkEnd w:id="633"/>
      <w:bookmarkStart w:id="634" w:name="_Toc234856235"/>
      <w:bookmarkEnd w:id="634"/>
      <w:bookmarkStart w:id="635" w:name="_Toc234856181"/>
      <w:bookmarkEnd w:id="635"/>
      <w:bookmarkStart w:id="636" w:name="_Toc234855844"/>
      <w:bookmarkEnd w:id="636"/>
      <w:bookmarkStart w:id="637" w:name="_Toc234855397"/>
      <w:bookmarkEnd w:id="637"/>
      <w:bookmarkStart w:id="638" w:name="_Toc234856630"/>
      <w:bookmarkEnd w:id="638"/>
      <w:bookmarkStart w:id="639" w:name="_Toc234855790"/>
      <w:bookmarkEnd w:id="639"/>
      <w:bookmarkStart w:id="640" w:name="_Toc234856184"/>
      <w:bookmarkEnd w:id="640"/>
      <w:bookmarkStart w:id="641" w:name="_Toc234855911"/>
      <w:bookmarkEnd w:id="641"/>
      <w:bookmarkStart w:id="642" w:name="_Toc234856183"/>
      <w:bookmarkEnd w:id="642"/>
      <w:bookmarkStart w:id="643" w:name="_Toc234856631"/>
      <w:bookmarkEnd w:id="643"/>
      <w:bookmarkStart w:id="644" w:name="_Toc234855446"/>
      <w:bookmarkEnd w:id="644"/>
      <w:bookmarkStart w:id="645" w:name="_Toc234855846"/>
      <w:bookmarkEnd w:id="645"/>
      <w:bookmarkStart w:id="646" w:name="_Toc234855845"/>
      <w:bookmarkEnd w:id="646"/>
      <w:bookmarkStart w:id="647" w:name="_Toc234856581"/>
      <w:bookmarkEnd w:id="647"/>
      <w:bookmarkStart w:id="648" w:name="_Toc234855847"/>
      <w:bookmarkEnd w:id="648"/>
      <w:bookmarkStart w:id="649" w:name="_Toc234856234"/>
      <w:bookmarkEnd w:id="649"/>
      <w:bookmarkStart w:id="650" w:name="_Toc234855514"/>
      <w:bookmarkEnd w:id="650"/>
      <w:bookmarkStart w:id="651" w:name="_Toc234855396"/>
      <w:bookmarkEnd w:id="651"/>
      <w:bookmarkStart w:id="652" w:name="_Toc234855447"/>
      <w:bookmarkEnd w:id="652"/>
      <w:bookmarkStart w:id="653" w:name="_Toc234855793"/>
      <w:bookmarkEnd w:id="653"/>
      <w:bookmarkStart w:id="654" w:name="_Toc234855910"/>
      <w:bookmarkEnd w:id="654"/>
      <w:bookmarkStart w:id="655" w:name="_Toc234856813"/>
      <w:bookmarkEnd w:id="655"/>
      <w:bookmarkStart w:id="656" w:name="_Toc234856236"/>
      <w:bookmarkEnd w:id="656"/>
      <w:bookmarkStart w:id="657" w:name="_Toc234855564"/>
      <w:bookmarkEnd w:id="657"/>
      <w:bookmarkStart w:id="658" w:name="_Toc234856634"/>
      <w:bookmarkEnd w:id="658"/>
      <w:bookmarkStart w:id="659" w:name="_Toc234855629"/>
      <w:bookmarkEnd w:id="659"/>
      <w:bookmarkStart w:id="660" w:name="_Toc234856748"/>
      <w:bookmarkEnd w:id="660"/>
      <w:bookmarkStart w:id="661" w:name="_Toc234856416"/>
      <w:bookmarkEnd w:id="661"/>
      <w:bookmarkStart w:id="662" w:name="_Toc234856026"/>
      <w:bookmarkEnd w:id="662"/>
      <w:bookmarkStart w:id="663" w:name="_Toc234855960"/>
      <w:bookmarkEnd w:id="663"/>
      <w:bookmarkStart w:id="664" w:name="_Toc234855513"/>
      <w:bookmarkEnd w:id="664"/>
      <w:bookmarkStart w:id="665" w:name="_Toc234855449"/>
      <w:bookmarkEnd w:id="665"/>
      <w:bookmarkStart w:id="666" w:name="_Toc234856633"/>
      <w:bookmarkEnd w:id="666"/>
      <w:r>
        <w:rPr>
          <w:rFonts w:hint="eastAsia"/>
          <w:color w:val="000000" w:themeColor="text1"/>
          <w14:textFill>
            <w14:solidFill>
              <w14:schemeClr w14:val="tx1"/>
            </w14:solidFill>
          </w14:textFill>
        </w:rPr>
        <w:t>。</w:t>
      </w:r>
      <w:r>
        <w:rPr>
          <w:color w:val="000000" w:themeColor="text1"/>
          <w14:textFill>
            <w14:solidFill>
              <w14:schemeClr w14:val="tx1"/>
            </w14:solidFill>
          </w14:textFill>
        </w:rPr>
        <w:br w:type="page"/>
      </w:r>
    </w:p>
    <w:p w14:paraId="5B88567D">
      <w:pPr>
        <w:pStyle w:val="68"/>
        <w:spacing w:before="124" w:after="156"/>
      </w:pPr>
      <w:bookmarkStart w:id="667" w:name="_Toc216949837"/>
      <w:bookmarkStart w:id="668" w:name="_Toc236215129"/>
      <w:bookmarkStart w:id="669" w:name="_Toc100824237"/>
      <w:bookmarkStart w:id="670" w:name="_Toc240381783"/>
      <w:r>
        <w:rPr>
          <w:rFonts w:hint="eastAsia"/>
          <w:spacing w:val="105"/>
        </w:rPr>
        <w:t>参考文</w:t>
      </w:r>
      <w:r>
        <w:rPr>
          <w:rFonts w:hint="eastAsia"/>
        </w:rPr>
        <w:t>献</w:t>
      </w:r>
      <w:bookmarkEnd w:id="667"/>
      <w:bookmarkEnd w:id="668"/>
      <w:bookmarkEnd w:id="669"/>
      <w:bookmarkEnd w:id="670"/>
    </w:p>
    <w:p w14:paraId="5B88567E">
      <w:pPr>
        <w:pStyle w:val="61"/>
        <w:widowControl w:val="0"/>
        <w:ind w:firstLine="420"/>
        <w:rPr>
          <w:rFonts w:hAnsi="宋体"/>
        </w:rPr>
      </w:pPr>
      <w:r>
        <w:rPr>
          <w:rFonts w:hint="eastAsia"/>
        </w:rPr>
        <w:t>[1]</w:t>
      </w:r>
      <w:r>
        <w:tab/>
      </w:r>
      <w:r>
        <w:rPr>
          <w:rFonts w:hint="eastAsia" w:hAnsi="宋体"/>
        </w:rPr>
        <w:t>MH/T 4054-2022  城市场景轻小型无人驾驶航空器物流航线划设规范</w:t>
      </w:r>
    </w:p>
    <w:p w14:paraId="5B88567F">
      <w:pPr>
        <w:pStyle w:val="61"/>
        <w:widowControl w:val="0"/>
        <w:ind w:firstLine="420"/>
        <w:rPr>
          <w:rFonts w:hAnsi="宋体"/>
        </w:rPr>
      </w:pPr>
      <w:r>
        <w:rPr>
          <w:rFonts w:hint="eastAsia" w:hAnsi="宋体"/>
        </w:rPr>
        <w:t>[2]</w:t>
      </w:r>
      <w:r>
        <w:rPr>
          <w:rFonts w:hAnsi="宋体"/>
        </w:rPr>
        <w:tab/>
      </w:r>
      <w:r>
        <w:rPr>
          <w:rFonts w:hAnsi="宋体"/>
        </w:rPr>
        <w:t xml:space="preserve">T/AOPA 0105-2026  </w:t>
      </w:r>
      <w:r>
        <w:rPr>
          <w:rFonts w:hint="eastAsia" w:hAnsi="宋体"/>
        </w:rPr>
        <w:t>无人驾驶航空器低空航线评估及划设方法</w:t>
      </w:r>
    </w:p>
    <w:p w14:paraId="5B885680">
      <w:pPr>
        <w:pStyle w:val="61"/>
        <w:widowControl w:val="0"/>
        <w:ind w:firstLine="420"/>
      </w:pPr>
      <w:r>
        <w:rPr>
          <w:rFonts w:hint="eastAsia" w:hAnsi="宋体"/>
        </w:rPr>
        <w:t>[3]</w:t>
      </w:r>
      <w:r>
        <w:rPr>
          <w:rFonts w:hAnsi="宋体"/>
        </w:rPr>
        <w:tab/>
      </w:r>
      <w:r>
        <w:t>T/CICC 27003-2025</w:t>
      </w:r>
      <w:r>
        <w:rPr>
          <w:rFonts w:hint="eastAsia" w:hAnsi="宋体"/>
        </w:rPr>
        <w:t xml:space="preserve">  </w:t>
      </w:r>
      <w:r>
        <w:t>低空无人驾驶航空器起降场地安全通用要求</w:t>
      </w:r>
    </w:p>
    <w:p w14:paraId="5B885681">
      <w:pPr>
        <w:pStyle w:val="61"/>
        <w:widowControl w:val="0"/>
        <w:ind w:firstLine="420"/>
        <w:rPr>
          <w:rFonts w:hAnsi="宋体"/>
        </w:rPr>
      </w:pPr>
      <w:r>
        <w:rPr>
          <w:rFonts w:hint="eastAsia"/>
        </w:rPr>
        <w:t>[4]</w:t>
      </w:r>
      <w:r>
        <w:tab/>
      </w:r>
      <w:r>
        <w:rPr>
          <w:rFonts w:hint="eastAsia"/>
        </w:rPr>
        <w:t>国令第761号《无人驾驶航空器飞行管理暂行条例》，国务院，中央军委</w:t>
      </w:r>
    </w:p>
    <w:p w14:paraId="5B885682">
      <w:pPr>
        <w:pStyle w:val="61"/>
        <w:widowControl w:val="0"/>
        <w:ind w:firstLine="420"/>
      </w:pPr>
      <w:r>
        <w:rPr>
          <w:rFonts w:hint="eastAsia"/>
        </w:rPr>
        <w:t>[5]</w:t>
      </w:r>
      <w:r>
        <w:tab/>
      </w:r>
      <w:r>
        <w:rPr>
          <w:rFonts w:hint="eastAsia"/>
        </w:rPr>
        <w:t>《低空公共航路配套设施设备建设管理导则》，中国民用航空局</w:t>
      </w:r>
    </w:p>
    <w:p w14:paraId="5B885683">
      <w:pPr>
        <w:pStyle w:val="61"/>
        <w:widowControl w:val="0"/>
        <w:ind w:firstLine="420"/>
      </w:pPr>
      <w:r>
        <w:rPr>
          <w:rFonts w:hint="eastAsia"/>
        </w:rPr>
        <w:t>[6]</w:t>
      </w:r>
      <w:r>
        <w:tab/>
      </w:r>
      <w:r>
        <w:rPr>
          <w:rFonts w:hint="eastAsia"/>
        </w:rPr>
        <w:t>《低空民用航空活动高度基准使用及转换暂行规定》，中国民用航空局</w:t>
      </w:r>
    </w:p>
    <w:p w14:paraId="5B885684">
      <w:pPr>
        <w:pStyle w:val="61"/>
        <w:widowControl w:val="0"/>
        <w:ind w:firstLine="420"/>
      </w:pPr>
    </w:p>
    <w:p w14:paraId="5B885685">
      <w:pPr>
        <w:pStyle w:val="61"/>
        <w:widowControl w:val="0"/>
        <w:ind w:firstLine="420"/>
        <w:jc w:val="center"/>
      </w:pPr>
      <w:r>
        <w:rPr>
          <w:rFonts w:hint="eastAsia"/>
        </w:rPr>
        <w:drawing>
          <wp:inline distT="0" distB="0" distL="0" distR="0">
            <wp:extent cx="1485900" cy="317500"/>
            <wp:effectExtent l="0" t="0" r="0" b="635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20">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p>
    <w:sectPr>
      <w:pgSz w:w="11906" w:h="16838"/>
      <w:pgMar w:top="2410"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9D">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9C">
    <w:pPr>
      <w:pStyle w:val="20"/>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9F">
    <w:pPr>
      <w:pStyle w:val="20"/>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A2">
    <w:pPr>
      <w:pStyle w:val="57"/>
    </w:pPr>
    <w:r>
      <w:fldChar w:fldCharType="begin"/>
    </w:r>
    <w:r>
      <w:instrText xml:space="preserve">PAGE   \* MERGEFORMAT</w:instrText>
    </w:r>
    <w:r>
      <w:fldChar w:fldCharType="separate"/>
    </w:r>
    <w:r>
      <w:rPr>
        <w:lang w:val="zh-CN"/>
      </w:rPr>
      <w:t>14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9B">
    <w:pPr>
      <w:pStyle w:val="21"/>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9A">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9E">
    <w:pPr>
      <w:pStyle w:val="21"/>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A1">
    <w:pPr>
      <w:pStyle w:val="66"/>
    </w:pPr>
    <w:r>
      <w:fldChar w:fldCharType="begin"/>
    </w:r>
    <w:r>
      <w:instrText xml:space="preserve"> STYLEREF  标准文件_文件编号  \* MERGEFORMAT </w:instrText>
    </w:r>
    <w:r>
      <w:fldChar w:fldCharType="separate"/>
    </w:r>
    <w:r>
      <w:t>DB42/TXXXX—XXXX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A0">
    <w:pPr>
      <w:pStyle w:val="21"/>
      <w:jc w:val="right"/>
      <w:rPr>
        <w:lang w:val="fr-FR"/>
      </w:rPr>
    </w:pPr>
    <w:r>
      <w:fldChar w:fldCharType="begin"/>
    </w:r>
    <w:r>
      <w:instrText xml:space="preserve"> STYLEREF  标准文件_文件编号  \* MERGEFORMAT </w:instrText>
    </w:r>
    <w:r>
      <w:fldChar w:fldCharType="separate"/>
    </w:r>
    <w:r>
      <w:t>DB42/TXXXX—XXXX</w:t>
    </w:r>
    <w:r>
      <w:rP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9"/>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4"/>
      <w:suff w:val="nothing"/>
      <w:lvlText w:val="%1%2.%3　"/>
      <w:lvlJc w:val="left"/>
      <w:pPr>
        <w:ind w:left="0" w:firstLine="0"/>
      </w:pPr>
    </w:lvl>
    <w:lvl w:ilvl="3" w:tentative="0">
      <w:start w:val="1"/>
      <w:numFmt w:val="decimal"/>
      <w:pStyle w:val="123"/>
      <w:suff w:val="nothing"/>
      <w:lvlText w:val="%1%2.%3.%4　"/>
      <w:lvlJc w:val="left"/>
      <w:pPr>
        <w:ind w:left="0" w:firstLine="0"/>
      </w:pPr>
    </w:lvl>
    <w:lvl w:ilvl="4" w:tentative="0">
      <w:start w:val="1"/>
      <w:numFmt w:val="decimal"/>
      <w:pStyle w:val="158"/>
      <w:suff w:val="nothing"/>
      <w:lvlText w:val="%1%2.%3.%4.%5　"/>
      <w:lvlJc w:val="left"/>
      <w:pPr>
        <w:ind w:left="0" w:firstLine="0"/>
      </w:pPr>
    </w:lvl>
    <w:lvl w:ilvl="5" w:tentative="0">
      <w:start w:val="1"/>
      <w:numFmt w:val="decimal"/>
      <w:pStyle w:val="160"/>
      <w:suff w:val="nothing"/>
      <w:lvlText w:val="%1%2.%3.%4.%5.%6　"/>
      <w:lvlJc w:val="left"/>
      <w:pPr>
        <w:ind w:left="0" w:firstLine="0"/>
      </w:pPr>
    </w:lvl>
    <w:lvl w:ilvl="6" w:tentative="0">
      <w:start w:val="1"/>
      <w:numFmt w:val="decimal"/>
      <w:pStyle w:val="163"/>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5"/>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4"/>
      <w:lvlText w:val="%1"/>
      <w:lvlJc w:val="left"/>
      <w:pPr>
        <w:ind w:left="425" w:hanging="425"/>
      </w:pPr>
      <w:rPr>
        <w:rFonts w:hint="eastAsia"/>
      </w:rPr>
    </w:lvl>
    <w:lvl w:ilvl="1" w:tentative="0">
      <w:start w:val="1"/>
      <w:numFmt w:val="decimal"/>
      <w:pStyle w:val="205"/>
      <w:suff w:val="nothing"/>
      <w:lvlText w:val="%10.%2 "/>
      <w:lvlJc w:val="left"/>
      <w:pPr>
        <w:ind w:left="0" w:firstLine="0"/>
      </w:pPr>
      <w:rPr>
        <w:rFonts w:hint="eastAsia" w:ascii="黑体" w:eastAsia="黑体" w:hAnsiTheme="minorHAnsi"/>
        <w:b w:val="0"/>
        <w:i w:val="0"/>
        <w:sz w:val="21"/>
      </w:rPr>
    </w:lvl>
    <w:lvl w:ilvl="2" w:tentative="0">
      <w:start w:val="1"/>
      <w:numFmt w:val="decimal"/>
      <w:pStyle w:val="206"/>
      <w:suff w:val="nothing"/>
      <w:lvlText w:val="%10.%2.%3 "/>
      <w:lvlJc w:val="left"/>
      <w:pPr>
        <w:ind w:left="0" w:firstLine="0"/>
      </w:pPr>
      <w:rPr>
        <w:rFonts w:hint="eastAsia" w:ascii="黑体" w:eastAsia="黑体" w:hAnsiTheme="minorHAnsi"/>
        <w:b w:val="0"/>
        <w:i w:val="0"/>
        <w:sz w:val="21"/>
      </w:rPr>
    </w:lvl>
    <w:lvl w:ilvl="3" w:tentative="0">
      <w:start w:val="1"/>
      <w:numFmt w:val="decimal"/>
      <w:pStyle w:val="207"/>
      <w:suff w:val="nothing"/>
      <w:lvlText w:val="%10.%2.%3.%4 "/>
      <w:lvlJc w:val="left"/>
      <w:pPr>
        <w:ind w:left="0" w:firstLine="0"/>
      </w:pPr>
      <w:rPr>
        <w:rFonts w:hint="eastAsia" w:ascii="黑体" w:eastAsia="黑体" w:hAnsiTheme="minorHAnsi"/>
        <w:b w:val="0"/>
        <w:i w:val="0"/>
        <w:sz w:val="21"/>
      </w:rPr>
    </w:lvl>
    <w:lvl w:ilvl="4" w:tentative="0">
      <w:start w:val="1"/>
      <w:numFmt w:val="decimal"/>
      <w:pStyle w:val="208"/>
      <w:suff w:val="nothing"/>
      <w:lvlText w:val="%10.%2.%3.%4.%5 "/>
      <w:lvlJc w:val="left"/>
      <w:pPr>
        <w:ind w:left="0" w:firstLine="0"/>
      </w:pPr>
      <w:rPr>
        <w:rFonts w:hint="eastAsia" w:ascii="黑体" w:eastAsia="黑体" w:hAnsiTheme="minorHAnsi"/>
        <w:b w:val="0"/>
        <w:i w:val="0"/>
        <w:sz w:val="21"/>
      </w:rPr>
    </w:lvl>
    <w:lvl w:ilvl="5" w:tentative="0">
      <w:start w:val="1"/>
      <w:numFmt w:val="decimal"/>
      <w:pStyle w:val="209"/>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6"/>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2"/>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4"/>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5"/>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90"/>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7"/>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7"/>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2"/>
      <w:lvlText w:val=""/>
      <w:lvlJc w:val="left"/>
      <w:pPr>
        <w:ind w:left="851" w:hanging="431"/>
      </w:pPr>
      <w:rPr>
        <w:rFonts w:hint="default" w:ascii="Symbol" w:hAnsi="Symbol"/>
        <w:sz w:val="21"/>
      </w:rPr>
    </w:lvl>
    <w:lvl w:ilvl="2" w:tentative="0">
      <w:start w:val="1"/>
      <w:numFmt w:val="bullet"/>
      <w:pStyle w:val="177"/>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6"/>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9"/>
      <w:lvlText w:val="%1)"/>
      <w:lvlJc w:val="left"/>
      <w:pPr>
        <w:tabs>
          <w:tab w:val="left" w:pos="852"/>
        </w:tabs>
        <w:ind w:left="852" w:hanging="426"/>
      </w:pPr>
      <w:rPr>
        <w:rFonts w:hint="eastAsia" w:ascii="宋体" w:hAnsi="Times New Roman" w:eastAsia="宋体"/>
        <w:sz w:val="21"/>
      </w:rPr>
    </w:lvl>
    <w:lvl w:ilvl="1" w:tentative="0">
      <w:start w:val="1"/>
      <w:numFmt w:val="decimal"/>
      <w:pStyle w:val="114"/>
      <w:lvlText w:val="%2)"/>
      <w:lvlJc w:val="left"/>
      <w:pPr>
        <w:tabs>
          <w:tab w:val="left" w:pos="1276"/>
        </w:tabs>
        <w:ind w:left="1276" w:hanging="425"/>
      </w:pPr>
      <w:rPr>
        <w:rFonts w:hint="eastAsia" w:ascii="宋体" w:hAnsi="Times New Roman" w:eastAsia="宋体"/>
        <w:sz w:val="21"/>
      </w:rPr>
    </w:lvl>
    <w:lvl w:ilvl="2" w:tentative="0">
      <w:start w:val="1"/>
      <w:numFmt w:val="decimal"/>
      <w:pStyle w:val="122"/>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3"/>
      <w:lvlText w:val="%1"/>
      <w:lvlJc w:val="left"/>
      <w:pPr>
        <w:ind w:left="420" w:hanging="420"/>
      </w:pPr>
      <w:rPr>
        <w:rFonts w:hint="eastAsia"/>
      </w:rPr>
    </w:lvl>
    <w:lvl w:ilvl="1" w:tentative="0">
      <w:start w:val="1"/>
      <w:numFmt w:val="decimal"/>
      <w:pStyle w:val="88"/>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8"/>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21"/>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0812918"/>
    <w:multiLevelType w:val="multilevel"/>
    <w:tmpl w:val="50812918"/>
    <w:lvl w:ilvl="0" w:tentative="0">
      <w:start w:val="6"/>
      <w:numFmt w:val="decimal"/>
      <w:lvlText w:val="%1"/>
      <w:lvlJc w:val="left"/>
      <w:pPr>
        <w:ind w:left="525" w:hanging="525"/>
      </w:pPr>
      <w:rPr>
        <w:rFonts w:hint="default"/>
      </w:rPr>
    </w:lvl>
    <w:lvl w:ilvl="1" w:tentative="0">
      <w:start w:val="1"/>
      <w:numFmt w:val="decimal"/>
      <w:lvlText w:val="%1.%2"/>
      <w:lvlJc w:val="left"/>
      <w:pPr>
        <w:ind w:left="525" w:hanging="52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abstractNum w:abstractNumId="17">
    <w:nsid w:val="54632751"/>
    <w:multiLevelType w:val="multilevel"/>
    <w:tmpl w:val="54632751"/>
    <w:lvl w:ilvl="0" w:tentative="0">
      <w:start w:val="1"/>
      <w:numFmt w:val="none"/>
      <w:pStyle w:val="98"/>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19"/>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204"/>
      <w:suff w:val="space"/>
      <w:lvlText w:val="%1"/>
      <w:lvlJc w:val="left"/>
      <w:pPr>
        <w:ind w:left="425" w:hanging="425"/>
      </w:pPr>
      <w:rPr>
        <w:rFonts w:hint="eastAsia"/>
      </w:rPr>
    </w:lvl>
    <w:lvl w:ilvl="1" w:tentative="0">
      <w:start w:val="1"/>
      <w:numFmt w:val="decimal"/>
      <w:pStyle w:val="82"/>
      <w:suff w:val="space"/>
      <w:lvlText w:val="表%1.%2"/>
      <w:lvlJc w:val="center"/>
      <w:pPr>
        <w:ind w:left="0" w:firstLine="0"/>
      </w:pPr>
      <w:rPr>
        <w:rFonts w:hint="eastAsia" w:ascii="黑体" w:eastAsia="黑体"/>
        <w:sz w:val="21"/>
        <w:lang w:val="en-U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6"/>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38A7983"/>
    <w:multiLevelType w:val="multilevel"/>
    <w:tmpl w:val="638A7983"/>
    <w:lvl w:ilvl="0" w:tentative="0">
      <w:start w:val="1"/>
      <w:numFmt w:val="lowerLetter"/>
      <w:pStyle w:val="239"/>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38"/>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2">
    <w:nsid w:val="644622F9"/>
    <w:multiLevelType w:val="multilevel"/>
    <w:tmpl w:val="644622F9"/>
    <w:lvl w:ilvl="0" w:tentative="0">
      <w:start w:val="1"/>
      <w:numFmt w:val="upp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3">
    <w:nsid w:val="646260FA"/>
    <w:multiLevelType w:val="multilevel"/>
    <w:tmpl w:val="646260FA"/>
    <w:lvl w:ilvl="0" w:tentative="0">
      <w:start w:val="1"/>
      <w:numFmt w:val="decimal"/>
      <w:pStyle w:val="117"/>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4">
    <w:nsid w:val="654A26C9"/>
    <w:multiLevelType w:val="multilevel"/>
    <w:tmpl w:val="654A26C9"/>
    <w:lvl w:ilvl="0" w:tentative="0">
      <w:start w:val="1"/>
      <w:numFmt w:val="none"/>
      <w:pStyle w:val="194"/>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5">
    <w:nsid w:val="657D3FBC"/>
    <w:multiLevelType w:val="multilevel"/>
    <w:tmpl w:val="657D3FBC"/>
    <w:lvl w:ilvl="0" w:tentative="0">
      <w:start w:val="1"/>
      <w:numFmt w:val="upperLetter"/>
      <w:pStyle w:val="81"/>
      <w:suff w:val="nothing"/>
      <w:lvlText w:val="附录%1"/>
      <w:lvlJc w:val="left"/>
      <w:pPr>
        <w:ind w:left="0" w:firstLine="0"/>
      </w:pPr>
      <w:rPr>
        <w:rFonts w:hint="eastAsia"/>
        <w:spacing w:val="100"/>
      </w:rPr>
    </w:lvl>
    <w:lvl w:ilvl="1" w:tentative="0">
      <w:start w:val="1"/>
      <w:numFmt w:val="decimal"/>
      <w:pStyle w:val="83"/>
      <w:suff w:val="nothing"/>
      <w:lvlText w:val="%1.%2　"/>
      <w:lvlJc w:val="left"/>
      <w:pPr>
        <w:ind w:left="0" w:firstLine="0"/>
      </w:pPr>
      <w:rPr>
        <w:rFonts w:hint="eastAsia" w:ascii="黑体" w:eastAsia="黑体"/>
        <w:b w:val="0"/>
        <w:i w:val="0"/>
        <w:sz w:val="21"/>
      </w:rPr>
    </w:lvl>
    <w:lvl w:ilvl="2" w:tentative="0">
      <w:start w:val="1"/>
      <w:numFmt w:val="decimal"/>
      <w:pStyle w:val="84"/>
      <w:suff w:val="nothing"/>
      <w:lvlText w:val="%1.%2.%3　"/>
      <w:lvlJc w:val="left"/>
      <w:pPr>
        <w:ind w:left="0" w:firstLine="0"/>
      </w:pPr>
      <w:rPr>
        <w:rFonts w:hint="eastAsia" w:ascii="黑体" w:eastAsia="黑体"/>
        <w:b w:val="0"/>
        <w:i w:val="0"/>
        <w:sz w:val="21"/>
      </w:rPr>
    </w:lvl>
    <w:lvl w:ilvl="3" w:tentative="0">
      <w:start w:val="1"/>
      <w:numFmt w:val="decimal"/>
      <w:pStyle w:val="86"/>
      <w:suff w:val="nothing"/>
      <w:lvlText w:val="%1.%2.%3.%4　"/>
      <w:lvlJc w:val="left"/>
      <w:pPr>
        <w:ind w:left="0" w:firstLine="0"/>
      </w:pPr>
      <w:rPr>
        <w:rFonts w:hint="eastAsia" w:ascii="黑体" w:eastAsia="黑体"/>
        <w:b w:val="0"/>
        <w:i w:val="0"/>
        <w:sz w:val="21"/>
      </w:rPr>
    </w:lvl>
    <w:lvl w:ilvl="4" w:tentative="0">
      <w:start w:val="1"/>
      <w:numFmt w:val="decimal"/>
      <w:pStyle w:val="87"/>
      <w:suff w:val="nothing"/>
      <w:lvlText w:val="%1.%2.%3.%4.%5　"/>
      <w:lvlJc w:val="left"/>
      <w:pPr>
        <w:ind w:left="0" w:firstLine="0"/>
      </w:pPr>
      <w:rPr>
        <w:rFonts w:hint="eastAsia" w:ascii="黑体" w:eastAsia="黑体"/>
        <w:b w:val="0"/>
        <w:i w:val="0"/>
        <w:sz w:val="21"/>
      </w:rPr>
    </w:lvl>
    <w:lvl w:ilvl="5" w:tentative="0">
      <w:start w:val="1"/>
      <w:numFmt w:val="decimal"/>
      <w:pStyle w:val="89"/>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6">
    <w:nsid w:val="66871646"/>
    <w:multiLevelType w:val="multilevel"/>
    <w:tmpl w:val="66871646"/>
    <w:lvl w:ilvl="0" w:tentative="0">
      <w:start w:val="1"/>
      <w:numFmt w:val="decimal"/>
      <w:lvlText w:val="%1）"/>
      <w:lvlJc w:val="left"/>
      <w:pPr>
        <w:ind w:left="1212" w:hanging="360"/>
      </w:pPr>
      <w:rPr>
        <w:rFonts w:hint="default"/>
      </w:rPr>
    </w:lvl>
    <w:lvl w:ilvl="1" w:tentative="0">
      <w:start w:val="1"/>
      <w:numFmt w:val="lowerLetter"/>
      <w:lvlText w:val="%2)"/>
      <w:lvlJc w:val="left"/>
      <w:pPr>
        <w:ind w:left="1732" w:hanging="440"/>
      </w:pPr>
    </w:lvl>
    <w:lvl w:ilvl="2" w:tentative="0">
      <w:start w:val="1"/>
      <w:numFmt w:val="lowerRoman"/>
      <w:lvlText w:val="%3."/>
      <w:lvlJc w:val="right"/>
      <w:pPr>
        <w:ind w:left="2172" w:hanging="440"/>
      </w:pPr>
    </w:lvl>
    <w:lvl w:ilvl="3" w:tentative="0">
      <w:start w:val="1"/>
      <w:numFmt w:val="decimal"/>
      <w:lvlText w:val="%4."/>
      <w:lvlJc w:val="left"/>
      <w:pPr>
        <w:ind w:left="2612" w:hanging="440"/>
      </w:pPr>
    </w:lvl>
    <w:lvl w:ilvl="4" w:tentative="0">
      <w:start w:val="1"/>
      <w:numFmt w:val="lowerLetter"/>
      <w:lvlText w:val="%5)"/>
      <w:lvlJc w:val="left"/>
      <w:pPr>
        <w:ind w:left="3052" w:hanging="440"/>
      </w:pPr>
    </w:lvl>
    <w:lvl w:ilvl="5" w:tentative="0">
      <w:start w:val="1"/>
      <w:numFmt w:val="lowerRoman"/>
      <w:lvlText w:val="%6."/>
      <w:lvlJc w:val="right"/>
      <w:pPr>
        <w:ind w:left="3492" w:hanging="440"/>
      </w:pPr>
    </w:lvl>
    <w:lvl w:ilvl="6" w:tentative="0">
      <w:start w:val="1"/>
      <w:numFmt w:val="decimal"/>
      <w:lvlText w:val="%7."/>
      <w:lvlJc w:val="left"/>
      <w:pPr>
        <w:ind w:left="3932" w:hanging="440"/>
      </w:pPr>
    </w:lvl>
    <w:lvl w:ilvl="7" w:tentative="0">
      <w:start w:val="1"/>
      <w:numFmt w:val="lowerLetter"/>
      <w:lvlText w:val="%8)"/>
      <w:lvlJc w:val="left"/>
      <w:pPr>
        <w:ind w:left="4372" w:hanging="440"/>
      </w:pPr>
    </w:lvl>
    <w:lvl w:ilvl="8" w:tentative="0">
      <w:start w:val="1"/>
      <w:numFmt w:val="lowerRoman"/>
      <w:lvlText w:val="%9."/>
      <w:lvlJc w:val="right"/>
      <w:pPr>
        <w:ind w:left="4812" w:hanging="440"/>
      </w:pPr>
    </w:lvl>
  </w:abstractNum>
  <w:abstractNum w:abstractNumId="27">
    <w:nsid w:val="69506ABF"/>
    <w:multiLevelType w:val="multilevel"/>
    <w:tmpl w:val="69506ABF"/>
    <w:lvl w:ilvl="0" w:tentative="0">
      <w:start w:val="1"/>
      <w:numFmt w:val="bullet"/>
      <w:pStyle w:val="193"/>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8">
    <w:nsid w:val="6CA41985"/>
    <w:multiLevelType w:val="multilevel"/>
    <w:tmpl w:val="6CA41985"/>
    <w:lvl w:ilvl="0" w:tentative="0">
      <w:start w:val="1"/>
      <w:numFmt w:val="decimal"/>
      <w:pStyle w:val="102"/>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CE42AC1"/>
    <w:multiLevelType w:val="multilevel"/>
    <w:tmpl w:val="6CE42AC1"/>
    <w:lvl w:ilvl="0" w:tentative="0">
      <w:start w:val="1"/>
      <w:numFmt w:val="lowerLetter"/>
      <w:pStyle w:val="178"/>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6CEA2025"/>
    <w:multiLevelType w:val="multilevel"/>
    <w:tmpl w:val="6CEA2025"/>
    <w:lvl w:ilvl="0" w:tentative="0">
      <w:start w:val="1"/>
      <w:numFmt w:val="none"/>
      <w:pStyle w:val="157"/>
      <w:suff w:val="nothing"/>
      <w:lvlText w:val="%1"/>
      <w:lvlJc w:val="left"/>
      <w:pPr>
        <w:ind w:left="0" w:firstLine="0"/>
      </w:pPr>
      <w:rPr>
        <w:rFonts w:hint="eastAsia"/>
      </w:rPr>
    </w:lvl>
    <w:lvl w:ilvl="1" w:tentative="0">
      <w:start w:val="1"/>
      <w:numFmt w:val="decimal"/>
      <w:pStyle w:val="109"/>
      <w:suff w:val="nothing"/>
      <w:lvlText w:val="%1%2　"/>
      <w:lvlJc w:val="left"/>
      <w:pPr>
        <w:ind w:left="142" w:firstLine="0"/>
      </w:pPr>
      <w:rPr>
        <w:rFonts w:hint="eastAsia" w:ascii="黑体" w:eastAsia="黑体"/>
        <w:b w:val="0"/>
        <w:i w:val="0"/>
        <w:sz w:val="21"/>
      </w:rPr>
    </w:lvl>
    <w:lvl w:ilvl="2" w:tentative="0">
      <w:start w:val="1"/>
      <w:numFmt w:val="decimal"/>
      <w:pStyle w:val="110"/>
      <w:suff w:val="nothing"/>
      <w:lvlText w:val="%1%2.%3　"/>
      <w:lvlJc w:val="left"/>
      <w:pPr>
        <w:ind w:left="284"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70"/>
      <w:suff w:val="nothing"/>
      <w:lvlText w:val="%1%2.%3.%4　"/>
      <w:lvlJc w:val="left"/>
      <w:pPr>
        <w:ind w:left="284" w:firstLine="0"/>
      </w:pPr>
      <w:rPr>
        <w:rFonts w:hint="eastAsia" w:ascii="黑体" w:eastAsia="黑体"/>
        <w:b w:val="0"/>
        <w:i w:val="0"/>
        <w:sz w:val="21"/>
      </w:rPr>
    </w:lvl>
    <w:lvl w:ilvl="4" w:tentative="0">
      <w:start w:val="1"/>
      <w:numFmt w:val="decimal"/>
      <w:pStyle w:val="99"/>
      <w:suff w:val="nothing"/>
      <w:lvlText w:val="%1%2.%3.%4.%5　"/>
      <w:lvlJc w:val="left"/>
      <w:pPr>
        <w:ind w:left="0" w:firstLine="0"/>
      </w:pPr>
      <w:rPr>
        <w:rFonts w:hint="eastAsia" w:ascii="黑体" w:eastAsia="黑体"/>
        <w:b w:val="0"/>
        <w:i w:val="0"/>
        <w:sz w:val="21"/>
      </w:rPr>
    </w:lvl>
    <w:lvl w:ilvl="5" w:tentative="0">
      <w:start w:val="1"/>
      <w:numFmt w:val="decimal"/>
      <w:pStyle w:val="103"/>
      <w:suff w:val="nothing"/>
      <w:lvlText w:val="%1%2.%3.%4.%5.%6　"/>
      <w:lvlJc w:val="left"/>
      <w:pPr>
        <w:ind w:left="0" w:firstLine="0"/>
      </w:pPr>
      <w:rPr>
        <w:rFonts w:hint="eastAsia" w:ascii="黑体" w:eastAsia="黑体"/>
        <w:b w:val="0"/>
        <w:i w:val="0"/>
        <w:sz w:val="21"/>
      </w:rPr>
    </w:lvl>
    <w:lvl w:ilvl="6" w:tentative="0">
      <w:start w:val="1"/>
      <w:numFmt w:val="decimal"/>
      <w:pStyle w:val="108"/>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1">
    <w:nsid w:val="6DBF04F4"/>
    <w:multiLevelType w:val="multilevel"/>
    <w:tmpl w:val="6DBF04F4"/>
    <w:lvl w:ilvl="0" w:tentative="0">
      <w:start w:val="1"/>
      <w:numFmt w:val="none"/>
      <w:pStyle w:val="184"/>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2">
    <w:nsid w:val="6DF35F19"/>
    <w:multiLevelType w:val="multilevel"/>
    <w:tmpl w:val="6DF35F19"/>
    <w:lvl w:ilvl="0" w:tentative="0">
      <w:start w:val="1"/>
      <w:numFmt w:val="decimal"/>
      <w:pStyle w:val="120"/>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3">
    <w:nsid w:val="76933334"/>
    <w:multiLevelType w:val="multilevel"/>
    <w:tmpl w:val="76933334"/>
    <w:lvl w:ilvl="0" w:tentative="0">
      <w:start w:val="1"/>
      <w:numFmt w:val="none"/>
      <w:pStyle w:val="144"/>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30"/>
  </w:num>
  <w:num w:numId="3">
    <w:abstractNumId w:val="5"/>
  </w:num>
  <w:num w:numId="4">
    <w:abstractNumId w:val="25"/>
  </w:num>
  <w:num w:numId="5">
    <w:abstractNumId w:val="19"/>
  </w:num>
  <w:num w:numId="6">
    <w:abstractNumId w:val="13"/>
  </w:num>
  <w:num w:numId="7">
    <w:abstractNumId w:val="8"/>
  </w:num>
  <w:num w:numId="8">
    <w:abstractNumId w:val="3"/>
  </w:num>
  <w:num w:numId="9">
    <w:abstractNumId w:val="9"/>
  </w:num>
  <w:num w:numId="10">
    <w:abstractNumId w:val="17"/>
  </w:num>
  <w:num w:numId="11">
    <w:abstractNumId w:val="28"/>
  </w:num>
  <w:num w:numId="12">
    <w:abstractNumId w:val="11"/>
  </w:num>
  <w:num w:numId="13">
    <w:abstractNumId w:val="12"/>
  </w:num>
  <w:num w:numId="14">
    <w:abstractNumId w:val="7"/>
  </w:num>
  <w:num w:numId="15">
    <w:abstractNumId w:val="20"/>
  </w:num>
  <w:num w:numId="16">
    <w:abstractNumId w:val="23"/>
  </w:num>
  <w:num w:numId="17">
    <w:abstractNumId w:val="18"/>
  </w:num>
  <w:num w:numId="18">
    <w:abstractNumId w:val="32"/>
  </w:num>
  <w:num w:numId="19">
    <w:abstractNumId w:val="15"/>
  </w:num>
  <w:num w:numId="20">
    <w:abstractNumId w:val="1"/>
  </w:num>
  <w:num w:numId="21">
    <w:abstractNumId w:val="10"/>
  </w:num>
  <w:num w:numId="22">
    <w:abstractNumId w:val="33"/>
  </w:num>
  <w:num w:numId="23">
    <w:abstractNumId w:val="22"/>
  </w:num>
  <w:num w:numId="24">
    <w:abstractNumId w:val="6"/>
  </w:num>
  <w:num w:numId="25">
    <w:abstractNumId w:val="29"/>
  </w:num>
  <w:num w:numId="26">
    <w:abstractNumId w:val="31"/>
  </w:num>
  <w:num w:numId="27">
    <w:abstractNumId w:val="2"/>
  </w:num>
  <w:num w:numId="28">
    <w:abstractNumId w:val="4"/>
  </w:num>
  <w:num w:numId="29">
    <w:abstractNumId w:val="14"/>
  </w:num>
  <w:num w:numId="30">
    <w:abstractNumId w:val="27"/>
  </w:num>
  <w:num w:numId="31">
    <w:abstractNumId w:val="24"/>
  </w:num>
  <w:num w:numId="32">
    <w:abstractNumId w:val="21"/>
  </w:num>
  <w:num w:numId="33">
    <w:abstractNumId w:val="16"/>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5EF"/>
    <w:rsid w:val="0000040A"/>
    <w:rsid w:val="00000A94"/>
    <w:rsid w:val="00001972"/>
    <w:rsid w:val="00001D9A"/>
    <w:rsid w:val="00002CC5"/>
    <w:rsid w:val="0000329A"/>
    <w:rsid w:val="0000375E"/>
    <w:rsid w:val="000051C3"/>
    <w:rsid w:val="000052BD"/>
    <w:rsid w:val="0000591B"/>
    <w:rsid w:val="00006589"/>
    <w:rsid w:val="00006746"/>
    <w:rsid w:val="00006FBF"/>
    <w:rsid w:val="00007B3A"/>
    <w:rsid w:val="00007D3B"/>
    <w:rsid w:val="00007FD9"/>
    <w:rsid w:val="0001005A"/>
    <w:rsid w:val="00010264"/>
    <w:rsid w:val="000107E0"/>
    <w:rsid w:val="000110AC"/>
    <w:rsid w:val="00011122"/>
    <w:rsid w:val="0001169D"/>
    <w:rsid w:val="000117F6"/>
    <w:rsid w:val="00011814"/>
    <w:rsid w:val="00011FDE"/>
    <w:rsid w:val="0001204C"/>
    <w:rsid w:val="000121F1"/>
    <w:rsid w:val="00012231"/>
    <w:rsid w:val="00012727"/>
    <w:rsid w:val="00012FFD"/>
    <w:rsid w:val="00013B12"/>
    <w:rsid w:val="00013B1E"/>
    <w:rsid w:val="00013C4B"/>
    <w:rsid w:val="00014162"/>
    <w:rsid w:val="00014340"/>
    <w:rsid w:val="00014BF1"/>
    <w:rsid w:val="0001507C"/>
    <w:rsid w:val="00015E70"/>
    <w:rsid w:val="000162B1"/>
    <w:rsid w:val="00016A9C"/>
    <w:rsid w:val="00017579"/>
    <w:rsid w:val="00017F07"/>
    <w:rsid w:val="000208E1"/>
    <w:rsid w:val="00020C9A"/>
    <w:rsid w:val="00022184"/>
    <w:rsid w:val="00022762"/>
    <w:rsid w:val="000238E0"/>
    <w:rsid w:val="00023ECD"/>
    <w:rsid w:val="00024872"/>
    <w:rsid w:val="000249DB"/>
    <w:rsid w:val="00025800"/>
    <w:rsid w:val="0002595E"/>
    <w:rsid w:val="0002642A"/>
    <w:rsid w:val="0003035B"/>
    <w:rsid w:val="000303C3"/>
    <w:rsid w:val="00030F47"/>
    <w:rsid w:val="00032437"/>
    <w:rsid w:val="00032A1D"/>
    <w:rsid w:val="00032E71"/>
    <w:rsid w:val="000331D3"/>
    <w:rsid w:val="000346A5"/>
    <w:rsid w:val="000359C3"/>
    <w:rsid w:val="00035A7D"/>
    <w:rsid w:val="00035AB6"/>
    <w:rsid w:val="000365ED"/>
    <w:rsid w:val="00036F44"/>
    <w:rsid w:val="00037BE9"/>
    <w:rsid w:val="00037EAF"/>
    <w:rsid w:val="00040D12"/>
    <w:rsid w:val="0004188A"/>
    <w:rsid w:val="00041AE2"/>
    <w:rsid w:val="00042409"/>
    <w:rsid w:val="0004249A"/>
    <w:rsid w:val="000429EB"/>
    <w:rsid w:val="00042A45"/>
    <w:rsid w:val="00043282"/>
    <w:rsid w:val="00043536"/>
    <w:rsid w:val="00044286"/>
    <w:rsid w:val="00044A50"/>
    <w:rsid w:val="00047F28"/>
    <w:rsid w:val="00047F4B"/>
    <w:rsid w:val="000503AA"/>
    <w:rsid w:val="000506A1"/>
    <w:rsid w:val="000513C2"/>
    <w:rsid w:val="000515DD"/>
    <w:rsid w:val="00051665"/>
    <w:rsid w:val="00052580"/>
    <w:rsid w:val="0005265A"/>
    <w:rsid w:val="00052B5F"/>
    <w:rsid w:val="0005303F"/>
    <w:rsid w:val="000539DD"/>
    <w:rsid w:val="00053BBB"/>
    <w:rsid w:val="00053BD3"/>
    <w:rsid w:val="0005431E"/>
    <w:rsid w:val="00054399"/>
    <w:rsid w:val="000556ED"/>
    <w:rsid w:val="00055FE2"/>
    <w:rsid w:val="0005616F"/>
    <w:rsid w:val="000564F2"/>
    <w:rsid w:val="0005686D"/>
    <w:rsid w:val="000568AE"/>
    <w:rsid w:val="000572E5"/>
    <w:rsid w:val="0006084E"/>
    <w:rsid w:val="00060C2E"/>
    <w:rsid w:val="00061033"/>
    <w:rsid w:val="000619E9"/>
    <w:rsid w:val="00062216"/>
    <w:rsid w:val="000622D4"/>
    <w:rsid w:val="0006357D"/>
    <w:rsid w:val="00063AF7"/>
    <w:rsid w:val="00065E4B"/>
    <w:rsid w:val="000675E4"/>
    <w:rsid w:val="000676A1"/>
    <w:rsid w:val="00067C57"/>
    <w:rsid w:val="00067F1E"/>
    <w:rsid w:val="00070293"/>
    <w:rsid w:val="00071916"/>
    <w:rsid w:val="00071CC0"/>
    <w:rsid w:val="000726C0"/>
    <w:rsid w:val="00072A54"/>
    <w:rsid w:val="00073C8C"/>
    <w:rsid w:val="0007416A"/>
    <w:rsid w:val="00075C4B"/>
    <w:rsid w:val="00075F06"/>
    <w:rsid w:val="00077B64"/>
    <w:rsid w:val="00080715"/>
    <w:rsid w:val="00080A1C"/>
    <w:rsid w:val="00080B83"/>
    <w:rsid w:val="00080FDA"/>
    <w:rsid w:val="00082317"/>
    <w:rsid w:val="00082468"/>
    <w:rsid w:val="00082B42"/>
    <w:rsid w:val="00083D2C"/>
    <w:rsid w:val="00083D91"/>
    <w:rsid w:val="00086AA1"/>
    <w:rsid w:val="00087A77"/>
    <w:rsid w:val="000906E6"/>
    <w:rsid w:val="00090CA6"/>
    <w:rsid w:val="00091528"/>
    <w:rsid w:val="00091938"/>
    <w:rsid w:val="00092A9C"/>
    <w:rsid w:val="00092B8A"/>
    <w:rsid w:val="00092FB0"/>
    <w:rsid w:val="000932EB"/>
    <w:rsid w:val="000934C5"/>
    <w:rsid w:val="00093690"/>
    <w:rsid w:val="00093D25"/>
    <w:rsid w:val="00093DAB"/>
    <w:rsid w:val="00094584"/>
    <w:rsid w:val="00094B1A"/>
    <w:rsid w:val="00094D73"/>
    <w:rsid w:val="00096876"/>
    <w:rsid w:val="00096D63"/>
    <w:rsid w:val="0009734C"/>
    <w:rsid w:val="000978B0"/>
    <w:rsid w:val="00097E06"/>
    <w:rsid w:val="000A0427"/>
    <w:rsid w:val="000A0B60"/>
    <w:rsid w:val="000A0C6C"/>
    <w:rsid w:val="000A0EB8"/>
    <w:rsid w:val="000A19FC"/>
    <w:rsid w:val="000A23C5"/>
    <w:rsid w:val="000A296B"/>
    <w:rsid w:val="000A30FC"/>
    <w:rsid w:val="000A3DDF"/>
    <w:rsid w:val="000A5583"/>
    <w:rsid w:val="000A7311"/>
    <w:rsid w:val="000A7976"/>
    <w:rsid w:val="000B0478"/>
    <w:rsid w:val="000B060F"/>
    <w:rsid w:val="000B066A"/>
    <w:rsid w:val="000B086F"/>
    <w:rsid w:val="000B1592"/>
    <w:rsid w:val="000B1FF2"/>
    <w:rsid w:val="000B2A0C"/>
    <w:rsid w:val="000B314F"/>
    <w:rsid w:val="000B38E0"/>
    <w:rsid w:val="000B3CDA"/>
    <w:rsid w:val="000B4047"/>
    <w:rsid w:val="000B52B0"/>
    <w:rsid w:val="000B6A0B"/>
    <w:rsid w:val="000B6A65"/>
    <w:rsid w:val="000B74DA"/>
    <w:rsid w:val="000B79F5"/>
    <w:rsid w:val="000C0F6C"/>
    <w:rsid w:val="000C11DB"/>
    <w:rsid w:val="000C1492"/>
    <w:rsid w:val="000C1D36"/>
    <w:rsid w:val="000C27E9"/>
    <w:rsid w:val="000C2CCA"/>
    <w:rsid w:val="000C2FBD"/>
    <w:rsid w:val="000C3155"/>
    <w:rsid w:val="000C33B2"/>
    <w:rsid w:val="000C34DD"/>
    <w:rsid w:val="000C4B41"/>
    <w:rsid w:val="000C53F5"/>
    <w:rsid w:val="000C57D6"/>
    <w:rsid w:val="000C5986"/>
    <w:rsid w:val="000C5E34"/>
    <w:rsid w:val="000C5F0E"/>
    <w:rsid w:val="000C6243"/>
    <w:rsid w:val="000C6362"/>
    <w:rsid w:val="000C7666"/>
    <w:rsid w:val="000C7780"/>
    <w:rsid w:val="000C7B87"/>
    <w:rsid w:val="000D0A8C"/>
    <w:rsid w:val="000D0A9C"/>
    <w:rsid w:val="000D1795"/>
    <w:rsid w:val="000D187E"/>
    <w:rsid w:val="000D1887"/>
    <w:rsid w:val="000D1970"/>
    <w:rsid w:val="000D21D7"/>
    <w:rsid w:val="000D2E81"/>
    <w:rsid w:val="000D329A"/>
    <w:rsid w:val="000D4021"/>
    <w:rsid w:val="000D4B9C"/>
    <w:rsid w:val="000D4EB6"/>
    <w:rsid w:val="000D5225"/>
    <w:rsid w:val="000D575A"/>
    <w:rsid w:val="000D68A4"/>
    <w:rsid w:val="000D741E"/>
    <w:rsid w:val="000D753B"/>
    <w:rsid w:val="000E12A7"/>
    <w:rsid w:val="000E13D3"/>
    <w:rsid w:val="000E1A26"/>
    <w:rsid w:val="000E1D82"/>
    <w:rsid w:val="000E41ED"/>
    <w:rsid w:val="000E489C"/>
    <w:rsid w:val="000E4ADA"/>
    <w:rsid w:val="000E4C9E"/>
    <w:rsid w:val="000E61D3"/>
    <w:rsid w:val="000E6E22"/>
    <w:rsid w:val="000E6FD7"/>
    <w:rsid w:val="000E732B"/>
    <w:rsid w:val="000E73E1"/>
    <w:rsid w:val="000E7B24"/>
    <w:rsid w:val="000E7E0E"/>
    <w:rsid w:val="000F06E1"/>
    <w:rsid w:val="000F0E3C"/>
    <w:rsid w:val="000F19D5"/>
    <w:rsid w:val="000F2826"/>
    <w:rsid w:val="000F33D1"/>
    <w:rsid w:val="000F3813"/>
    <w:rsid w:val="000F39D8"/>
    <w:rsid w:val="000F4AEA"/>
    <w:rsid w:val="000F4BCF"/>
    <w:rsid w:val="000F4ED5"/>
    <w:rsid w:val="000F5070"/>
    <w:rsid w:val="000F6312"/>
    <w:rsid w:val="000F633F"/>
    <w:rsid w:val="000F6496"/>
    <w:rsid w:val="000F67E9"/>
    <w:rsid w:val="000F7AC8"/>
    <w:rsid w:val="00101681"/>
    <w:rsid w:val="00102E93"/>
    <w:rsid w:val="0010325A"/>
    <w:rsid w:val="001033F5"/>
    <w:rsid w:val="00103A35"/>
    <w:rsid w:val="00104926"/>
    <w:rsid w:val="00104BB3"/>
    <w:rsid w:val="00105387"/>
    <w:rsid w:val="001059AA"/>
    <w:rsid w:val="00106074"/>
    <w:rsid w:val="00106ECB"/>
    <w:rsid w:val="00107FE8"/>
    <w:rsid w:val="001100BE"/>
    <w:rsid w:val="001118ED"/>
    <w:rsid w:val="00112477"/>
    <w:rsid w:val="00113B1E"/>
    <w:rsid w:val="00113C36"/>
    <w:rsid w:val="00113F24"/>
    <w:rsid w:val="001149FB"/>
    <w:rsid w:val="00115502"/>
    <w:rsid w:val="0011593C"/>
    <w:rsid w:val="0011711C"/>
    <w:rsid w:val="001200FF"/>
    <w:rsid w:val="0012059C"/>
    <w:rsid w:val="00122DAE"/>
    <w:rsid w:val="00122F53"/>
    <w:rsid w:val="001236E7"/>
    <w:rsid w:val="0012433E"/>
    <w:rsid w:val="00124DDA"/>
    <w:rsid w:val="00124E4F"/>
    <w:rsid w:val="00125C32"/>
    <w:rsid w:val="001260B7"/>
    <w:rsid w:val="001265CB"/>
    <w:rsid w:val="00126A6B"/>
    <w:rsid w:val="00126EBE"/>
    <w:rsid w:val="001271A3"/>
    <w:rsid w:val="001277A1"/>
    <w:rsid w:val="00130507"/>
    <w:rsid w:val="00130565"/>
    <w:rsid w:val="00130743"/>
    <w:rsid w:val="001311FA"/>
    <w:rsid w:val="001321C6"/>
    <w:rsid w:val="001324E4"/>
    <w:rsid w:val="001325C4"/>
    <w:rsid w:val="00133010"/>
    <w:rsid w:val="001338EE"/>
    <w:rsid w:val="00133AAE"/>
    <w:rsid w:val="00135323"/>
    <w:rsid w:val="001356C4"/>
    <w:rsid w:val="001359FA"/>
    <w:rsid w:val="00135BD2"/>
    <w:rsid w:val="00136772"/>
    <w:rsid w:val="00137AC1"/>
    <w:rsid w:val="0014002B"/>
    <w:rsid w:val="001402A4"/>
    <w:rsid w:val="001405A3"/>
    <w:rsid w:val="00140E9B"/>
    <w:rsid w:val="00141114"/>
    <w:rsid w:val="00141E3D"/>
    <w:rsid w:val="00142756"/>
    <w:rsid w:val="00142969"/>
    <w:rsid w:val="00142C33"/>
    <w:rsid w:val="00142DC8"/>
    <w:rsid w:val="001446AA"/>
    <w:rsid w:val="001446C2"/>
    <w:rsid w:val="00144DAB"/>
    <w:rsid w:val="001452C3"/>
    <w:rsid w:val="00145687"/>
    <w:rsid w:val="001457E7"/>
    <w:rsid w:val="00145D9D"/>
    <w:rsid w:val="00146388"/>
    <w:rsid w:val="00146EB9"/>
    <w:rsid w:val="001472D5"/>
    <w:rsid w:val="0014733C"/>
    <w:rsid w:val="0014738E"/>
    <w:rsid w:val="00150AC6"/>
    <w:rsid w:val="00151A19"/>
    <w:rsid w:val="00152676"/>
    <w:rsid w:val="001529E5"/>
    <w:rsid w:val="00152E71"/>
    <w:rsid w:val="00153C7E"/>
    <w:rsid w:val="00154A75"/>
    <w:rsid w:val="0015568D"/>
    <w:rsid w:val="001561D9"/>
    <w:rsid w:val="001568DE"/>
    <w:rsid w:val="00156B25"/>
    <w:rsid w:val="00156E1A"/>
    <w:rsid w:val="00157894"/>
    <w:rsid w:val="00157B55"/>
    <w:rsid w:val="00157CE8"/>
    <w:rsid w:val="001603EB"/>
    <w:rsid w:val="001610AD"/>
    <w:rsid w:val="001611A2"/>
    <w:rsid w:val="001612C5"/>
    <w:rsid w:val="00162608"/>
    <w:rsid w:val="00162634"/>
    <w:rsid w:val="001634F7"/>
    <w:rsid w:val="001636D4"/>
    <w:rsid w:val="00163859"/>
    <w:rsid w:val="001642FA"/>
    <w:rsid w:val="0016430A"/>
    <w:rsid w:val="001649EB"/>
    <w:rsid w:val="00164A68"/>
    <w:rsid w:val="00164BAF"/>
    <w:rsid w:val="00164F51"/>
    <w:rsid w:val="00164FA8"/>
    <w:rsid w:val="00165065"/>
    <w:rsid w:val="00165434"/>
    <w:rsid w:val="0016580B"/>
    <w:rsid w:val="00165F49"/>
    <w:rsid w:val="00166B88"/>
    <w:rsid w:val="0016770A"/>
    <w:rsid w:val="00170804"/>
    <w:rsid w:val="001708E9"/>
    <w:rsid w:val="00170DB1"/>
    <w:rsid w:val="00172082"/>
    <w:rsid w:val="00172AD7"/>
    <w:rsid w:val="0017340B"/>
    <w:rsid w:val="00173FB1"/>
    <w:rsid w:val="00174180"/>
    <w:rsid w:val="001743A1"/>
    <w:rsid w:val="00174D50"/>
    <w:rsid w:val="00174E50"/>
    <w:rsid w:val="00174F2B"/>
    <w:rsid w:val="0017534D"/>
    <w:rsid w:val="001755F9"/>
    <w:rsid w:val="001758A0"/>
    <w:rsid w:val="00175E6A"/>
    <w:rsid w:val="00176055"/>
    <w:rsid w:val="00176DFD"/>
    <w:rsid w:val="001770BB"/>
    <w:rsid w:val="00180821"/>
    <w:rsid w:val="00180C0B"/>
    <w:rsid w:val="00180E44"/>
    <w:rsid w:val="00181220"/>
    <w:rsid w:val="00182770"/>
    <w:rsid w:val="001852C9"/>
    <w:rsid w:val="00185E61"/>
    <w:rsid w:val="00186CCD"/>
    <w:rsid w:val="00187BAD"/>
    <w:rsid w:val="00190087"/>
    <w:rsid w:val="001900A5"/>
    <w:rsid w:val="001907BD"/>
    <w:rsid w:val="001908F1"/>
    <w:rsid w:val="001913C4"/>
    <w:rsid w:val="0019348F"/>
    <w:rsid w:val="00193A07"/>
    <w:rsid w:val="00194C95"/>
    <w:rsid w:val="00194EEC"/>
    <w:rsid w:val="001954E8"/>
    <w:rsid w:val="00195706"/>
    <w:rsid w:val="0019574D"/>
    <w:rsid w:val="00195C34"/>
    <w:rsid w:val="00195ED2"/>
    <w:rsid w:val="00196D38"/>
    <w:rsid w:val="00196EF5"/>
    <w:rsid w:val="00197099"/>
    <w:rsid w:val="001A1A53"/>
    <w:rsid w:val="001A234A"/>
    <w:rsid w:val="001A259B"/>
    <w:rsid w:val="001A2A33"/>
    <w:rsid w:val="001A3E7F"/>
    <w:rsid w:val="001A4CF3"/>
    <w:rsid w:val="001A4D4A"/>
    <w:rsid w:val="001A68D4"/>
    <w:rsid w:val="001B06E8"/>
    <w:rsid w:val="001B1AC0"/>
    <w:rsid w:val="001B2713"/>
    <w:rsid w:val="001B27C5"/>
    <w:rsid w:val="001B2F30"/>
    <w:rsid w:val="001B323C"/>
    <w:rsid w:val="001B37C6"/>
    <w:rsid w:val="001B5585"/>
    <w:rsid w:val="001B6484"/>
    <w:rsid w:val="001B6A22"/>
    <w:rsid w:val="001B71D0"/>
    <w:rsid w:val="001B71EE"/>
    <w:rsid w:val="001C04A8"/>
    <w:rsid w:val="001C2C03"/>
    <w:rsid w:val="001C38B6"/>
    <w:rsid w:val="001C42F7"/>
    <w:rsid w:val="001C49E5"/>
    <w:rsid w:val="001C4B11"/>
    <w:rsid w:val="001C50A6"/>
    <w:rsid w:val="001C67B3"/>
    <w:rsid w:val="001C680C"/>
    <w:rsid w:val="001C6CC8"/>
    <w:rsid w:val="001C6F3C"/>
    <w:rsid w:val="001C775A"/>
    <w:rsid w:val="001C7FEA"/>
    <w:rsid w:val="001D026B"/>
    <w:rsid w:val="001D0403"/>
    <w:rsid w:val="001D0499"/>
    <w:rsid w:val="001D0AB8"/>
    <w:rsid w:val="001D0BBE"/>
    <w:rsid w:val="001D0ED4"/>
    <w:rsid w:val="001D2095"/>
    <w:rsid w:val="001D212F"/>
    <w:rsid w:val="001D29D7"/>
    <w:rsid w:val="001D2B72"/>
    <w:rsid w:val="001D2D49"/>
    <w:rsid w:val="001D2DCB"/>
    <w:rsid w:val="001D2DE7"/>
    <w:rsid w:val="001D2EAF"/>
    <w:rsid w:val="001D411C"/>
    <w:rsid w:val="001D46F2"/>
    <w:rsid w:val="001D52F0"/>
    <w:rsid w:val="001D54DD"/>
    <w:rsid w:val="001D5771"/>
    <w:rsid w:val="001D6D84"/>
    <w:rsid w:val="001D77FD"/>
    <w:rsid w:val="001D7C58"/>
    <w:rsid w:val="001D7FD2"/>
    <w:rsid w:val="001E0310"/>
    <w:rsid w:val="001E0B76"/>
    <w:rsid w:val="001E1B6A"/>
    <w:rsid w:val="001E2484"/>
    <w:rsid w:val="001E28F1"/>
    <w:rsid w:val="001E3CC4"/>
    <w:rsid w:val="001E40EB"/>
    <w:rsid w:val="001E411C"/>
    <w:rsid w:val="001E4882"/>
    <w:rsid w:val="001E698A"/>
    <w:rsid w:val="001E73AB"/>
    <w:rsid w:val="001E76F9"/>
    <w:rsid w:val="001F0613"/>
    <w:rsid w:val="001F092D"/>
    <w:rsid w:val="001F0CD0"/>
    <w:rsid w:val="001F143A"/>
    <w:rsid w:val="001F1605"/>
    <w:rsid w:val="001F1B8C"/>
    <w:rsid w:val="001F2508"/>
    <w:rsid w:val="001F3D8A"/>
    <w:rsid w:val="001F3F9C"/>
    <w:rsid w:val="001F4016"/>
    <w:rsid w:val="001F4816"/>
    <w:rsid w:val="001F4EE9"/>
    <w:rsid w:val="001F56A5"/>
    <w:rsid w:val="001F69B4"/>
    <w:rsid w:val="001F77C7"/>
    <w:rsid w:val="001F78CE"/>
    <w:rsid w:val="00200183"/>
    <w:rsid w:val="00200333"/>
    <w:rsid w:val="002008B3"/>
    <w:rsid w:val="0020107D"/>
    <w:rsid w:val="00202AA4"/>
    <w:rsid w:val="00202BED"/>
    <w:rsid w:val="00202DBD"/>
    <w:rsid w:val="002031F7"/>
    <w:rsid w:val="002040E6"/>
    <w:rsid w:val="00204F4B"/>
    <w:rsid w:val="0020512B"/>
    <w:rsid w:val="0020527B"/>
    <w:rsid w:val="00205F2C"/>
    <w:rsid w:val="00206577"/>
    <w:rsid w:val="00206A17"/>
    <w:rsid w:val="00207293"/>
    <w:rsid w:val="002108F3"/>
    <w:rsid w:val="00210B15"/>
    <w:rsid w:val="00211093"/>
    <w:rsid w:val="002113D2"/>
    <w:rsid w:val="002115D4"/>
    <w:rsid w:val="00211D29"/>
    <w:rsid w:val="00212840"/>
    <w:rsid w:val="00212E75"/>
    <w:rsid w:val="002142EA"/>
    <w:rsid w:val="00214EF9"/>
    <w:rsid w:val="0021528E"/>
    <w:rsid w:val="002166D3"/>
    <w:rsid w:val="0021789F"/>
    <w:rsid w:val="00217FC6"/>
    <w:rsid w:val="002204BB"/>
    <w:rsid w:val="00220861"/>
    <w:rsid w:val="002215A1"/>
    <w:rsid w:val="00221B79"/>
    <w:rsid w:val="00221C6B"/>
    <w:rsid w:val="002229F0"/>
    <w:rsid w:val="002231C5"/>
    <w:rsid w:val="002233B1"/>
    <w:rsid w:val="00223A8E"/>
    <w:rsid w:val="00223DE0"/>
    <w:rsid w:val="002253A1"/>
    <w:rsid w:val="0022568B"/>
    <w:rsid w:val="00225CF8"/>
    <w:rsid w:val="0022790B"/>
    <w:rsid w:val="0022794E"/>
    <w:rsid w:val="00227A94"/>
    <w:rsid w:val="00230066"/>
    <w:rsid w:val="00230B7A"/>
    <w:rsid w:val="00230ED5"/>
    <w:rsid w:val="00232AD9"/>
    <w:rsid w:val="002333CE"/>
    <w:rsid w:val="00233C85"/>
    <w:rsid w:val="00233D64"/>
    <w:rsid w:val="0023482A"/>
    <w:rsid w:val="00234ADE"/>
    <w:rsid w:val="002351DD"/>
    <w:rsid w:val="0023531D"/>
    <w:rsid w:val="002359CB"/>
    <w:rsid w:val="002364FF"/>
    <w:rsid w:val="00236BF9"/>
    <w:rsid w:val="00236C30"/>
    <w:rsid w:val="0024065D"/>
    <w:rsid w:val="00240C6E"/>
    <w:rsid w:val="00240F33"/>
    <w:rsid w:val="00242E0E"/>
    <w:rsid w:val="00243540"/>
    <w:rsid w:val="00243BA3"/>
    <w:rsid w:val="00243CDC"/>
    <w:rsid w:val="0024497B"/>
    <w:rsid w:val="002449D9"/>
    <w:rsid w:val="00244B4B"/>
    <w:rsid w:val="00244F88"/>
    <w:rsid w:val="0024515B"/>
    <w:rsid w:val="00246021"/>
    <w:rsid w:val="0024666E"/>
    <w:rsid w:val="00246EBA"/>
    <w:rsid w:val="002479AE"/>
    <w:rsid w:val="00247F52"/>
    <w:rsid w:val="0025051B"/>
    <w:rsid w:val="00250B25"/>
    <w:rsid w:val="00250B92"/>
    <w:rsid w:val="00250BBE"/>
    <w:rsid w:val="00251463"/>
    <w:rsid w:val="002515C2"/>
    <w:rsid w:val="0025178E"/>
    <w:rsid w:val="0025194F"/>
    <w:rsid w:val="00252029"/>
    <w:rsid w:val="00252713"/>
    <w:rsid w:val="00253D6F"/>
    <w:rsid w:val="002540D3"/>
    <w:rsid w:val="002549F1"/>
    <w:rsid w:val="00254C59"/>
    <w:rsid w:val="002551A7"/>
    <w:rsid w:val="002570B7"/>
    <w:rsid w:val="002577D2"/>
    <w:rsid w:val="00260C06"/>
    <w:rsid w:val="0026148A"/>
    <w:rsid w:val="00262696"/>
    <w:rsid w:val="00262874"/>
    <w:rsid w:val="00263314"/>
    <w:rsid w:val="00263503"/>
    <w:rsid w:val="00263D13"/>
    <w:rsid w:val="00263D25"/>
    <w:rsid w:val="002643C3"/>
    <w:rsid w:val="00264A0C"/>
    <w:rsid w:val="00265334"/>
    <w:rsid w:val="00265620"/>
    <w:rsid w:val="002662AB"/>
    <w:rsid w:val="00266334"/>
    <w:rsid w:val="00266526"/>
    <w:rsid w:val="00266590"/>
    <w:rsid w:val="00266EEB"/>
    <w:rsid w:val="00267EF4"/>
    <w:rsid w:val="002700FE"/>
    <w:rsid w:val="00270749"/>
    <w:rsid w:val="00270CB8"/>
    <w:rsid w:val="00271C85"/>
    <w:rsid w:val="0027218E"/>
    <w:rsid w:val="00272812"/>
    <w:rsid w:val="00272927"/>
    <w:rsid w:val="00272B08"/>
    <w:rsid w:val="002741D1"/>
    <w:rsid w:val="002742CC"/>
    <w:rsid w:val="002745F8"/>
    <w:rsid w:val="0027490E"/>
    <w:rsid w:val="00274BF8"/>
    <w:rsid w:val="0027517E"/>
    <w:rsid w:val="00275606"/>
    <w:rsid w:val="00275D78"/>
    <w:rsid w:val="00276364"/>
    <w:rsid w:val="00277D01"/>
    <w:rsid w:val="00277DCC"/>
    <w:rsid w:val="00280833"/>
    <w:rsid w:val="00280F4D"/>
    <w:rsid w:val="00281390"/>
    <w:rsid w:val="0028160B"/>
    <w:rsid w:val="00281BB8"/>
    <w:rsid w:val="00281E9E"/>
    <w:rsid w:val="00282405"/>
    <w:rsid w:val="002830F1"/>
    <w:rsid w:val="00283E67"/>
    <w:rsid w:val="00284463"/>
    <w:rsid w:val="0028480A"/>
    <w:rsid w:val="00284FEB"/>
    <w:rsid w:val="00285170"/>
    <w:rsid w:val="00285361"/>
    <w:rsid w:val="0028541B"/>
    <w:rsid w:val="00286C00"/>
    <w:rsid w:val="00286E23"/>
    <w:rsid w:val="0029073B"/>
    <w:rsid w:val="00290F5A"/>
    <w:rsid w:val="002913C9"/>
    <w:rsid w:val="00291B54"/>
    <w:rsid w:val="00292D60"/>
    <w:rsid w:val="00293B30"/>
    <w:rsid w:val="00294787"/>
    <w:rsid w:val="00294D34"/>
    <w:rsid w:val="00294E3B"/>
    <w:rsid w:val="0029502B"/>
    <w:rsid w:val="00296193"/>
    <w:rsid w:val="00296C66"/>
    <w:rsid w:val="00296C6B"/>
    <w:rsid w:val="00296DB7"/>
    <w:rsid w:val="00296EBE"/>
    <w:rsid w:val="002971FB"/>
    <w:rsid w:val="002974E3"/>
    <w:rsid w:val="00297E3B"/>
    <w:rsid w:val="002A03EC"/>
    <w:rsid w:val="002A0407"/>
    <w:rsid w:val="002A084B"/>
    <w:rsid w:val="002A0946"/>
    <w:rsid w:val="002A1087"/>
    <w:rsid w:val="002A1192"/>
    <w:rsid w:val="002A1260"/>
    <w:rsid w:val="002A1589"/>
    <w:rsid w:val="002A1608"/>
    <w:rsid w:val="002A25DC"/>
    <w:rsid w:val="002A2EB6"/>
    <w:rsid w:val="002A2F7B"/>
    <w:rsid w:val="002A339B"/>
    <w:rsid w:val="002A3AAB"/>
    <w:rsid w:val="002A411B"/>
    <w:rsid w:val="002A415D"/>
    <w:rsid w:val="002A44A1"/>
    <w:rsid w:val="002A4AFD"/>
    <w:rsid w:val="002A4CEA"/>
    <w:rsid w:val="002A5977"/>
    <w:rsid w:val="002A5A13"/>
    <w:rsid w:val="002A757F"/>
    <w:rsid w:val="002A7F44"/>
    <w:rsid w:val="002B0C40"/>
    <w:rsid w:val="002B1966"/>
    <w:rsid w:val="002B2E2A"/>
    <w:rsid w:val="002B4508"/>
    <w:rsid w:val="002B4996"/>
    <w:rsid w:val="002B4EDC"/>
    <w:rsid w:val="002B4F50"/>
    <w:rsid w:val="002B5779"/>
    <w:rsid w:val="002B7332"/>
    <w:rsid w:val="002B74DD"/>
    <w:rsid w:val="002B74FB"/>
    <w:rsid w:val="002B7F51"/>
    <w:rsid w:val="002C000F"/>
    <w:rsid w:val="002C09E7"/>
    <w:rsid w:val="002C0B1B"/>
    <w:rsid w:val="002C1E06"/>
    <w:rsid w:val="002C1E1C"/>
    <w:rsid w:val="002C3EAA"/>
    <w:rsid w:val="002C3F07"/>
    <w:rsid w:val="002C3FC0"/>
    <w:rsid w:val="002C5278"/>
    <w:rsid w:val="002C60C7"/>
    <w:rsid w:val="002C7EBB"/>
    <w:rsid w:val="002D062A"/>
    <w:rsid w:val="002D06C1"/>
    <w:rsid w:val="002D1758"/>
    <w:rsid w:val="002D38A1"/>
    <w:rsid w:val="002D3FC8"/>
    <w:rsid w:val="002D42B5"/>
    <w:rsid w:val="002D4F1A"/>
    <w:rsid w:val="002D61E9"/>
    <w:rsid w:val="002D6EC6"/>
    <w:rsid w:val="002D73DB"/>
    <w:rsid w:val="002D7811"/>
    <w:rsid w:val="002D79AC"/>
    <w:rsid w:val="002E010F"/>
    <w:rsid w:val="002E039D"/>
    <w:rsid w:val="002E28AC"/>
    <w:rsid w:val="002E31B8"/>
    <w:rsid w:val="002E35EF"/>
    <w:rsid w:val="002E3CCA"/>
    <w:rsid w:val="002E4D5A"/>
    <w:rsid w:val="002E6326"/>
    <w:rsid w:val="002E6678"/>
    <w:rsid w:val="002E7211"/>
    <w:rsid w:val="002E772A"/>
    <w:rsid w:val="002E7CD2"/>
    <w:rsid w:val="002E7CED"/>
    <w:rsid w:val="002F0305"/>
    <w:rsid w:val="002F17E0"/>
    <w:rsid w:val="002F2CBE"/>
    <w:rsid w:val="002F2CC7"/>
    <w:rsid w:val="002F2E5C"/>
    <w:rsid w:val="002F30E0"/>
    <w:rsid w:val="002F3190"/>
    <w:rsid w:val="002F35E4"/>
    <w:rsid w:val="002F3730"/>
    <w:rsid w:val="002F38E1"/>
    <w:rsid w:val="002F3ACC"/>
    <w:rsid w:val="002F5181"/>
    <w:rsid w:val="002F5536"/>
    <w:rsid w:val="002F5BBE"/>
    <w:rsid w:val="002F5FE1"/>
    <w:rsid w:val="002F7AF6"/>
    <w:rsid w:val="002F7C1A"/>
    <w:rsid w:val="003009CB"/>
    <w:rsid w:val="00300E63"/>
    <w:rsid w:val="0030127C"/>
    <w:rsid w:val="00301ACF"/>
    <w:rsid w:val="00302F5F"/>
    <w:rsid w:val="003039AA"/>
    <w:rsid w:val="00303C5C"/>
    <w:rsid w:val="0030441D"/>
    <w:rsid w:val="003044A0"/>
    <w:rsid w:val="00305D85"/>
    <w:rsid w:val="00306063"/>
    <w:rsid w:val="00307742"/>
    <w:rsid w:val="00307C2F"/>
    <w:rsid w:val="0031142F"/>
    <w:rsid w:val="00313647"/>
    <w:rsid w:val="00313AF1"/>
    <w:rsid w:val="00313B85"/>
    <w:rsid w:val="00314606"/>
    <w:rsid w:val="0031466A"/>
    <w:rsid w:val="00315F26"/>
    <w:rsid w:val="00316F27"/>
    <w:rsid w:val="00317988"/>
    <w:rsid w:val="00320B76"/>
    <w:rsid w:val="003210A9"/>
    <w:rsid w:val="00321503"/>
    <w:rsid w:val="0032169B"/>
    <w:rsid w:val="00322027"/>
    <w:rsid w:val="003221B4"/>
    <w:rsid w:val="0032258D"/>
    <w:rsid w:val="00322E62"/>
    <w:rsid w:val="00323339"/>
    <w:rsid w:val="00323D64"/>
    <w:rsid w:val="00323E88"/>
    <w:rsid w:val="0032418C"/>
    <w:rsid w:val="00324D13"/>
    <w:rsid w:val="00324D2A"/>
    <w:rsid w:val="00324EDD"/>
    <w:rsid w:val="00330B40"/>
    <w:rsid w:val="00330FC3"/>
    <w:rsid w:val="00331EBC"/>
    <w:rsid w:val="003331E4"/>
    <w:rsid w:val="00333E0E"/>
    <w:rsid w:val="003354A6"/>
    <w:rsid w:val="00335A7B"/>
    <w:rsid w:val="00336C64"/>
    <w:rsid w:val="00337162"/>
    <w:rsid w:val="0034076C"/>
    <w:rsid w:val="0034194F"/>
    <w:rsid w:val="00341D24"/>
    <w:rsid w:val="00341D45"/>
    <w:rsid w:val="00342A8C"/>
    <w:rsid w:val="00344374"/>
    <w:rsid w:val="00344605"/>
    <w:rsid w:val="003448D3"/>
    <w:rsid w:val="003455BF"/>
    <w:rsid w:val="00345996"/>
    <w:rsid w:val="00345B38"/>
    <w:rsid w:val="00345EF5"/>
    <w:rsid w:val="003460B0"/>
    <w:rsid w:val="00346C3D"/>
    <w:rsid w:val="003472DE"/>
    <w:rsid w:val="003474AA"/>
    <w:rsid w:val="0035086C"/>
    <w:rsid w:val="00350D1D"/>
    <w:rsid w:val="00351AB9"/>
    <w:rsid w:val="00352C83"/>
    <w:rsid w:val="003540E5"/>
    <w:rsid w:val="0035440D"/>
    <w:rsid w:val="00354ACC"/>
    <w:rsid w:val="00354D1D"/>
    <w:rsid w:val="00355A2A"/>
    <w:rsid w:val="003574BB"/>
    <w:rsid w:val="00357F41"/>
    <w:rsid w:val="00360F36"/>
    <w:rsid w:val="003615D2"/>
    <w:rsid w:val="00361A1F"/>
    <w:rsid w:val="00361B1B"/>
    <w:rsid w:val="003620B1"/>
    <w:rsid w:val="0036429C"/>
    <w:rsid w:val="00364A53"/>
    <w:rsid w:val="00364EC6"/>
    <w:rsid w:val="003654CB"/>
    <w:rsid w:val="00365610"/>
    <w:rsid w:val="00365667"/>
    <w:rsid w:val="00365AA9"/>
    <w:rsid w:val="00365F86"/>
    <w:rsid w:val="00365F87"/>
    <w:rsid w:val="003669CB"/>
    <w:rsid w:val="00366E89"/>
    <w:rsid w:val="003705F4"/>
    <w:rsid w:val="00370D58"/>
    <w:rsid w:val="00371316"/>
    <w:rsid w:val="00371357"/>
    <w:rsid w:val="00373B21"/>
    <w:rsid w:val="00374AAF"/>
    <w:rsid w:val="00375725"/>
    <w:rsid w:val="00376713"/>
    <w:rsid w:val="00377158"/>
    <w:rsid w:val="003771EF"/>
    <w:rsid w:val="0038094F"/>
    <w:rsid w:val="00381815"/>
    <w:rsid w:val="003819AF"/>
    <w:rsid w:val="003820E9"/>
    <w:rsid w:val="00382BDD"/>
    <w:rsid w:val="00382DE7"/>
    <w:rsid w:val="00383381"/>
    <w:rsid w:val="00384BBF"/>
    <w:rsid w:val="00384C22"/>
    <w:rsid w:val="00384FFC"/>
    <w:rsid w:val="00385813"/>
    <w:rsid w:val="003872B7"/>
    <w:rsid w:val="003872E6"/>
    <w:rsid w:val="003872FC"/>
    <w:rsid w:val="00387627"/>
    <w:rsid w:val="00387ADC"/>
    <w:rsid w:val="00390020"/>
    <w:rsid w:val="003903D6"/>
    <w:rsid w:val="00390568"/>
    <w:rsid w:val="00390751"/>
    <w:rsid w:val="00390EE6"/>
    <w:rsid w:val="00391008"/>
    <w:rsid w:val="0039118F"/>
    <w:rsid w:val="003912D3"/>
    <w:rsid w:val="00391612"/>
    <w:rsid w:val="00391C66"/>
    <w:rsid w:val="00391D5D"/>
    <w:rsid w:val="00392453"/>
    <w:rsid w:val="0039252E"/>
    <w:rsid w:val="00392AD7"/>
    <w:rsid w:val="00392D83"/>
    <w:rsid w:val="003938D9"/>
    <w:rsid w:val="00393C2F"/>
    <w:rsid w:val="00393CFF"/>
    <w:rsid w:val="00394376"/>
    <w:rsid w:val="003943FF"/>
    <w:rsid w:val="003955DB"/>
    <w:rsid w:val="00395700"/>
    <w:rsid w:val="003967A8"/>
    <w:rsid w:val="00396CC6"/>
    <w:rsid w:val="00397353"/>
    <w:rsid w:val="003974EB"/>
    <w:rsid w:val="00397CC5"/>
    <w:rsid w:val="003A0522"/>
    <w:rsid w:val="003A0B2F"/>
    <w:rsid w:val="003A1582"/>
    <w:rsid w:val="003A162D"/>
    <w:rsid w:val="003A214D"/>
    <w:rsid w:val="003A2692"/>
    <w:rsid w:val="003A2B5A"/>
    <w:rsid w:val="003A3633"/>
    <w:rsid w:val="003A4077"/>
    <w:rsid w:val="003A4969"/>
    <w:rsid w:val="003A4B98"/>
    <w:rsid w:val="003A4F32"/>
    <w:rsid w:val="003A5516"/>
    <w:rsid w:val="003A6C67"/>
    <w:rsid w:val="003A6F4A"/>
    <w:rsid w:val="003A74B8"/>
    <w:rsid w:val="003A7822"/>
    <w:rsid w:val="003B0148"/>
    <w:rsid w:val="003B059B"/>
    <w:rsid w:val="003B06B5"/>
    <w:rsid w:val="003B09AD"/>
    <w:rsid w:val="003B0C4F"/>
    <w:rsid w:val="003B1F18"/>
    <w:rsid w:val="003B2C63"/>
    <w:rsid w:val="003B4814"/>
    <w:rsid w:val="003B5955"/>
    <w:rsid w:val="003B5BF0"/>
    <w:rsid w:val="003B5FC7"/>
    <w:rsid w:val="003B608C"/>
    <w:rsid w:val="003B60BF"/>
    <w:rsid w:val="003B69B0"/>
    <w:rsid w:val="003B6BE3"/>
    <w:rsid w:val="003B6E89"/>
    <w:rsid w:val="003B77C5"/>
    <w:rsid w:val="003B7A89"/>
    <w:rsid w:val="003C010C"/>
    <w:rsid w:val="003C091F"/>
    <w:rsid w:val="003C0A6C"/>
    <w:rsid w:val="003C0B41"/>
    <w:rsid w:val="003C14F8"/>
    <w:rsid w:val="003C2338"/>
    <w:rsid w:val="003C3AA6"/>
    <w:rsid w:val="003C40DD"/>
    <w:rsid w:val="003C41E4"/>
    <w:rsid w:val="003C48B7"/>
    <w:rsid w:val="003C5A43"/>
    <w:rsid w:val="003C6194"/>
    <w:rsid w:val="003C68D4"/>
    <w:rsid w:val="003C6989"/>
    <w:rsid w:val="003C6A4B"/>
    <w:rsid w:val="003C6E3D"/>
    <w:rsid w:val="003C7414"/>
    <w:rsid w:val="003D0519"/>
    <w:rsid w:val="003D08C8"/>
    <w:rsid w:val="003D0FF6"/>
    <w:rsid w:val="003D1A80"/>
    <w:rsid w:val="003D262C"/>
    <w:rsid w:val="003D296B"/>
    <w:rsid w:val="003D2ECD"/>
    <w:rsid w:val="003D3131"/>
    <w:rsid w:val="003D3212"/>
    <w:rsid w:val="003D33D7"/>
    <w:rsid w:val="003D3C5A"/>
    <w:rsid w:val="003D3C89"/>
    <w:rsid w:val="003D404B"/>
    <w:rsid w:val="003D5B26"/>
    <w:rsid w:val="003D609B"/>
    <w:rsid w:val="003D697E"/>
    <w:rsid w:val="003D6D61"/>
    <w:rsid w:val="003D77A9"/>
    <w:rsid w:val="003D7840"/>
    <w:rsid w:val="003E091D"/>
    <w:rsid w:val="003E131D"/>
    <w:rsid w:val="003E187E"/>
    <w:rsid w:val="003E1903"/>
    <w:rsid w:val="003E1C53"/>
    <w:rsid w:val="003E23DE"/>
    <w:rsid w:val="003E2702"/>
    <w:rsid w:val="003E29A3"/>
    <w:rsid w:val="003E2A69"/>
    <w:rsid w:val="003E2D46"/>
    <w:rsid w:val="003E2D49"/>
    <w:rsid w:val="003E2FD4"/>
    <w:rsid w:val="003E35DB"/>
    <w:rsid w:val="003E49F6"/>
    <w:rsid w:val="003E6478"/>
    <w:rsid w:val="003E660F"/>
    <w:rsid w:val="003E6624"/>
    <w:rsid w:val="003E6823"/>
    <w:rsid w:val="003E6FAF"/>
    <w:rsid w:val="003E70F9"/>
    <w:rsid w:val="003F063E"/>
    <w:rsid w:val="003F0841"/>
    <w:rsid w:val="003F0F2A"/>
    <w:rsid w:val="003F17A6"/>
    <w:rsid w:val="003F23D3"/>
    <w:rsid w:val="003F2C65"/>
    <w:rsid w:val="003F3F08"/>
    <w:rsid w:val="003F49F1"/>
    <w:rsid w:val="003F4F6D"/>
    <w:rsid w:val="003F5126"/>
    <w:rsid w:val="003F6272"/>
    <w:rsid w:val="003F62BB"/>
    <w:rsid w:val="003F71F8"/>
    <w:rsid w:val="003F7D83"/>
    <w:rsid w:val="00400E72"/>
    <w:rsid w:val="00401400"/>
    <w:rsid w:val="004015C9"/>
    <w:rsid w:val="0040205A"/>
    <w:rsid w:val="00402091"/>
    <w:rsid w:val="00402D56"/>
    <w:rsid w:val="00402F2B"/>
    <w:rsid w:val="00404869"/>
    <w:rsid w:val="00405334"/>
    <w:rsid w:val="00405884"/>
    <w:rsid w:val="00405D06"/>
    <w:rsid w:val="0040702E"/>
    <w:rsid w:val="00407D35"/>
    <w:rsid w:val="00407D39"/>
    <w:rsid w:val="0041099C"/>
    <w:rsid w:val="00411732"/>
    <w:rsid w:val="00412E30"/>
    <w:rsid w:val="00414304"/>
    <w:rsid w:val="0041477A"/>
    <w:rsid w:val="004167A3"/>
    <w:rsid w:val="00417249"/>
    <w:rsid w:val="004178A0"/>
    <w:rsid w:val="0041799A"/>
    <w:rsid w:val="00420603"/>
    <w:rsid w:val="00420833"/>
    <w:rsid w:val="00421A2E"/>
    <w:rsid w:val="00422284"/>
    <w:rsid w:val="004233F1"/>
    <w:rsid w:val="00423C21"/>
    <w:rsid w:val="00423EA9"/>
    <w:rsid w:val="004249AE"/>
    <w:rsid w:val="00424C00"/>
    <w:rsid w:val="00425A09"/>
    <w:rsid w:val="00425B27"/>
    <w:rsid w:val="00427A31"/>
    <w:rsid w:val="004300D4"/>
    <w:rsid w:val="00430A96"/>
    <w:rsid w:val="004319C7"/>
    <w:rsid w:val="00432DAA"/>
    <w:rsid w:val="00433840"/>
    <w:rsid w:val="0043393D"/>
    <w:rsid w:val="00434305"/>
    <w:rsid w:val="00435820"/>
    <w:rsid w:val="00435DF7"/>
    <w:rsid w:val="00436CC6"/>
    <w:rsid w:val="004400DF"/>
    <w:rsid w:val="0044083F"/>
    <w:rsid w:val="00440C5B"/>
    <w:rsid w:val="00440D47"/>
    <w:rsid w:val="00440E51"/>
    <w:rsid w:val="00441AE7"/>
    <w:rsid w:val="00441E1C"/>
    <w:rsid w:val="0044218B"/>
    <w:rsid w:val="0044244D"/>
    <w:rsid w:val="00443017"/>
    <w:rsid w:val="00443088"/>
    <w:rsid w:val="004430E8"/>
    <w:rsid w:val="00443973"/>
    <w:rsid w:val="00444F56"/>
    <w:rsid w:val="0044509B"/>
    <w:rsid w:val="004453BD"/>
    <w:rsid w:val="00445574"/>
    <w:rsid w:val="004467FB"/>
    <w:rsid w:val="00446F36"/>
    <w:rsid w:val="004508D7"/>
    <w:rsid w:val="00452BCB"/>
    <w:rsid w:val="00452D6B"/>
    <w:rsid w:val="00453CAA"/>
    <w:rsid w:val="00453CCF"/>
    <w:rsid w:val="00454484"/>
    <w:rsid w:val="00454983"/>
    <w:rsid w:val="0045517B"/>
    <w:rsid w:val="00455540"/>
    <w:rsid w:val="00455B2E"/>
    <w:rsid w:val="004572DF"/>
    <w:rsid w:val="004576B1"/>
    <w:rsid w:val="004577D6"/>
    <w:rsid w:val="00457EA8"/>
    <w:rsid w:val="0046214D"/>
    <w:rsid w:val="00462CFB"/>
    <w:rsid w:val="00463231"/>
    <w:rsid w:val="004637BC"/>
    <w:rsid w:val="00463B77"/>
    <w:rsid w:val="00463C7B"/>
    <w:rsid w:val="004644A6"/>
    <w:rsid w:val="004659BD"/>
    <w:rsid w:val="004675F3"/>
    <w:rsid w:val="00470775"/>
    <w:rsid w:val="00471D06"/>
    <w:rsid w:val="004731CD"/>
    <w:rsid w:val="0047333D"/>
    <w:rsid w:val="0047371D"/>
    <w:rsid w:val="004746B1"/>
    <w:rsid w:val="004749A5"/>
    <w:rsid w:val="004754B0"/>
    <w:rsid w:val="004755A5"/>
    <w:rsid w:val="004755EA"/>
    <w:rsid w:val="0047583F"/>
    <w:rsid w:val="00475AD5"/>
    <w:rsid w:val="00475D34"/>
    <w:rsid w:val="00475DE8"/>
    <w:rsid w:val="00476D9D"/>
    <w:rsid w:val="00477FA4"/>
    <w:rsid w:val="004805F6"/>
    <w:rsid w:val="004817EF"/>
    <w:rsid w:val="00481811"/>
    <w:rsid w:val="00481BAA"/>
    <w:rsid w:val="00481C44"/>
    <w:rsid w:val="004823C8"/>
    <w:rsid w:val="00482BD5"/>
    <w:rsid w:val="0048455A"/>
    <w:rsid w:val="00484936"/>
    <w:rsid w:val="00485C89"/>
    <w:rsid w:val="00485D46"/>
    <w:rsid w:val="004868F7"/>
    <w:rsid w:val="00486BE3"/>
    <w:rsid w:val="0048753A"/>
    <w:rsid w:val="00490460"/>
    <w:rsid w:val="004905E4"/>
    <w:rsid w:val="00490A89"/>
    <w:rsid w:val="00490AB4"/>
    <w:rsid w:val="00491ABE"/>
    <w:rsid w:val="004929B5"/>
    <w:rsid w:val="00492F02"/>
    <w:rsid w:val="00492F24"/>
    <w:rsid w:val="004939AE"/>
    <w:rsid w:val="004948D1"/>
    <w:rsid w:val="00495E00"/>
    <w:rsid w:val="00495F78"/>
    <w:rsid w:val="00496FBF"/>
    <w:rsid w:val="0049767D"/>
    <w:rsid w:val="004A0198"/>
    <w:rsid w:val="004A09B1"/>
    <w:rsid w:val="004A12DF"/>
    <w:rsid w:val="004A149C"/>
    <w:rsid w:val="004A17E6"/>
    <w:rsid w:val="004A1BA8"/>
    <w:rsid w:val="004A1BEF"/>
    <w:rsid w:val="004A2BD2"/>
    <w:rsid w:val="004A445A"/>
    <w:rsid w:val="004A4A79"/>
    <w:rsid w:val="004A4B57"/>
    <w:rsid w:val="004A5277"/>
    <w:rsid w:val="004A5AEA"/>
    <w:rsid w:val="004A63FA"/>
    <w:rsid w:val="004A6AE1"/>
    <w:rsid w:val="004A718C"/>
    <w:rsid w:val="004A7316"/>
    <w:rsid w:val="004A7E58"/>
    <w:rsid w:val="004B0272"/>
    <w:rsid w:val="004B2701"/>
    <w:rsid w:val="004B2E1B"/>
    <w:rsid w:val="004B3AA8"/>
    <w:rsid w:val="004B3E93"/>
    <w:rsid w:val="004B44F2"/>
    <w:rsid w:val="004B60D8"/>
    <w:rsid w:val="004B74B7"/>
    <w:rsid w:val="004C01D3"/>
    <w:rsid w:val="004C12BD"/>
    <w:rsid w:val="004C1FBC"/>
    <w:rsid w:val="004C3CE9"/>
    <w:rsid w:val="004C3F1D"/>
    <w:rsid w:val="004C458D"/>
    <w:rsid w:val="004C4974"/>
    <w:rsid w:val="004C4BFB"/>
    <w:rsid w:val="004C59AC"/>
    <w:rsid w:val="004C63D0"/>
    <w:rsid w:val="004C6BC4"/>
    <w:rsid w:val="004C7556"/>
    <w:rsid w:val="004C7E8B"/>
    <w:rsid w:val="004C7E9D"/>
    <w:rsid w:val="004C7F67"/>
    <w:rsid w:val="004D076D"/>
    <w:rsid w:val="004D0870"/>
    <w:rsid w:val="004D0EF1"/>
    <w:rsid w:val="004D1F6A"/>
    <w:rsid w:val="004D2253"/>
    <w:rsid w:val="004D2AD9"/>
    <w:rsid w:val="004D2C52"/>
    <w:rsid w:val="004D4406"/>
    <w:rsid w:val="004D55A2"/>
    <w:rsid w:val="004D55B3"/>
    <w:rsid w:val="004D5EE2"/>
    <w:rsid w:val="004D6A6D"/>
    <w:rsid w:val="004D70B1"/>
    <w:rsid w:val="004D7C42"/>
    <w:rsid w:val="004E0465"/>
    <w:rsid w:val="004E0CD1"/>
    <w:rsid w:val="004E125D"/>
    <w:rsid w:val="004E127B"/>
    <w:rsid w:val="004E135A"/>
    <w:rsid w:val="004E1C0A"/>
    <w:rsid w:val="004E1F14"/>
    <w:rsid w:val="004E21B1"/>
    <w:rsid w:val="004E2B06"/>
    <w:rsid w:val="004E308A"/>
    <w:rsid w:val="004E30C5"/>
    <w:rsid w:val="004E3112"/>
    <w:rsid w:val="004E3407"/>
    <w:rsid w:val="004E3848"/>
    <w:rsid w:val="004E4AA5"/>
    <w:rsid w:val="004E4AEE"/>
    <w:rsid w:val="004E59E3"/>
    <w:rsid w:val="004E67C0"/>
    <w:rsid w:val="004E7C4D"/>
    <w:rsid w:val="004F1498"/>
    <w:rsid w:val="004F15C6"/>
    <w:rsid w:val="004F2129"/>
    <w:rsid w:val="004F2A68"/>
    <w:rsid w:val="004F3391"/>
    <w:rsid w:val="004F36AC"/>
    <w:rsid w:val="004F391A"/>
    <w:rsid w:val="004F3BEB"/>
    <w:rsid w:val="004F3CFB"/>
    <w:rsid w:val="004F499D"/>
    <w:rsid w:val="004F5CC0"/>
    <w:rsid w:val="004F6456"/>
    <w:rsid w:val="004F65AE"/>
    <w:rsid w:val="004F696E"/>
    <w:rsid w:val="004F6C71"/>
    <w:rsid w:val="004F76EB"/>
    <w:rsid w:val="00500399"/>
    <w:rsid w:val="0050065A"/>
    <w:rsid w:val="005006CF"/>
    <w:rsid w:val="005009A5"/>
    <w:rsid w:val="00500D72"/>
    <w:rsid w:val="00501139"/>
    <w:rsid w:val="00501919"/>
    <w:rsid w:val="0050363E"/>
    <w:rsid w:val="005039BC"/>
    <w:rsid w:val="00503B05"/>
    <w:rsid w:val="005043BB"/>
    <w:rsid w:val="00504A3D"/>
    <w:rsid w:val="00504BFE"/>
    <w:rsid w:val="00504C3D"/>
    <w:rsid w:val="00504F7C"/>
    <w:rsid w:val="00505767"/>
    <w:rsid w:val="00505B5E"/>
    <w:rsid w:val="005073F0"/>
    <w:rsid w:val="00510A7B"/>
    <w:rsid w:val="00511379"/>
    <w:rsid w:val="00511C14"/>
    <w:rsid w:val="00512F6E"/>
    <w:rsid w:val="00513038"/>
    <w:rsid w:val="00513501"/>
    <w:rsid w:val="00514174"/>
    <w:rsid w:val="00514A74"/>
    <w:rsid w:val="00514C9D"/>
    <w:rsid w:val="00515CCC"/>
    <w:rsid w:val="00515D42"/>
    <w:rsid w:val="00516088"/>
    <w:rsid w:val="005162D9"/>
    <w:rsid w:val="00516B0B"/>
    <w:rsid w:val="005220EC"/>
    <w:rsid w:val="00522163"/>
    <w:rsid w:val="0052326E"/>
    <w:rsid w:val="00523EEF"/>
    <w:rsid w:val="00523F95"/>
    <w:rsid w:val="00524863"/>
    <w:rsid w:val="00524D65"/>
    <w:rsid w:val="00525584"/>
    <w:rsid w:val="00525B16"/>
    <w:rsid w:val="00525E17"/>
    <w:rsid w:val="005260C8"/>
    <w:rsid w:val="005268E9"/>
    <w:rsid w:val="005273D6"/>
    <w:rsid w:val="00527BFE"/>
    <w:rsid w:val="0053042A"/>
    <w:rsid w:val="00530C31"/>
    <w:rsid w:val="005324FF"/>
    <w:rsid w:val="00532E43"/>
    <w:rsid w:val="00532F59"/>
    <w:rsid w:val="00533D04"/>
    <w:rsid w:val="00534649"/>
    <w:rsid w:val="00534804"/>
    <w:rsid w:val="00534BDF"/>
    <w:rsid w:val="005354EA"/>
    <w:rsid w:val="005355E5"/>
    <w:rsid w:val="0053585F"/>
    <w:rsid w:val="00535EC4"/>
    <w:rsid w:val="00535ED9"/>
    <w:rsid w:val="0053692B"/>
    <w:rsid w:val="00536BAB"/>
    <w:rsid w:val="00537121"/>
    <w:rsid w:val="0053715F"/>
    <w:rsid w:val="00540C46"/>
    <w:rsid w:val="00541853"/>
    <w:rsid w:val="00541A92"/>
    <w:rsid w:val="005423D9"/>
    <w:rsid w:val="005427DF"/>
    <w:rsid w:val="00542BDF"/>
    <w:rsid w:val="00542EDE"/>
    <w:rsid w:val="00543B3B"/>
    <w:rsid w:val="00543BDA"/>
    <w:rsid w:val="005441CC"/>
    <w:rsid w:val="005448D6"/>
    <w:rsid w:val="00546DEC"/>
    <w:rsid w:val="0054718D"/>
    <w:rsid w:val="005474CA"/>
    <w:rsid w:val="005475B3"/>
    <w:rsid w:val="005479DA"/>
    <w:rsid w:val="00547BCC"/>
    <w:rsid w:val="0055013B"/>
    <w:rsid w:val="00550466"/>
    <w:rsid w:val="0055178E"/>
    <w:rsid w:val="00551F6F"/>
    <w:rsid w:val="00552075"/>
    <w:rsid w:val="005521B8"/>
    <w:rsid w:val="005527A4"/>
    <w:rsid w:val="005533E6"/>
    <w:rsid w:val="00553596"/>
    <w:rsid w:val="00553DC5"/>
    <w:rsid w:val="00554C98"/>
    <w:rsid w:val="00555044"/>
    <w:rsid w:val="005556B7"/>
    <w:rsid w:val="005562CC"/>
    <w:rsid w:val="0055641C"/>
    <w:rsid w:val="00556AF5"/>
    <w:rsid w:val="00561475"/>
    <w:rsid w:val="00562BFC"/>
    <w:rsid w:val="005638C6"/>
    <w:rsid w:val="00563AC7"/>
    <w:rsid w:val="00563F52"/>
    <w:rsid w:val="0056487B"/>
    <w:rsid w:val="00564C2F"/>
    <w:rsid w:val="00564FB9"/>
    <w:rsid w:val="005651EF"/>
    <w:rsid w:val="00565368"/>
    <w:rsid w:val="00566E2B"/>
    <w:rsid w:val="00567B1B"/>
    <w:rsid w:val="005712DE"/>
    <w:rsid w:val="005728B5"/>
    <w:rsid w:val="00572A2D"/>
    <w:rsid w:val="00572C4E"/>
    <w:rsid w:val="00573D9E"/>
    <w:rsid w:val="0057464F"/>
    <w:rsid w:val="00575D25"/>
    <w:rsid w:val="00576540"/>
    <w:rsid w:val="00576E60"/>
    <w:rsid w:val="005801E3"/>
    <w:rsid w:val="005801E9"/>
    <w:rsid w:val="00581802"/>
    <w:rsid w:val="00581BE7"/>
    <w:rsid w:val="00581F48"/>
    <w:rsid w:val="00581F9A"/>
    <w:rsid w:val="005826F6"/>
    <w:rsid w:val="00582895"/>
    <w:rsid w:val="005836A8"/>
    <w:rsid w:val="00583EB0"/>
    <w:rsid w:val="00584009"/>
    <w:rsid w:val="0058409C"/>
    <w:rsid w:val="00584262"/>
    <w:rsid w:val="005858EC"/>
    <w:rsid w:val="00586630"/>
    <w:rsid w:val="0058689C"/>
    <w:rsid w:val="00586E15"/>
    <w:rsid w:val="0058787F"/>
    <w:rsid w:val="00587ADD"/>
    <w:rsid w:val="005905F2"/>
    <w:rsid w:val="00590B3D"/>
    <w:rsid w:val="00590F5D"/>
    <w:rsid w:val="00591E27"/>
    <w:rsid w:val="00593969"/>
    <w:rsid w:val="00594178"/>
    <w:rsid w:val="0059422A"/>
    <w:rsid w:val="005954BA"/>
    <w:rsid w:val="00596085"/>
    <w:rsid w:val="00596160"/>
    <w:rsid w:val="005966E2"/>
    <w:rsid w:val="005966ED"/>
    <w:rsid w:val="00596B85"/>
    <w:rsid w:val="00597007"/>
    <w:rsid w:val="00597528"/>
    <w:rsid w:val="00597E5C"/>
    <w:rsid w:val="005A07E2"/>
    <w:rsid w:val="005A0966"/>
    <w:rsid w:val="005A0F86"/>
    <w:rsid w:val="005A11B7"/>
    <w:rsid w:val="005A1E60"/>
    <w:rsid w:val="005A260B"/>
    <w:rsid w:val="005A4A1B"/>
    <w:rsid w:val="005A4F1F"/>
    <w:rsid w:val="005A5DCD"/>
    <w:rsid w:val="005A5DDC"/>
    <w:rsid w:val="005A68B7"/>
    <w:rsid w:val="005A7830"/>
    <w:rsid w:val="005A7FCE"/>
    <w:rsid w:val="005B076F"/>
    <w:rsid w:val="005B0F3F"/>
    <w:rsid w:val="005B1A63"/>
    <w:rsid w:val="005B2ECB"/>
    <w:rsid w:val="005B4903"/>
    <w:rsid w:val="005B4C57"/>
    <w:rsid w:val="005B51CE"/>
    <w:rsid w:val="005B5885"/>
    <w:rsid w:val="005B5CD7"/>
    <w:rsid w:val="005B6784"/>
    <w:rsid w:val="005B6CBE"/>
    <w:rsid w:val="005B6CF6"/>
    <w:rsid w:val="005B7422"/>
    <w:rsid w:val="005C0935"/>
    <w:rsid w:val="005C11B4"/>
    <w:rsid w:val="005C189F"/>
    <w:rsid w:val="005C29B8"/>
    <w:rsid w:val="005C3B52"/>
    <w:rsid w:val="005C41CA"/>
    <w:rsid w:val="005C44E1"/>
    <w:rsid w:val="005C5B08"/>
    <w:rsid w:val="005C5F21"/>
    <w:rsid w:val="005C60A3"/>
    <w:rsid w:val="005C6EF6"/>
    <w:rsid w:val="005C7156"/>
    <w:rsid w:val="005C775E"/>
    <w:rsid w:val="005D0C75"/>
    <w:rsid w:val="005D22B2"/>
    <w:rsid w:val="005D232D"/>
    <w:rsid w:val="005D354D"/>
    <w:rsid w:val="005D3C0E"/>
    <w:rsid w:val="005D4171"/>
    <w:rsid w:val="005D4C06"/>
    <w:rsid w:val="005D6A95"/>
    <w:rsid w:val="005D6B2C"/>
    <w:rsid w:val="005D6D9C"/>
    <w:rsid w:val="005D74CF"/>
    <w:rsid w:val="005E1360"/>
    <w:rsid w:val="005E1814"/>
    <w:rsid w:val="005E2172"/>
    <w:rsid w:val="005E2335"/>
    <w:rsid w:val="005E34CA"/>
    <w:rsid w:val="005E3C18"/>
    <w:rsid w:val="005E418F"/>
    <w:rsid w:val="005E4590"/>
    <w:rsid w:val="005E61E4"/>
    <w:rsid w:val="005E6332"/>
    <w:rsid w:val="005E64A1"/>
    <w:rsid w:val="005E6812"/>
    <w:rsid w:val="005E76A1"/>
    <w:rsid w:val="005E7881"/>
    <w:rsid w:val="005E78E0"/>
    <w:rsid w:val="005E7D00"/>
    <w:rsid w:val="005F0D9C"/>
    <w:rsid w:val="005F16E1"/>
    <w:rsid w:val="005F2504"/>
    <w:rsid w:val="005F2847"/>
    <w:rsid w:val="005F284E"/>
    <w:rsid w:val="005F4299"/>
    <w:rsid w:val="005F432F"/>
    <w:rsid w:val="005F4712"/>
    <w:rsid w:val="005F65B7"/>
    <w:rsid w:val="005F65D8"/>
    <w:rsid w:val="005F6E75"/>
    <w:rsid w:val="005F727D"/>
    <w:rsid w:val="00600491"/>
    <w:rsid w:val="006010DA"/>
    <w:rsid w:val="006015CE"/>
    <w:rsid w:val="006026F7"/>
    <w:rsid w:val="006040DF"/>
    <w:rsid w:val="006044A0"/>
    <w:rsid w:val="0060465A"/>
    <w:rsid w:val="00604764"/>
    <w:rsid w:val="00604784"/>
    <w:rsid w:val="00604EE6"/>
    <w:rsid w:val="00606419"/>
    <w:rsid w:val="00607067"/>
    <w:rsid w:val="006074F0"/>
    <w:rsid w:val="006076C7"/>
    <w:rsid w:val="00607CF6"/>
    <w:rsid w:val="00607D29"/>
    <w:rsid w:val="00610289"/>
    <w:rsid w:val="00610430"/>
    <w:rsid w:val="00610960"/>
    <w:rsid w:val="006111FD"/>
    <w:rsid w:val="006113A6"/>
    <w:rsid w:val="00612952"/>
    <w:rsid w:val="00612F95"/>
    <w:rsid w:val="00613148"/>
    <w:rsid w:val="00614121"/>
    <w:rsid w:val="0061424B"/>
    <w:rsid w:val="00614846"/>
    <w:rsid w:val="00614CC1"/>
    <w:rsid w:val="00615A9D"/>
    <w:rsid w:val="00615D1C"/>
    <w:rsid w:val="00616110"/>
    <w:rsid w:val="00616E92"/>
    <w:rsid w:val="00617387"/>
    <w:rsid w:val="00617C87"/>
    <w:rsid w:val="006205D6"/>
    <w:rsid w:val="006210DB"/>
    <w:rsid w:val="00621A21"/>
    <w:rsid w:val="00621BF3"/>
    <w:rsid w:val="00622345"/>
    <w:rsid w:val="006248B2"/>
    <w:rsid w:val="00624D2F"/>
    <w:rsid w:val="00624FFD"/>
    <w:rsid w:val="006252D8"/>
    <w:rsid w:val="00625832"/>
    <w:rsid w:val="006259BC"/>
    <w:rsid w:val="00625DA4"/>
    <w:rsid w:val="00625E53"/>
    <w:rsid w:val="0062636B"/>
    <w:rsid w:val="006300F0"/>
    <w:rsid w:val="0063054D"/>
    <w:rsid w:val="00631933"/>
    <w:rsid w:val="00631C89"/>
    <w:rsid w:val="00632182"/>
    <w:rsid w:val="006326FF"/>
    <w:rsid w:val="00632AE0"/>
    <w:rsid w:val="006330A6"/>
    <w:rsid w:val="0063366F"/>
    <w:rsid w:val="0063392D"/>
    <w:rsid w:val="00633C17"/>
    <w:rsid w:val="00634D9E"/>
    <w:rsid w:val="00636D1F"/>
    <w:rsid w:val="00636E3E"/>
    <w:rsid w:val="006379F7"/>
    <w:rsid w:val="00637C49"/>
    <w:rsid w:val="00637C79"/>
    <w:rsid w:val="00637E19"/>
    <w:rsid w:val="00637E4D"/>
    <w:rsid w:val="0064020C"/>
    <w:rsid w:val="0064061E"/>
    <w:rsid w:val="00640620"/>
    <w:rsid w:val="00640748"/>
    <w:rsid w:val="006407A6"/>
    <w:rsid w:val="00640CF8"/>
    <w:rsid w:val="00640E21"/>
    <w:rsid w:val="00641A1F"/>
    <w:rsid w:val="00642006"/>
    <w:rsid w:val="00643535"/>
    <w:rsid w:val="00644554"/>
    <w:rsid w:val="00644D2E"/>
    <w:rsid w:val="00644ECA"/>
    <w:rsid w:val="0064506C"/>
    <w:rsid w:val="00645904"/>
    <w:rsid w:val="00646732"/>
    <w:rsid w:val="00647AC3"/>
    <w:rsid w:val="00647C87"/>
    <w:rsid w:val="00651ACB"/>
    <w:rsid w:val="00651C47"/>
    <w:rsid w:val="00651DB4"/>
    <w:rsid w:val="00652AB2"/>
    <w:rsid w:val="006533A0"/>
    <w:rsid w:val="006535CB"/>
    <w:rsid w:val="00653FED"/>
    <w:rsid w:val="00654EC0"/>
    <w:rsid w:val="00655162"/>
    <w:rsid w:val="0065525B"/>
    <w:rsid w:val="00655D4F"/>
    <w:rsid w:val="00656A5C"/>
    <w:rsid w:val="00656D29"/>
    <w:rsid w:val="0065781E"/>
    <w:rsid w:val="00657CE7"/>
    <w:rsid w:val="0066127E"/>
    <w:rsid w:val="0066220E"/>
    <w:rsid w:val="006640E5"/>
    <w:rsid w:val="006646F1"/>
    <w:rsid w:val="0066476B"/>
    <w:rsid w:val="00664929"/>
    <w:rsid w:val="00664F62"/>
    <w:rsid w:val="00665002"/>
    <w:rsid w:val="006655E1"/>
    <w:rsid w:val="006664B7"/>
    <w:rsid w:val="00666C51"/>
    <w:rsid w:val="00667D64"/>
    <w:rsid w:val="0067110A"/>
    <w:rsid w:val="00671886"/>
    <w:rsid w:val="00671B41"/>
    <w:rsid w:val="00671E6A"/>
    <w:rsid w:val="00672060"/>
    <w:rsid w:val="00672BFD"/>
    <w:rsid w:val="00673192"/>
    <w:rsid w:val="0067391E"/>
    <w:rsid w:val="00673F77"/>
    <w:rsid w:val="00675226"/>
    <w:rsid w:val="00675AFF"/>
    <w:rsid w:val="006768D2"/>
    <w:rsid w:val="006769D9"/>
    <w:rsid w:val="00677079"/>
    <w:rsid w:val="006770F4"/>
    <w:rsid w:val="0067779B"/>
    <w:rsid w:val="006779FB"/>
    <w:rsid w:val="00677A84"/>
    <w:rsid w:val="00677C61"/>
    <w:rsid w:val="0068026D"/>
    <w:rsid w:val="0068057B"/>
    <w:rsid w:val="00680A27"/>
    <w:rsid w:val="00680FA7"/>
    <w:rsid w:val="006816A4"/>
    <w:rsid w:val="006819B8"/>
    <w:rsid w:val="006824C4"/>
    <w:rsid w:val="00682A35"/>
    <w:rsid w:val="00683E58"/>
    <w:rsid w:val="00683FF8"/>
    <w:rsid w:val="006840A6"/>
    <w:rsid w:val="00684804"/>
    <w:rsid w:val="00684ACE"/>
    <w:rsid w:val="00684C03"/>
    <w:rsid w:val="006850CD"/>
    <w:rsid w:val="00685AAB"/>
    <w:rsid w:val="00685EE3"/>
    <w:rsid w:val="00686289"/>
    <w:rsid w:val="0068664C"/>
    <w:rsid w:val="00686BFE"/>
    <w:rsid w:val="00687702"/>
    <w:rsid w:val="006921B9"/>
    <w:rsid w:val="00692F1A"/>
    <w:rsid w:val="00693342"/>
    <w:rsid w:val="00693BB2"/>
    <w:rsid w:val="00694C36"/>
    <w:rsid w:val="00695D22"/>
    <w:rsid w:val="00695DB6"/>
    <w:rsid w:val="00697E1B"/>
    <w:rsid w:val="006A00ED"/>
    <w:rsid w:val="006A07AA"/>
    <w:rsid w:val="006A08FB"/>
    <w:rsid w:val="006A0F47"/>
    <w:rsid w:val="006A1938"/>
    <w:rsid w:val="006A1F8C"/>
    <w:rsid w:val="006A25E5"/>
    <w:rsid w:val="006A2B46"/>
    <w:rsid w:val="006A3297"/>
    <w:rsid w:val="006A336D"/>
    <w:rsid w:val="006A37B9"/>
    <w:rsid w:val="006A411C"/>
    <w:rsid w:val="006A5EE5"/>
    <w:rsid w:val="006B0651"/>
    <w:rsid w:val="006B231E"/>
    <w:rsid w:val="006B2672"/>
    <w:rsid w:val="006B26C5"/>
    <w:rsid w:val="006B32ED"/>
    <w:rsid w:val="006B4181"/>
    <w:rsid w:val="006B4BCB"/>
    <w:rsid w:val="006B54BF"/>
    <w:rsid w:val="006B5939"/>
    <w:rsid w:val="006B5F44"/>
    <w:rsid w:val="006B5F90"/>
    <w:rsid w:val="006B5FDC"/>
    <w:rsid w:val="006B62E4"/>
    <w:rsid w:val="006C03EB"/>
    <w:rsid w:val="006C0EAE"/>
    <w:rsid w:val="006C1BBA"/>
    <w:rsid w:val="006C2079"/>
    <w:rsid w:val="006C3800"/>
    <w:rsid w:val="006C4BB7"/>
    <w:rsid w:val="006C4C97"/>
    <w:rsid w:val="006C5013"/>
    <w:rsid w:val="006C5799"/>
    <w:rsid w:val="006C5A62"/>
    <w:rsid w:val="006C5D68"/>
    <w:rsid w:val="006C6007"/>
    <w:rsid w:val="006C6976"/>
    <w:rsid w:val="006C6DD0"/>
    <w:rsid w:val="006C76E1"/>
    <w:rsid w:val="006D04EA"/>
    <w:rsid w:val="006D0D96"/>
    <w:rsid w:val="006D16C4"/>
    <w:rsid w:val="006D1C5D"/>
    <w:rsid w:val="006D26A9"/>
    <w:rsid w:val="006D28B0"/>
    <w:rsid w:val="006D2E55"/>
    <w:rsid w:val="006D37AE"/>
    <w:rsid w:val="006D3E96"/>
    <w:rsid w:val="006D4451"/>
    <w:rsid w:val="006D4515"/>
    <w:rsid w:val="006D4BB1"/>
    <w:rsid w:val="006D4F1F"/>
    <w:rsid w:val="006D6593"/>
    <w:rsid w:val="006D6634"/>
    <w:rsid w:val="006D699F"/>
    <w:rsid w:val="006D7878"/>
    <w:rsid w:val="006D7898"/>
    <w:rsid w:val="006E02EF"/>
    <w:rsid w:val="006E0FE7"/>
    <w:rsid w:val="006E1C20"/>
    <w:rsid w:val="006E2383"/>
    <w:rsid w:val="006E23EA"/>
    <w:rsid w:val="006E24CB"/>
    <w:rsid w:val="006E24CE"/>
    <w:rsid w:val="006E2DD3"/>
    <w:rsid w:val="006E41A9"/>
    <w:rsid w:val="006E46A8"/>
    <w:rsid w:val="006E7C78"/>
    <w:rsid w:val="006F03A8"/>
    <w:rsid w:val="006F0848"/>
    <w:rsid w:val="006F146D"/>
    <w:rsid w:val="006F2362"/>
    <w:rsid w:val="006F2ACA"/>
    <w:rsid w:val="006F2ADC"/>
    <w:rsid w:val="006F2BFE"/>
    <w:rsid w:val="006F31E9"/>
    <w:rsid w:val="006F4ABD"/>
    <w:rsid w:val="006F6284"/>
    <w:rsid w:val="006F64E4"/>
    <w:rsid w:val="006F6787"/>
    <w:rsid w:val="006F7B35"/>
    <w:rsid w:val="007002C5"/>
    <w:rsid w:val="00701B5A"/>
    <w:rsid w:val="00703D4F"/>
    <w:rsid w:val="00703D5D"/>
    <w:rsid w:val="00704387"/>
    <w:rsid w:val="00704710"/>
    <w:rsid w:val="00705C87"/>
    <w:rsid w:val="007075A1"/>
    <w:rsid w:val="00707669"/>
    <w:rsid w:val="00707F1A"/>
    <w:rsid w:val="00707FFD"/>
    <w:rsid w:val="00710805"/>
    <w:rsid w:val="00711677"/>
    <w:rsid w:val="00711CBA"/>
    <w:rsid w:val="00711FB5"/>
    <w:rsid w:val="007120B7"/>
    <w:rsid w:val="00712923"/>
    <w:rsid w:val="00712A01"/>
    <w:rsid w:val="00712B74"/>
    <w:rsid w:val="00712C47"/>
    <w:rsid w:val="00713375"/>
    <w:rsid w:val="00713F90"/>
    <w:rsid w:val="007141D5"/>
    <w:rsid w:val="0071473E"/>
    <w:rsid w:val="00714F58"/>
    <w:rsid w:val="007150F7"/>
    <w:rsid w:val="007160FB"/>
    <w:rsid w:val="00716B0A"/>
    <w:rsid w:val="00717AFB"/>
    <w:rsid w:val="00717F12"/>
    <w:rsid w:val="007201E5"/>
    <w:rsid w:val="00720371"/>
    <w:rsid w:val="007210F3"/>
    <w:rsid w:val="00721792"/>
    <w:rsid w:val="0072198B"/>
    <w:rsid w:val="00722340"/>
    <w:rsid w:val="007227BD"/>
    <w:rsid w:val="00722FBF"/>
    <w:rsid w:val="00722FC2"/>
    <w:rsid w:val="007247C0"/>
    <w:rsid w:val="00724879"/>
    <w:rsid w:val="00724C14"/>
    <w:rsid w:val="00724E1B"/>
    <w:rsid w:val="00725170"/>
    <w:rsid w:val="0072582D"/>
    <w:rsid w:val="00725949"/>
    <w:rsid w:val="00725A0B"/>
    <w:rsid w:val="007276A3"/>
    <w:rsid w:val="00727C3B"/>
    <w:rsid w:val="00727EED"/>
    <w:rsid w:val="00727FA2"/>
    <w:rsid w:val="007305A6"/>
    <w:rsid w:val="00730CD1"/>
    <w:rsid w:val="00730F2F"/>
    <w:rsid w:val="00731A71"/>
    <w:rsid w:val="00731EDB"/>
    <w:rsid w:val="007322D9"/>
    <w:rsid w:val="0073240D"/>
    <w:rsid w:val="00732B56"/>
    <w:rsid w:val="00732B7E"/>
    <w:rsid w:val="00732BC0"/>
    <w:rsid w:val="00733007"/>
    <w:rsid w:val="00733E60"/>
    <w:rsid w:val="007340E2"/>
    <w:rsid w:val="0073720F"/>
    <w:rsid w:val="00737796"/>
    <w:rsid w:val="00737E37"/>
    <w:rsid w:val="00740487"/>
    <w:rsid w:val="007413F5"/>
    <w:rsid w:val="0074165C"/>
    <w:rsid w:val="00741981"/>
    <w:rsid w:val="007423EA"/>
    <w:rsid w:val="00742C35"/>
    <w:rsid w:val="007432CA"/>
    <w:rsid w:val="0074334C"/>
    <w:rsid w:val="00743615"/>
    <w:rsid w:val="007437DD"/>
    <w:rsid w:val="007438CC"/>
    <w:rsid w:val="007439EB"/>
    <w:rsid w:val="00743CB4"/>
    <w:rsid w:val="00743F0A"/>
    <w:rsid w:val="007444E8"/>
    <w:rsid w:val="0074488B"/>
    <w:rsid w:val="0074548E"/>
    <w:rsid w:val="00745773"/>
    <w:rsid w:val="00745BCB"/>
    <w:rsid w:val="00746331"/>
    <w:rsid w:val="00746712"/>
    <w:rsid w:val="00746800"/>
    <w:rsid w:val="00746942"/>
    <w:rsid w:val="00746B31"/>
    <w:rsid w:val="00746E56"/>
    <w:rsid w:val="00747202"/>
    <w:rsid w:val="00747AA7"/>
    <w:rsid w:val="00747DBD"/>
    <w:rsid w:val="007501A8"/>
    <w:rsid w:val="00750B4C"/>
    <w:rsid w:val="00750D61"/>
    <w:rsid w:val="00750EE1"/>
    <w:rsid w:val="00751E79"/>
    <w:rsid w:val="007522BC"/>
    <w:rsid w:val="0075258C"/>
    <w:rsid w:val="00752B4D"/>
    <w:rsid w:val="007540E9"/>
    <w:rsid w:val="00755402"/>
    <w:rsid w:val="007554E5"/>
    <w:rsid w:val="00756377"/>
    <w:rsid w:val="00756653"/>
    <w:rsid w:val="00756B26"/>
    <w:rsid w:val="00756EDF"/>
    <w:rsid w:val="00757C53"/>
    <w:rsid w:val="007600E3"/>
    <w:rsid w:val="00760358"/>
    <w:rsid w:val="00762034"/>
    <w:rsid w:val="007625D9"/>
    <w:rsid w:val="00762801"/>
    <w:rsid w:val="00762D55"/>
    <w:rsid w:val="00763C20"/>
    <w:rsid w:val="00764DF8"/>
    <w:rsid w:val="00765C43"/>
    <w:rsid w:val="00765C57"/>
    <w:rsid w:val="00765EFB"/>
    <w:rsid w:val="007671CA"/>
    <w:rsid w:val="00767BDA"/>
    <w:rsid w:val="00767C61"/>
    <w:rsid w:val="0077008A"/>
    <w:rsid w:val="007714DD"/>
    <w:rsid w:val="00771774"/>
    <w:rsid w:val="00771E83"/>
    <w:rsid w:val="0077273F"/>
    <w:rsid w:val="00773C1F"/>
    <w:rsid w:val="00774DA4"/>
    <w:rsid w:val="00775699"/>
    <w:rsid w:val="0077579A"/>
    <w:rsid w:val="007763CD"/>
    <w:rsid w:val="00776599"/>
    <w:rsid w:val="0077748F"/>
    <w:rsid w:val="0078008F"/>
    <w:rsid w:val="00780172"/>
    <w:rsid w:val="00780406"/>
    <w:rsid w:val="0078060E"/>
    <w:rsid w:val="0078069A"/>
    <w:rsid w:val="00780C83"/>
    <w:rsid w:val="0078114B"/>
    <w:rsid w:val="00781DD2"/>
    <w:rsid w:val="0078246B"/>
    <w:rsid w:val="00782D72"/>
    <w:rsid w:val="00783D4A"/>
    <w:rsid w:val="00783ECF"/>
    <w:rsid w:val="0078413A"/>
    <w:rsid w:val="0078436B"/>
    <w:rsid w:val="00785828"/>
    <w:rsid w:val="007861D0"/>
    <w:rsid w:val="00787709"/>
    <w:rsid w:val="00787EE3"/>
    <w:rsid w:val="00790228"/>
    <w:rsid w:val="00791DD4"/>
    <w:rsid w:val="00792602"/>
    <w:rsid w:val="00793000"/>
    <w:rsid w:val="007947D5"/>
    <w:rsid w:val="00795401"/>
    <w:rsid w:val="007959E8"/>
    <w:rsid w:val="00795BD5"/>
    <w:rsid w:val="00795D00"/>
    <w:rsid w:val="00795E9C"/>
    <w:rsid w:val="00796536"/>
    <w:rsid w:val="007966E4"/>
    <w:rsid w:val="00796A27"/>
    <w:rsid w:val="007972F0"/>
    <w:rsid w:val="007A0521"/>
    <w:rsid w:val="007A19CE"/>
    <w:rsid w:val="007A2E12"/>
    <w:rsid w:val="007A3475"/>
    <w:rsid w:val="007A403F"/>
    <w:rsid w:val="007A41C8"/>
    <w:rsid w:val="007A4B65"/>
    <w:rsid w:val="007A54CE"/>
    <w:rsid w:val="007A5727"/>
    <w:rsid w:val="007A6B95"/>
    <w:rsid w:val="007A6FD9"/>
    <w:rsid w:val="007A735E"/>
    <w:rsid w:val="007A79ED"/>
    <w:rsid w:val="007A7B5A"/>
    <w:rsid w:val="007A7EB3"/>
    <w:rsid w:val="007A7FFA"/>
    <w:rsid w:val="007B04EB"/>
    <w:rsid w:val="007B0AEF"/>
    <w:rsid w:val="007B0D4F"/>
    <w:rsid w:val="007B33A2"/>
    <w:rsid w:val="007B3653"/>
    <w:rsid w:val="007B3801"/>
    <w:rsid w:val="007B55B2"/>
    <w:rsid w:val="007B589A"/>
    <w:rsid w:val="007B58C9"/>
    <w:rsid w:val="007B5A3D"/>
    <w:rsid w:val="007B5B95"/>
    <w:rsid w:val="007B68EA"/>
    <w:rsid w:val="007B6966"/>
    <w:rsid w:val="007B6DBC"/>
    <w:rsid w:val="007B7453"/>
    <w:rsid w:val="007B7CDA"/>
    <w:rsid w:val="007C00DE"/>
    <w:rsid w:val="007C05DC"/>
    <w:rsid w:val="007C08B0"/>
    <w:rsid w:val="007C08B8"/>
    <w:rsid w:val="007C0FC6"/>
    <w:rsid w:val="007C1E8B"/>
    <w:rsid w:val="007C1F29"/>
    <w:rsid w:val="007C2BB2"/>
    <w:rsid w:val="007C2D89"/>
    <w:rsid w:val="007C3417"/>
    <w:rsid w:val="007C3AB1"/>
    <w:rsid w:val="007C3C6C"/>
    <w:rsid w:val="007C4593"/>
    <w:rsid w:val="007C5309"/>
    <w:rsid w:val="007C6069"/>
    <w:rsid w:val="007D06C4"/>
    <w:rsid w:val="007D0BA5"/>
    <w:rsid w:val="007D1352"/>
    <w:rsid w:val="007D19EE"/>
    <w:rsid w:val="007D1B11"/>
    <w:rsid w:val="007D2508"/>
    <w:rsid w:val="007D271A"/>
    <w:rsid w:val="007D346A"/>
    <w:rsid w:val="007D4062"/>
    <w:rsid w:val="007D4A64"/>
    <w:rsid w:val="007D4B60"/>
    <w:rsid w:val="007D50C4"/>
    <w:rsid w:val="007D6518"/>
    <w:rsid w:val="007D679F"/>
    <w:rsid w:val="007D76BD"/>
    <w:rsid w:val="007E0A70"/>
    <w:rsid w:val="007E0BF1"/>
    <w:rsid w:val="007E11B2"/>
    <w:rsid w:val="007E372E"/>
    <w:rsid w:val="007E4408"/>
    <w:rsid w:val="007E476A"/>
    <w:rsid w:val="007E4AAE"/>
    <w:rsid w:val="007E5451"/>
    <w:rsid w:val="007E6CE7"/>
    <w:rsid w:val="007E706D"/>
    <w:rsid w:val="007F0ED8"/>
    <w:rsid w:val="007F0F63"/>
    <w:rsid w:val="007F23A7"/>
    <w:rsid w:val="007F3780"/>
    <w:rsid w:val="007F383C"/>
    <w:rsid w:val="007F3BE6"/>
    <w:rsid w:val="007F4506"/>
    <w:rsid w:val="007F505F"/>
    <w:rsid w:val="007F75CE"/>
    <w:rsid w:val="008001F0"/>
    <w:rsid w:val="00800CE6"/>
    <w:rsid w:val="008013A4"/>
    <w:rsid w:val="00801798"/>
    <w:rsid w:val="0080228D"/>
    <w:rsid w:val="008027CE"/>
    <w:rsid w:val="0080294C"/>
    <w:rsid w:val="00802A0A"/>
    <w:rsid w:val="00802F42"/>
    <w:rsid w:val="00803F48"/>
    <w:rsid w:val="008041DA"/>
    <w:rsid w:val="00804383"/>
    <w:rsid w:val="00804A33"/>
    <w:rsid w:val="00804BB7"/>
    <w:rsid w:val="00804D41"/>
    <w:rsid w:val="00805CDA"/>
    <w:rsid w:val="00806DA6"/>
    <w:rsid w:val="00807EAF"/>
    <w:rsid w:val="00810257"/>
    <w:rsid w:val="008104F5"/>
    <w:rsid w:val="008108DF"/>
    <w:rsid w:val="00811072"/>
    <w:rsid w:val="00811369"/>
    <w:rsid w:val="00811AB6"/>
    <w:rsid w:val="008121BB"/>
    <w:rsid w:val="00812DAF"/>
    <w:rsid w:val="00812DD6"/>
    <w:rsid w:val="00813DEF"/>
    <w:rsid w:val="00813E17"/>
    <w:rsid w:val="00813F24"/>
    <w:rsid w:val="0081506E"/>
    <w:rsid w:val="00815419"/>
    <w:rsid w:val="00815D5D"/>
    <w:rsid w:val="008162DA"/>
    <w:rsid w:val="008163C8"/>
    <w:rsid w:val="008164A1"/>
    <w:rsid w:val="00816A8A"/>
    <w:rsid w:val="00816AED"/>
    <w:rsid w:val="00816FA6"/>
    <w:rsid w:val="00817325"/>
    <w:rsid w:val="0081795F"/>
    <w:rsid w:val="008209E6"/>
    <w:rsid w:val="0082113E"/>
    <w:rsid w:val="00821B85"/>
    <w:rsid w:val="00821C7B"/>
    <w:rsid w:val="0082261E"/>
    <w:rsid w:val="00822A1F"/>
    <w:rsid w:val="00822E79"/>
    <w:rsid w:val="00823149"/>
    <w:rsid w:val="00823303"/>
    <w:rsid w:val="008233B2"/>
    <w:rsid w:val="00823A9F"/>
    <w:rsid w:val="00823C85"/>
    <w:rsid w:val="00824CC0"/>
    <w:rsid w:val="00824E97"/>
    <w:rsid w:val="00825138"/>
    <w:rsid w:val="008259B8"/>
    <w:rsid w:val="00825EAD"/>
    <w:rsid w:val="008265CB"/>
    <w:rsid w:val="00826900"/>
    <w:rsid w:val="008269DD"/>
    <w:rsid w:val="00830621"/>
    <w:rsid w:val="00830B9A"/>
    <w:rsid w:val="008330F3"/>
    <w:rsid w:val="0083325C"/>
    <w:rsid w:val="0083348C"/>
    <w:rsid w:val="00834772"/>
    <w:rsid w:val="00834912"/>
    <w:rsid w:val="00835A8E"/>
    <w:rsid w:val="00837310"/>
    <w:rsid w:val="008373B5"/>
    <w:rsid w:val="008373D3"/>
    <w:rsid w:val="00837551"/>
    <w:rsid w:val="008404F7"/>
    <w:rsid w:val="00840617"/>
    <w:rsid w:val="00840759"/>
    <w:rsid w:val="00840F6B"/>
    <w:rsid w:val="00840F84"/>
    <w:rsid w:val="00841694"/>
    <w:rsid w:val="00842A47"/>
    <w:rsid w:val="00843C13"/>
    <w:rsid w:val="00843E95"/>
    <w:rsid w:val="00843F0D"/>
    <w:rsid w:val="008454F8"/>
    <w:rsid w:val="0084574B"/>
    <w:rsid w:val="008460D7"/>
    <w:rsid w:val="00846226"/>
    <w:rsid w:val="0084655F"/>
    <w:rsid w:val="00846BF7"/>
    <w:rsid w:val="00846EDB"/>
    <w:rsid w:val="00847043"/>
    <w:rsid w:val="00850673"/>
    <w:rsid w:val="0085173A"/>
    <w:rsid w:val="008520B1"/>
    <w:rsid w:val="0085240A"/>
    <w:rsid w:val="0085506E"/>
    <w:rsid w:val="008559C2"/>
    <w:rsid w:val="00856316"/>
    <w:rsid w:val="00856EF1"/>
    <w:rsid w:val="00857E47"/>
    <w:rsid w:val="008603CE"/>
    <w:rsid w:val="008620FC"/>
    <w:rsid w:val="008627A5"/>
    <w:rsid w:val="00862F6D"/>
    <w:rsid w:val="008632D3"/>
    <w:rsid w:val="00863E05"/>
    <w:rsid w:val="00864506"/>
    <w:rsid w:val="00864E2F"/>
    <w:rsid w:val="00865892"/>
    <w:rsid w:val="00865ACA"/>
    <w:rsid w:val="00865D28"/>
    <w:rsid w:val="00865F85"/>
    <w:rsid w:val="008671FE"/>
    <w:rsid w:val="008673F2"/>
    <w:rsid w:val="008677A9"/>
    <w:rsid w:val="00867990"/>
    <w:rsid w:val="00867C10"/>
    <w:rsid w:val="008700BF"/>
    <w:rsid w:val="00870439"/>
    <w:rsid w:val="00870C7D"/>
    <w:rsid w:val="00870DA1"/>
    <w:rsid w:val="00872213"/>
    <w:rsid w:val="00873A7D"/>
    <w:rsid w:val="00873E98"/>
    <w:rsid w:val="00874511"/>
    <w:rsid w:val="00875605"/>
    <w:rsid w:val="00875BC0"/>
    <w:rsid w:val="008768AA"/>
    <w:rsid w:val="00876D2F"/>
    <w:rsid w:val="00877FFE"/>
    <w:rsid w:val="008804A0"/>
    <w:rsid w:val="00880C21"/>
    <w:rsid w:val="00881B91"/>
    <w:rsid w:val="00881EC9"/>
    <w:rsid w:val="00882C4B"/>
    <w:rsid w:val="00883F93"/>
    <w:rsid w:val="008842DD"/>
    <w:rsid w:val="00884DB0"/>
    <w:rsid w:val="00884DB3"/>
    <w:rsid w:val="0088568D"/>
    <w:rsid w:val="00885A9D"/>
    <w:rsid w:val="008864F6"/>
    <w:rsid w:val="00886970"/>
    <w:rsid w:val="00886F5A"/>
    <w:rsid w:val="008879A0"/>
    <w:rsid w:val="0089049D"/>
    <w:rsid w:val="0089096D"/>
    <w:rsid w:val="00891912"/>
    <w:rsid w:val="008928C9"/>
    <w:rsid w:val="008930CB"/>
    <w:rsid w:val="008938DC"/>
    <w:rsid w:val="00893E20"/>
    <w:rsid w:val="00893FD1"/>
    <w:rsid w:val="00894836"/>
    <w:rsid w:val="00894BC4"/>
    <w:rsid w:val="00895172"/>
    <w:rsid w:val="00895680"/>
    <w:rsid w:val="00895ABD"/>
    <w:rsid w:val="00896DFF"/>
    <w:rsid w:val="00896E58"/>
    <w:rsid w:val="0089762C"/>
    <w:rsid w:val="00897D7F"/>
    <w:rsid w:val="00897F68"/>
    <w:rsid w:val="008A0B2C"/>
    <w:rsid w:val="008A1795"/>
    <w:rsid w:val="008A1893"/>
    <w:rsid w:val="008A2203"/>
    <w:rsid w:val="008A3215"/>
    <w:rsid w:val="008A3240"/>
    <w:rsid w:val="008A3264"/>
    <w:rsid w:val="008A57E6"/>
    <w:rsid w:val="008A61F3"/>
    <w:rsid w:val="008A63B7"/>
    <w:rsid w:val="008A656F"/>
    <w:rsid w:val="008A6681"/>
    <w:rsid w:val="008A6E3C"/>
    <w:rsid w:val="008A6F81"/>
    <w:rsid w:val="008A769A"/>
    <w:rsid w:val="008A7D48"/>
    <w:rsid w:val="008B08A0"/>
    <w:rsid w:val="008B0C9C"/>
    <w:rsid w:val="008B0F92"/>
    <w:rsid w:val="008B161A"/>
    <w:rsid w:val="008B166D"/>
    <w:rsid w:val="008B17F4"/>
    <w:rsid w:val="008B3178"/>
    <w:rsid w:val="008B3615"/>
    <w:rsid w:val="008B3716"/>
    <w:rsid w:val="008B4434"/>
    <w:rsid w:val="008B454F"/>
    <w:rsid w:val="008B459E"/>
    <w:rsid w:val="008B47EA"/>
    <w:rsid w:val="008B4A17"/>
    <w:rsid w:val="008B4AC4"/>
    <w:rsid w:val="008B50C8"/>
    <w:rsid w:val="008B5281"/>
    <w:rsid w:val="008B5E39"/>
    <w:rsid w:val="008B618E"/>
    <w:rsid w:val="008B6AC3"/>
    <w:rsid w:val="008B7E05"/>
    <w:rsid w:val="008C0D8D"/>
    <w:rsid w:val="008C1131"/>
    <w:rsid w:val="008C1797"/>
    <w:rsid w:val="008C219C"/>
    <w:rsid w:val="008C2B98"/>
    <w:rsid w:val="008C3FB6"/>
    <w:rsid w:val="008C46A3"/>
    <w:rsid w:val="008C475E"/>
    <w:rsid w:val="008C4AB4"/>
    <w:rsid w:val="008C5B84"/>
    <w:rsid w:val="008C619A"/>
    <w:rsid w:val="008C67DE"/>
    <w:rsid w:val="008C73A1"/>
    <w:rsid w:val="008C7960"/>
    <w:rsid w:val="008D0344"/>
    <w:rsid w:val="008D0CE8"/>
    <w:rsid w:val="008D2422"/>
    <w:rsid w:val="008D2D1D"/>
    <w:rsid w:val="008D2FE0"/>
    <w:rsid w:val="008D453D"/>
    <w:rsid w:val="008D53AD"/>
    <w:rsid w:val="008D562B"/>
    <w:rsid w:val="008D5733"/>
    <w:rsid w:val="008D5F47"/>
    <w:rsid w:val="008D622B"/>
    <w:rsid w:val="008D666C"/>
    <w:rsid w:val="008D7B54"/>
    <w:rsid w:val="008E0C9D"/>
    <w:rsid w:val="008E13D1"/>
    <w:rsid w:val="008E1648"/>
    <w:rsid w:val="008E1B3E"/>
    <w:rsid w:val="008E2319"/>
    <w:rsid w:val="008E3618"/>
    <w:rsid w:val="008E42CD"/>
    <w:rsid w:val="008E4BB6"/>
    <w:rsid w:val="008E4E4B"/>
    <w:rsid w:val="008E5518"/>
    <w:rsid w:val="008E6A84"/>
    <w:rsid w:val="008E76D2"/>
    <w:rsid w:val="008F0CDC"/>
    <w:rsid w:val="008F17A3"/>
    <w:rsid w:val="008F1ED3"/>
    <w:rsid w:val="008F204D"/>
    <w:rsid w:val="008F23A5"/>
    <w:rsid w:val="008F240B"/>
    <w:rsid w:val="008F29A4"/>
    <w:rsid w:val="008F2B0B"/>
    <w:rsid w:val="008F2EEA"/>
    <w:rsid w:val="008F4C29"/>
    <w:rsid w:val="008F4EAD"/>
    <w:rsid w:val="008F51FD"/>
    <w:rsid w:val="008F6605"/>
    <w:rsid w:val="008F6807"/>
    <w:rsid w:val="008F6C82"/>
    <w:rsid w:val="008F70BD"/>
    <w:rsid w:val="008F77F6"/>
    <w:rsid w:val="008F788F"/>
    <w:rsid w:val="008F7EA2"/>
    <w:rsid w:val="009003F8"/>
    <w:rsid w:val="00902722"/>
    <w:rsid w:val="009027BC"/>
    <w:rsid w:val="00904339"/>
    <w:rsid w:val="009046A3"/>
    <w:rsid w:val="00904EB7"/>
    <w:rsid w:val="00906264"/>
    <w:rsid w:val="009062E6"/>
    <w:rsid w:val="00907707"/>
    <w:rsid w:val="00907B6A"/>
    <w:rsid w:val="00910956"/>
    <w:rsid w:val="00910FB5"/>
    <w:rsid w:val="00911BE5"/>
    <w:rsid w:val="00912C27"/>
    <w:rsid w:val="00913068"/>
    <w:rsid w:val="0091327D"/>
    <w:rsid w:val="00913B7B"/>
    <w:rsid w:val="00913CA9"/>
    <w:rsid w:val="00913E24"/>
    <w:rsid w:val="009145AE"/>
    <w:rsid w:val="009146CE"/>
    <w:rsid w:val="00914CA7"/>
    <w:rsid w:val="0091561C"/>
    <w:rsid w:val="0091597E"/>
    <w:rsid w:val="00915C3E"/>
    <w:rsid w:val="00916109"/>
    <w:rsid w:val="009161A8"/>
    <w:rsid w:val="00916A12"/>
    <w:rsid w:val="00916B12"/>
    <w:rsid w:val="0091728F"/>
    <w:rsid w:val="00917725"/>
    <w:rsid w:val="00920440"/>
    <w:rsid w:val="009244D1"/>
    <w:rsid w:val="009245F5"/>
    <w:rsid w:val="009249EC"/>
    <w:rsid w:val="00926B82"/>
    <w:rsid w:val="00927142"/>
    <w:rsid w:val="009273B3"/>
    <w:rsid w:val="009276AC"/>
    <w:rsid w:val="009305B5"/>
    <w:rsid w:val="00931E0D"/>
    <w:rsid w:val="00933275"/>
    <w:rsid w:val="00933873"/>
    <w:rsid w:val="009340DE"/>
    <w:rsid w:val="00934473"/>
    <w:rsid w:val="0093458D"/>
    <w:rsid w:val="00934BE6"/>
    <w:rsid w:val="00934C0E"/>
    <w:rsid w:val="009359AD"/>
    <w:rsid w:val="009362A7"/>
    <w:rsid w:val="009406BC"/>
    <w:rsid w:val="009407C6"/>
    <w:rsid w:val="0094125D"/>
    <w:rsid w:val="0094267E"/>
    <w:rsid w:val="009429D5"/>
    <w:rsid w:val="00942BF1"/>
    <w:rsid w:val="00942E4F"/>
    <w:rsid w:val="00943E5E"/>
    <w:rsid w:val="00945180"/>
    <w:rsid w:val="00945269"/>
    <w:rsid w:val="009452F8"/>
    <w:rsid w:val="00945428"/>
    <w:rsid w:val="009454F1"/>
    <w:rsid w:val="00945807"/>
    <w:rsid w:val="00945955"/>
    <w:rsid w:val="0094607B"/>
    <w:rsid w:val="00950805"/>
    <w:rsid w:val="00950B51"/>
    <w:rsid w:val="00950FC2"/>
    <w:rsid w:val="00951290"/>
    <w:rsid w:val="009520DA"/>
    <w:rsid w:val="00952955"/>
    <w:rsid w:val="00952E09"/>
    <w:rsid w:val="00953604"/>
    <w:rsid w:val="009539F2"/>
    <w:rsid w:val="0095496B"/>
    <w:rsid w:val="00954E83"/>
    <w:rsid w:val="009562CD"/>
    <w:rsid w:val="00956FBD"/>
    <w:rsid w:val="0095723F"/>
    <w:rsid w:val="00957B20"/>
    <w:rsid w:val="009610DC"/>
    <w:rsid w:val="00961490"/>
    <w:rsid w:val="009625E2"/>
    <w:rsid w:val="00962E39"/>
    <w:rsid w:val="0096381A"/>
    <w:rsid w:val="00964CCE"/>
    <w:rsid w:val="00965E04"/>
    <w:rsid w:val="00966001"/>
    <w:rsid w:val="0096743A"/>
    <w:rsid w:val="00967473"/>
    <w:rsid w:val="009674AD"/>
    <w:rsid w:val="00970968"/>
    <w:rsid w:val="00970CDC"/>
    <w:rsid w:val="00971056"/>
    <w:rsid w:val="009718B4"/>
    <w:rsid w:val="0097273E"/>
    <w:rsid w:val="00972961"/>
    <w:rsid w:val="0097324B"/>
    <w:rsid w:val="00973EB6"/>
    <w:rsid w:val="009746C9"/>
    <w:rsid w:val="00975B9E"/>
    <w:rsid w:val="00977010"/>
    <w:rsid w:val="009771A3"/>
    <w:rsid w:val="00977D02"/>
    <w:rsid w:val="009809BB"/>
    <w:rsid w:val="00980C3E"/>
    <w:rsid w:val="0098166F"/>
    <w:rsid w:val="00981FE6"/>
    <w:rsid w:val="009827CF"/>
    <w:rsid w:val="0098364B"/>
    <w:rsid w:val="009846C8"/>
    <w:rsid w:val="00986089"/>
    <w:rsid w:val="009911AF"/>
    <w:rsid w:val="009914EE"/>
    <w:rsid w:val="00991875"/>
    <w:rsid w:val="00991895"/>
    <w:rsid w:val="00991F92"/>
    <w:rsid w:val="00992660"/>
    <w:rsid w:val="00992985"/>
    <w:rsid w:val="00992CC0"/>
    <w:rsid w:val="00993889"/>
    <w:rsid w:val="0099499F"/>
    <w:rsid w:val="0099551B"/>
    <w:rsid w:val="00997BF1"/>
    <w:rsid w:val="009A089C"/>
    <w:rsid w:val="009A118E"/>
    <w:rsid w:val="009A1683"/>
    <w:rsid w:val="009A1A78"/>
    <w:rsid w:val="009A21CD"/>
    <w:rsid w:val="009A278C"/>
    <w:rsid w:val="009A2884"/>
    <w:rsid w:val="009A2BC2"/>
    <w:rsid w:val="009A31AA"/>
    <w:rsid w:val="009A3B78"/>
    <w:rsid w:val="009A42C1"/>
    <w:rsid w:val="009A5078"/>
    <w:rsid w:val="009A5159"/>
    <w:rsid w:val="009A5429"/>
    <w:rsid w:val="009A5439"/>
    <w:rsid w:val="009A6632"/>
    <w:rsid w:val="009A6C71"/>
    <w:rsid w:val="009A72AD"/>
    <w:rsid w:val="009B0980"/>
    <w:rsid w:val="009B09E0"/>
    <w:rsid w:val="009B0BC5"/>
    <w:rsid w:val="009B1247"/>
    <w:rsid w:val="009B131F"/>
    <w:rsid w:val="009B1B6D"/>
    <w:rsid w:val="009B2A64"/>
    <w:rsid w:val="009B2DCE"/>
    <w:rsid w:val="009B2FB8"/>
    <w:rsid w:val="009B3F31"/>
    <w:rsid w:val="009B5C28"/>
    <w:rsid w:val="009B6029"/>
    <w:rsid w:val="009B6971"/>
    <w:rsid w:val="009B6B48"/>
    <w:rsid w:val="009C04E2"/>
    <w:rsid w:val="009C0872"/>
    <w:rsid w:val="009C0ADA"/>
    <w:rsid w:val="009C0B3B"/>
    <w:rsid w:val="009C1D6B"/>
    <w:rsid w:val="009C2280"/>
    <w:rsid w:val="009C27F1"/>
    <w:rsid w:val="009C2C8B"/>
    <w:rsid w:val="009C3152"/>
    <w:rsid w:val="009C3262"/>
    <w:rsid w:val="009C400D"/>
    <w:rsid w:val="009C4393"/>
    <w:rsid w:val="009C4CFA"/>
    <w:rsid w:val="009C5070"/>
    <w:rsid w:val="009C5113"/>
    <w:rsid w:val="009C5430"/>
    <w:rsid w:val="009C577B"/>
    <w:rsid w:val="009D0941"/>
    <w:rsid w:val="009D112C"/>
    <w:rsid w:val="009D1320"/>
    <w:rsid w:val="009D19F5"/>
    <w:rsid w:val="009D1C57"/>
    <w:rsid w:val="009D28C2"/>
    <w:rsid w:val="009D3265"/>
    <w:rsid w:val="009D47FA"/>
    <w:rsid w:val="009D4816"/>
    <w:rsid w:val="009D4C5B"/>
    <w:rsid w:val="009D50D2"/>
    <w:rsid w:val="009D544D"/>
    <w:rsid w:val="009D6BCA"/>
    <w:rsid w:val="009E0973"/>
    <w:rsid w:val="009E0F62"/>
    <w:rsid w:val="009E1982"/>
    <w:rsid w:val="009E4A58"/>
    <w:rsid w:val="009E4C85"/>
    <w:rsid w:val="009E4C8F"/>
    <w:rsid w:val="009E5A2D"/>
    <w:rsid w:val="009E5AB2"/>
    <w:rsid w:val="009E6219"/>
    <w:rsid w:val="009E7377"/>
    <w:rsid w:val="009F03B3"/>
    <w:rsid w:val="009F0DB5"/>
    <w:rsid w:val="009F139F"/>
    <w:rsid w:val="009F161D"/>
    <w:rsid w:val="009F1B13"/>
    <w:rsid w:val="009F1F68"/>
    <w:rsid w:val="009F227B"/>
    <w:rsid w:val="009F4FAE"/>
    <w:rsid w:val="009F54AF"/>
    <w:rsid w:val="009F591B"/>
    <w:rsid w:val="009F5C7D"/>
    <w:rsid w:val="009F6015"/>
    <w:rsid w:val="009F7D19"/>
    <w:rsid w:val="00A0096C"/>
    <w:rsid w:val="00A01757"/>
    <w:rsid w:val="00A01E8C"/>
    <w:rsid w:val="00A020AD"/>
    <w:rsid w:val="00A028C0"/>
    <w:rsid w:val="00A02A97"/>
    <w:rsid w:val="00A02BAE"/>
    <w:rsid w:val="00A02DF5"/>
    <w:rsid w:val="00A0365E"/>
    <w:rsid w:val="00A03BB0"/>
    <w:rsid w:val="00A0457C"/>
    <w:rsid w:val="00A045D5"/>
    <w:rsid w:val="00A0684A"/>
    <w:rsid w:val="00A06A6B"/>
    <w:rsid w:val="00A06B5A"/>
    <w:rsid w:val="00A07E47"/>
    <w:rsid w:val="00A10038"/>
    <w:rsid w:val="00A10187"/>
    <w:rsid w:val="00A112F8"/>
    <w:rsid w:val="00A12681"/>
    <w:rsid w:val="00A126B6"/>
    <w:rsid w:val="00A129D0"/>
    <w:rsid w:val="00A12A1C"/>
    <w:rsid w:val="00A12B13"/>
    <w:rsid w:val="00A12B37"/>
    <w:rsid w:val="00A12C33"/>
    <w:rsid w:val="00A1373D"/>
    <w:rsid w:val="00A138BA"/>
    <w:rsid w:val="00A14718"/>
    <w:rsid w:val="00A14C8E"/>
    <w:rsid w:val="00A14CF2"/>
    <w:rsid w:val="00A15317"/>
    <w:rsid w:val="00A153D9"/>
    <w:rsid w:val="00A15CAD"/>
    <w:rsid w:val="00A15F09"/>
    <w:rsid w:val="00A160EA"/>
    <w:rsid w:val="00A16487"/>
    <w:rsid w:val="00A164A8"/>
    <w:rsid w:val="00A169B6"/>
    <w:rsid w:val="00A16ED9"/>
    <w:rsid w:val="00A17D7B"/>
    <w:rsid w:val="00A20E4A"/>
    <w:rsid w:val="00A20E89"/>
    <w:rsid w:val="00A210AF"/>
    <w:rsid w:val="00A21D0F"/>
    <w:rsid w:val="00A2259B"/>
    <w:rsid w:val="00A2271D"/>
    <w:rsid w:val="00A236ED"/>
    <w:rsid w:val="00A237D5"/>
    <w:rsid w:val="00A246C5"/>
    <w:rsid w:val="00A24946"/>
    <w:rsid w:val="00A24CCE"/>
    <w:rsid w:val="00A259A7"/>
    <w:rsid w:val="00A25B4C"/>
    <w:rsid w:val="00A261D8"/>
    <w:rsid w:val="00A26707"/>
    <w:rsid w:val="00A304A8"/>
    <w:rsid w:val="00A30EFC"/>
    <w:rsid w:val="00A316BD"/>
    <w:rsid w:val="00A31789"/>
    <w:rsid w:val="00A31984"/>
    <w:rsid w:val="00A32D73"/>
    <w:rsid w:val="00A3367B"/>
    <w:rsid w:val="00A33DA0"/>
    <w:rsid w:val="00A345BA"/>
    <w:rsid w:val="00A34F73"/>
    <w:rsid w:val="00A35343"/>
    <w:rsid w:val="00A35386"/>
    <w:rsid w:val="00A3597D"/>
    <w:rsid w:val="00A3692E"/>
    <w:rsid w:val="00A36B7C"/>
    <w:rsid w:val="00A36DD1"/>
    <w:rsid w:val="00A37B9E"/>
    <w:rsid w:val="00A4006C"/>
    <w:rsid w:val="00A40091"/>
    <w:rsid w:val="00A4030F"/>
    <w:rsid w:val="00A41C79"/>
    <w:rsid w:val="00A41CB5"/>
    <w:rsid w:val="00A42BC3"/>
    <w:rsid w:val="00A42CDF"/>
    <w:rsid w:val="00A44373"/>
    <w:rsid w:val="00A44405"/>
    <w:rsid w:val="00A4452E"/>
    <w:rsid w:val="00A44622"/>
    <w:rsid w:val="00A4472C"/>
    <w:rsid w:val="00A44C0D"/>
    <w:rsid w:val="00A44E69"/>
    <w:rsid w:val="00A458EA"/>
    <w:rsid w:val="00A4622D"/>
    <w:rsid w:val="00A4661E"/>
    <w:rsid w:val="00A46A60"/>
    <w:rsid w:val="00A472B4"/>
    <w:rsid w:val="00A503E2"/>
    <w:rsid w:val="00A50BD8"/>
    <w:rsid w:val="00A53321"/>
    <w:rsid w:val="00A53A5E"/>
    <w:rsid w:val="00A542BC"/>
    <w:rsid w:val="00A55B44"/>
    <w:rsid w:val="00A55BD6"/>
    <w:rsid w:val="00A55D50"/>
    <w:rsid w:val="00A57142"/>
    <w:rsid w:val="00A575E7"/>
    <w:rsid w:val="00A60131"/>
    <w:rsid w:val="00A605DF"/>
    <w:rsid w:val="00A61A23"/>
    <w:rsid w:val="00A63933"/>
    <w:rsid w:val="00A643EC"/>
    <w:rsid w:val="00A6488D"/>
    <w:rsid w:val="00A648CD"/>
    <w:rsid w:val="00A64963"/>
    <w:rsid w:val="00A6537A"/>
    <w:rsid w:val="00A65577"/>
    <w:rsid w:val="00A66E1D"/>
    <w:rsid w:val="00A6703A"/>
    <w:rsid w:val="00A67866"/>
    <w:rsid w:val="00A67DB8"/>
    <w:rsid w:val="00A7082A"/>
    <w:rsid w:val="00A70B07"/>
    <w:rsid w:val="00A70BC1"/>
    <w:rsid w:val="00A713ED"/>
    <w:rsid w:val="00A723F8"/>
    <w:rsid w:val="00A7416A"/>
    <w:rsid w:val="00A7462C"/>
    <w:rsid w:val="00A75459"/>
    <w:rsid w:val="00A75FD9"/>
    <w:rsid w:val="00A763FF"/>
    <w:rsid w:val="00A77756"/>
    <w:rsid w:val="00A77CCB"/>
    <w:rsid w:val="00A81285"/>
    <w:rsid w:val="00A814FE"/>
    <w:rsid w:val="00A81857"/>
    <w:rsid w:val="00A81D32"/>
    <w:rsid w:val="00A82397"/>
    <w:rsid w:val="00A82A27"/>
    <w:rsid w:val="00A82D25"/>
    <w:rsid w:val="00A8338D"/>
    <w:rsid w:val="00A83D8D"/>
    <w:rsid w:val="00A8446B"/>
    <w:rsid w:val="00A8473F"/>
    <w:rsid w:val="00A850CF"/>
    <w:rsid w:val="00A862D6"/>
    <w:rsid w:val="00A870B1"/>
    <w:rsid w:val="00A8715E"/>
    <w:rsid w:val="00A87894"/>
    <w:rsid w:val="00A90108"/>
    <w:rsid w:val="00A91925"/>
    <w:rsid w:val="00A923B7"/>
    <w:rsid w:val="00A926C2"/>
    <w:rsid w:val="00A9295B"/>
    <w:rsid w:val="00A92BE8"/>
    <w:rsid w:val="00A93B09"/>
    <w:rsid w:val="00A93C46"/>
    <w:rsid w:val="00A94247"/>
    <w:rsid w:val="00A9441D"/>
    <w:rsid w:val="00A94678"/>
    <w:rsid w:val="00A952D7"/>
    <w:rsid w:val="00A963F7"/>
    <w:rsid w:val="00A966D2"/>
    <w:rsid w:val="00A96AD8"/>
    <w:rsid w:val="00A96B97"/>
    <w:rsid w:val="00A97A78"/>
    <w:rsid w:val="00AA0409"/>
    <w:rsid w:val="00AA052C"/>
    <w:rsid w:val="00AA0647"/>
    <w:rsid w:val="00AA1BFA"/>
    <w:rsid w:val="00AA1E45"/>
    <w:rsid w:val="00AA2608"/>
    <w:rsid w:val="00AA2F83"/>
    <w:rsid w:val="00AA39DF"/>
    <w:rsid w:val="00AA4138"/>
    <w:rsid w:val="00AA4286"/>
    <w:rsid w:val="00AA456B"/>
    <w:rsid w:val="00AA55F6"/>
    <w:rsid w:val="00AA57F5"/>
    <w:rsid w:val="00AA5F21"/>
    <w:rsid w:val="00AA672E"/>
    <w:rsid w:val="00AA6EC9"/>
    <w:rsid w:val="00AA7F3F"/>
    <w:rsid w:val="00AB1D28"/>
    <w:rsid w:val="00AB2675"/>
    <w:rsid w:val="00AB290E"/>
    <w:rsid w:val="00AB41D5"/>
    <w:rsid w:val="00AB473A"/>
    <w:rsid w:val="00AB4814"/>
    <w:rsid w:val="00AB4FEA"/>
    <w:rsid w:val="00AB539D"/>
    <w:rsid w:val="00AB5420"/>
    <w:rsid w:val="00AB6309"/>
    <w:rsid w:val="00AB6AED"/>
    <w:rsid w:val="00AB6C5F"/>
    <w:rsid w:val="00AB6F97"/>
    <w:rsid w:val="00AB7129"/>
    <w:rsid w:val="00AC0572"/>
    <w:rsid w:val="00AC16E8"/>
    <w:rsid w:val="00AC1D20"/>
    <w:rsid w:val="00AC27A6"/>
    <w:rsid w:val="00AC30F7"/>
    <w:rsid w:val="00AC3348"/>
    <w:rsid w:val="00AC3A5A"/>
    <w:rsid w:val="00AC3FD6"/>
    <w:rsid w:val="00AC401E"/>
    <w:rsid w:val="00AC4A94"/>
    <w:rsid w:val="00AC4D95"/>
    <w:rsid w:val="00AC507A"/>
    <w:rsid w:val="00AC50E8"/>
    <w:rsid w:val="00AC546C"/>
    <w:rsid w:val="00AC5DF4"/>
    <w:rsid w:val="00AC5F72"/>
    <w:rsid w:val="00AC72EC"/>
    <w:rsid w:val="00AC7321"/>
    <w:rsid w:val="00AC7DD0"/>
    <w:rsid w:val="00AD011B"/>
    <w:rsid w:val="00AD0AEF"/>
    <w:rsid w:val="00AD11B7"/>
    <w:rsid w:val="00AD1A94"/>
    <w:rsid w:val="00AD1C05"/>
    <w:rsid w:val="00AD315D"/>
    <w:rsid w:val="00AD3D6C"/>
    <w:rsid w:val="00AD4126"/>
    <w:rsid w:val="00AD4194"/>
    <w:rsid w:val="00AD421C"/>
    <w:rsid w:val="00AD44B0"/>
    <w:rsid w:val="00AD44FA"/>
    <w:rsid w:val="00AD4F0E"/>
    <w:rsid w:val="00AD5622"/>
    <w:rsid w:val="00AD675A"/>
    <w:rsid w:val="00AE070A"/>
    <w:rsid w:val="00AE101C"/>
    <w:rsid w:val="00AE2365"/>
    <w:rsid w:val="00AE2587"/>
    <w:rsid w:val="00AE2D25"/>
    <w:rsid w:val="00AE37E5"/>
    <w:rsid w:val="00AE4BB3"/>
    <w:rsid w:val="00AE59AD"/>
    <w:rsid w:val="00AE5B6D"/>
    <w:rsid w:val="00AE5EB4"/>
    <w:rsid w:val="00AE60B4"/>
    <w:rsid w:val="00AE62DD"/>
    <w:rsid w:val="00AE7DF3"/>
    <w:rsid w:val="00AE7EE3"/>
    <w:rsid w:val="00AF00CA"/>
    <w:rsid w:val="00AF0303"/>
    <w:rsid w:val="00AF0C18"/>
    <w:rsid w:val="00AF3E9E"/>
    <w:rsid w:val="00AF47C5"/>
    <w:rsid w:val="00AF4BA0"/>
    <w:rsid w:val="00AF5398"/>
    <w:rsid w:val="00AF5CE6"/>
    <w:rsid w:val="00AF6227"/>
    <w:rsid w:val="00AF7FF3"/>
    <w:rsid w:val="00B00E0C"/>
    <w:rsid w:val="00B01B06"/>
    <w:rsid w:val="00B034E3"/>
    <w:rsid w:val="00B0406F"/>
    <w:rsid w:val="00B049AF"/>
    <w:rsid w:val="00B05796"/>
    <w:rsid w:val="00B0601B"/>
    <w:rsid w:val="00B07242"/>
    <w:rsid w:val="00B10534"/>
    <w:rsid w:val="00B108AD"/>
    <w:rsid w:val="00B10D63"/>
    <w:rsid w:val="00B1121E"/>
    <w:rsid w:val="00B113DB"/>
    <w:rsid w:val="00B11D30"/>
    <w:rsid w:val="00B11D8A"/>
    <w:rsid w:val="00B11F8B"/>
    <w:rsid w:val="00B12981"/>
    <w:rsid w:val="00B12BC8"/>
    <w:rsid w:val="00B12E8E"/>
    <w:rsid w:val="00B13DB8"/>
    <w:rsid w:val="00B13E28"/>
    <w:rsid w:val="00B147DD"/>
    <w:rsid w:val="00B149F1"/>
    <w:rsid w:val="00B14EE4"/>
    <w:rsid w:val="00B156FD"/>
    <w:rsid w:val="00B15B7C"/>
    <w:rsid w:val="00B1687D"/>
    <w:rsid w:val="00B16DA7"/>
    <w:rsid w:val="00B16F74"/>
    <w:rsid w:val="00B176E1"/>
    <w:rsid w:val="00B176F0"/>
    <w:rsid w:val="00B177A7"/>
    <w:rsid w:val="00B179A4"/>
    <w:rsid w:val="00B17F3C"/>
    <w:rsid w:val="00B202CE"/>
    <w:rsid w:val="00B21F61"/>
    <w:rsid w:val="00B229DD"/>
    <w:rsid w:val="00B2393E"/>
    <w:rsid w:val="00B2398A"/>
    <w:rsid w:val="00B24F48"/>
    <w:rsid w:val="00B261F1"/>
    <w:rsid w:val="00B265BC"/>
    <w:rsid w:val="00B26F92"/>
    <w:rsid w:val="00B27931"/>
    <w:rsid w:val="00B31FB1"/>
    <w:rsid w:val="00B330EB"/>
    <w:rsid w:val="00B33952"/>
    <w:rsid w:val="00B33BF1"/>
    <w:rsid w:val="00B33C5E"/>
    <w:rsid w:val="00B33D9E"/>
    <w:rsid w:val="00B342F4"/>
    <w:rsid w:val="00B34369"/>
    <w:rsid w:val="00B34DC2"/>
    <w:rsid w:val="00B3545F"/>
    <w:rsid w:val="00B360FA"/>
    <w:rsid w:val="00B361BF"/>
    <w:rsid w:val="00B36615"/>
    <w:rsid w:val="00B373ED"/>
    <w:rsid w:val="00B378E5"/>
    <w:rsid w:val="00B413CA"/>
    <w:rsid w:val="00B42BA8"/>
    <w:rsid w:val="00B433C6"/>
    <w:rsid w:val="00B4346D"/>
    <w:rsid w:val="00B440F4"/>
    <w:rsid w:val="00B4420C"/>
    <w:rsid w:val="00B44549"/>
    <w:rsid w:val="00B447A5"/>
    <w:rsid w:val="00B4654C"/>
    <w:rsid w:val="00B468E5"/>
    <w:rsid w:val="00B47293"/>
    <w:rsid w:val="00B4782F"/>
    <w:rsid w:val="00B47BB8"/>
    <w:rsid w:val="00B47BCC"/>
    <w:rsid w:val="00B47E30"/>
    <w:rsid w:val="00B50088"/>
    <w:rsid w:val="00B50E50"/>
    <w:rsid w:val="00B52120"/>
    <w:rsid w:val="00B52A64"/>
    <w:rsid w:val="00B5390C"/>
    <w:rsid w:val="00B53EA7"/>
    <w:rsid w:val="00B53EEB"/>
    <w:rsid w:val="00B543A5"/>
    <w:rsid w:val="00B54769"/>
    <w:rsid w:val="00B547DD"/>
    <w:rsid w:val="00B54A29"/>
    <w:rsid w:val="00B54ABC"/>
    <w:rsid w:val="00B54DDE"/>
    <w:rsid w:val="00B56FBE"/>
    <w:rsid w:val="00B57C60"/>
    <w:rsid w:val="00B6022A"/>
    <w:rsid w:val="00B60A9D"/>
    <w:rsid w:val="00B60ACF"/>
    <w:rsid w:val="00B60AF8"/>
    <w:rsid w:val="00B623FA"/>
    <w:rsid w:val="00B626B5"/>
    <w:rsid w:val="00B62B58"/>
    <w:rsid w:val="00B62D0C"/>
    <w:rsid w:val="00B63AD0"/>
    <w:rsid w:val="00B63EC0"/>
    <w:rsid w:val="00B6411D"/>
    <w:rsid w:val="00B649A0"/>
    <w:rsid w:val="00B65092"/>
    <w:rsid w:val="00B65149"/>
    <w:rsid w:val="00B6547D"/>
    <w:rsid w:val="00B66567"/>
    <w:rsid w:val="00B66F52"/>
    <w:rsid w:val="00B66FE5"/>
    <w:rsid w:val="00B705EF"/>
    <w:rsid w:val="00B711C6"/>
    <w:rsid w:val="00B715D8"/>
    <w:rsid w:val="00B721DE"/>
    <w:rsid w:val="00B72880"/>
    <w:rsid w:val="00B73462"/>
    <w:rsid w:val="00B73CBC"/>
    <w:rsid w:val="00B7462E"/>
    <w:rsid w:val="00B749AC"/>
    <w:rsid w:val="00B7518D"/>
    <w:rsid w:val="00B758BF"/>
    <w:rsid w:val="00B762BD"/>
    <w:rsid w:val="00B775CA"/>
    <w:rsid w:val="00B77CF2"/>
    <w:rsid w:val="00B77EC8"/>
    <w:rsid w:val="00B80C56"/>
    <w:rsid w:val="00B8101A"/>
    <w:rsid w:val="00B81845"/>
    <w:rsid w:val="00B81FE8"/>
    <w:rsid w:val="00B81FF7"/>
    <w:rsid w:val="00B823EB"/>
    <w:rsid w:val="00B827A6"/>
    <w:rsid w:val="00B82937"/>
    <w:rsid w:val="00B831CE"/>
    <w:rsid w:val="00B83709"/>
    <w:rsid w:val="00B843CF"/>
    <w:rsid w:val="00B8482B"/>
    <w:rsid w:val="00B84885"/>
    <w:rsid w:val="00B848CA"/>
    <w:rsid w:val="00B8521D"/>
    <w:rsid w:val="00B86677"/>
    <w:rsid w:val="00B86C0D"/>
    <w:rsid w:val="00B87131"/>
    <w:rsid w:val="00B87317"/>
    <w:rsid w:val="00B87353"/>
    <w:rsid w:val="00B904D0"/>
    <w:rsid w:val="00B9059F"/>
    <w:rsid w:val="00B90F35"/>
    <w:rsid w:val="00B9164D"/>
    <w:rsid w:val="00B93444"/>
    <w:rsid w:val="00B93745"/>
    <w:rsid w:val="00B939B1"/>
    <w:rsid w:val="00B959FE"/>
    <w:rsid w:val="00B96149"/>
    <w:rsid w:val="00B9615F"/>
    <w:rsid w:val="00B967E1"/>
    <w:rsid w:val="00B96D40"/>
    <w:rsid w:val="00B96F6E"/>
    <w:rsid w:val="00B97386"/>
    <w:rsid w:val="00B9743D"/>
    <w:rsid w:val="00B974DC"/>
    <w:rsid w:val="00BA00E1"/>
    <w:rsid w:val="00BA1F9F"/>
    <w:rsid w:val="00BA224E"/>
    <w:rsid w:val="00BA263B"/>
    <w:rsid w:val="00BA27A7"/>
    <w:rsid w:val="00BA2B27"/>
    <w:rsid w:val="00BA2ECA"/>
    <w:rsid w:val="00BA42B2"/>
    <w:rsid w:val="00BA486E"/>
    <w:rsid w:val="00BA53E1"/>
    <w:rsid w:val="00BA5864"/>
    <w:rsid w:val="00BA58D4"/>
    <w:rsid w:val="00BA5B9E"/>
    <w:rsid w:val="00BA614A"/>
    <w:rsid w:val="00BA67F4"/>
    <w:rsid w:val="00BA7141"/>
    <w:rsid w:val="00BA7356"/>
    <w:rsid w:val="00BA7C9A"/>
    <w:rsid w:val="00BB0E5E"/>
    <w:rsid w:val="00BB1E05"/>
    <w:rsid w:val="00BB2713"/>
    <w:rsid w:val="00BB3E4E"/>
    <w:rsid w:val="00BB49D5"/>
    <w:rsid w:val="00BB56F3"/>
    <w:rsid w:val="00BB5F8F"/>
    <w:rsid w:val="00BB649B"/>
    <w:rsid w:val="00BB657A"/>
    <w:rsid w:val="00BB7F2A"/>
    <w:rsid w:val="00BC125D"/>
    <w:rsid w:val="00BC1A4E"/>
    <w:rsid w:val="00BC1C16"/>
    <w:rsid w:val="00BC2E29"/>
    <w:rsid w:val="00BC4F0C"/>
    <w:rsid w:val="00BC5DC7"/>
    <w:rsid w:val="00BC6918"/>
    <w:rsid w:val="00BC6B8B"/>
    <w:rsid w:val="00BC73D8"/>
    <w:rsid w:val="00BC7B0A"/>
    <w:rsid w:val="00BD0E85"/>
    <w:rsid w:val="00BD16E7"/>
    <w:rsid w:val="00BD3137"/>
    <w:rsid w:val="00BD40BB"/>
    <w:rsid w:val="00BD4625"/>
    <w:rsid w:val="00BD4B5A"/>
    <w:rsid w:val="00BD52D7"/>
    <w:rsid w:val="00BD59F1"/>
    <w:rsid w:val="00BD5AD2"/>
    <w:rsid w:val="00BD5DEA"/>
    <w:rsid w:val="00BD69A7"/>
    <w:rsid w:val="00BE0206"/>
    <w:rsid w:val="00BE2267"/>
    <w:rsid w:val="00BE22F3"/>
    <w:rsid w:val="00BE3A6A"/>
    <w:rsid w:val="00BE3E59"/>
    <w:rsid w:val="00BE402E"/>
    <w:rsid w:val="00BE46DA"/>
    <w:rsid w:val="00BE4E02"/>
    <w:rsid w:val="00BE5164"/>
    <w:rsid w:val="00BE540F"/>
    <w:rsid w:val="00BE57BD"/>
    <w:rsid w:val="00BE5B52"/>
    <w:rsid w:val="00BE7B06"/>
    <w:rsid w:val="00BE7B8D"/>
    <w:rsid w:val="00BF0993"/>
    <w:rsid w:val="00BF10A9"/>
    <w:rsid w:val="00BF149E"/>
    <w:rsid w:val="00BF14D2"/>
    <w:rsid w:val="00BF1703"/>
    <w:rsid w:val="00BF225D"/>
    <w:rsid w:val="00BF231C"/>
    <w:rsid w:val="00BF29C7"/>
    <w:rsid w:val="00BF3783"/>
    <w:rsid w:val="00BF4475"/>
    <w:rsid w:val="00BF464D"/>
    <w:rsid w:val="00BF51E5"/>
    <w:rsid w:val="00BF5A4E"/>
    <w:rsid w:val="00BF6725"/>
    <w:rsid w:val="00BF74A6"/>
    <w:rsid w:val="00C005DB"/>
    <w:rsid w:val="00C0086B"/>
    <w:rsid w:val="00C013AD"/>
    <w:rsid w:val="00C018E1"/>
    <w:rsid w:val="00C02776"/>
    <w:rsid w:val="00C028D9"/>
    <w:rsid w:val="00C02D05"/>
    <w:rsid w:val="00C03B67"/>
    <w:rsid w:val="00C03CE7"/>
    <w:rsid w:val="00C04904"/>
    <w:rsid w:val="00C0519B"/>
    <w:rsid w:val="00C056B3"/>
    <w:rsid w:val="00C069C4"/>
    <w:rsid w:val="00C06BDF"/>
    <w:rsid w:val="00C103E5"/>
    <w:rsid w:val="00C1082D"/>
    <w:rsid w:val="00C1093F"/>
    <w:rsid w:val="00C117F4"/>
    <w:rsid w:val="00C11855"/>
    <w:rsid w:val="00C1221E"/>
    <w:rsid w:val="00C12A81"/>
    <w:rsid w:val="00C12AB3"/>
    <w:rsid w:val="00C12B6D"/>
    <w:rsid w:val="00C12C24"/>
    <w:rsid w:val="00C12C56"/>
    <w:rsid w:val="00C13319"/>
    <w:rsid w:val="00C136AE"/>
    <w:rsid w:val="00C13EE9"/>
    <w:rsid w:val="00C148A6"/>
    <w:rsid w:val="00C14AF4"/>
    <w:rsid w:val="00C152B8"/>
    <w:rsid w:val="00C16606"/>
    <w:rsid w:val="00C20636"/>
    <w:rsid w:val="00C20D20"/>
    <w:rsid w:val="00C21257"/>
    <w:rsid w:val="00C213DF"/>
    <w:rsid w:val="00C21540"/>
    <w:rsid w:val="00C21906"/>
    <w:rsid w:val="00C21A85"/>
    <w:rsid w:val="00C21BFA"/>
    <w:rsid w:val="00C21F17"/>
    <w:rsid w:val="00C22148"/>
    <w:rsid w:val="00C2234B"/>
    <w:rsid w:val="00C23FB9"/>
    <w:rsid w:val="00C24C2B"/>
    <w:rsid w:val="00C24C8D"/>
    <w:rsid w:val="00C25739"/>
    <w:rsid w:val="00C25FE2"/>
    <w:rsid w:val="00C26B53"/>
    <w:rsid w:val="00C279B2"/>
    <w:rsid w:val="00C31AAA"/>
    <w:rsid w:val="00C31CD5"/>
    <w:rsid w:val="00C31CDC"/>
    <w:rsid w:val="00C33E50"/>
    <w:rsid w:val="00C33EAA"/>
    <w:rsid w:val="00C34674"/>
    <w:rsid w:val="00C34C20"/>
    <w:rsid w:val="00C34D6F"/>
    <w:rsid w:val="00C35A3E"/>
    <w:rsid w:val="00C36364"/>
    <w:rsid w:val="00C368F9"/>
    <w:rsid w:val="00C37364"/>
    <w:rsid w:val="00C40517"/>
    <w:rsid w:val="00C40993"/>
    <w:rsid w:val="00C42130"/>
    <w:rsid w:val="00C423A4"/>
    <w:rsid w:val="00C44114"/>
    <w:rsid w:val="00C44BF5"/>
    <w:rsid w:val="00C45061"/>
    <w:rsid w:val="00C450D7"/>
    <w:rsid w:val="00C454BF"/>
    <w:rsid w:val="00C4561C"/>
    <w:rsid w:val="00C4595A"/>
    <w:rsid w:val="00C460E4"/>
    <w:rsid w:val="00C47DDF"/>
    <w:rsid w:val="00C50292"/>
    <w:rsid w:val="00C50ED6"/>
    <w:rsid w:val="00C51C72"/>
    <w:rsid w:val="00C521D6"/>
    <w:rsid w:val="00C53BC9"/>
    <w:rsid w:val="00C53BCB"/>
    <w:rsid w:val="00C53CDE"/>
    <w:rsid w:val="00C53FA0"/>
    <w:rsid w:val="00C5506B"/>
    <w:rsid w:val="00C55232"/>
    <w:rsid w:val="00C553A4"/>
    <w:rsid w:val="00C55A06"/>
    <w:rsid w:val="00C55D03"/>
    <w:rsid w:val="00C55D2A"/>
    <w:rsid w:val="00C5697A"/>
    <w:rsid w:val="00C56E66"/>
    <w:rsid w:val="00C57050"/>
    <w:rsid w:val="00C601BC"/>
    <w:rsid w:val="00C60286"/>
    <w:rsid w:val="00C620C4"/>
    <w:rsid w:val="00C6329F"/>
    <w:rsid w:val="00C63340"/>
    <w:rsid w:val="00C643F9"/>
    <w:rsid w:val="00C649F6"/>
    <w:rsid w:val="00C64BC5"/>
    <w:rsid w:val="00C64E95"/>
    <w:rsid w:val="00C65191"/>
    <w:rsid w:val="00C658E6"/>
    <w:rsid w:val="00C65B8B"/>
    <w:rsid w:val="00C6682B"/>
    <w:rsid w:val="00C6765B"/>
    <w:rsid w:val="00C71372"/>
    <w:rsid w:val="00C715E3"/>
    <w:rsid w:val="00C71D32"/>
    <w:rsid w:val="00C71FDD"/>
    <w:rsid w:val="00C72410"/>
    <w:rsid w:val="00C7287F"/>
    <w:rsid w:val="00C733A3"/>
    <w:rsid w:val="00C736AD"/>
    <w:rsid w:val="00C73871"/>
    <w:rsid w:val="00C746A8"/>
    <w:rsid w:val="00C75040"/>
    <w:rsid w:val="00C75C4C"/>
    <w:rsid w:val="00C76E0A"/>
    <w:rsid w:val="00C77D89"/>
    <w:rsid w:val="00C80CB8"/>
    <w:rsid w:val="00C819F8"/>
    <w:rsid w:val="00C81A89"/>
    <w:rsid w:val="00C8248C"/>
    <w:rsid w:val="00C83162"/>
    <w:rsid w:val="00C83B52"/>
    <w:rsid w:val="00C84E33"/>
    <w:rsid w:val="00C850C8"/>
    <w:rsid w:val="00C86A7E"/>
    <w:rsid w:val="00C86D6F"/>
    <w:rsid w:val="00C86DB5"/>
    <w:rsid w:val="00C86DDB"/>
    <w:rsid w:val="00C86FD6"/>
    <w:rsid w:val="00C90065"/>
    <w:rsid w:val="00C904BD"/>
    <w:rsid w:val="00C905FC"/>
    <w:rsid w:val="00C92436"/>
    <w:rsid w:val="00C928E2"/>
    <w:rsid w:val="00C92D03"/>
    <w:rsid w:val="00C9319C"/>
    <w:rsid w:val="00C9435D"/>
    <w:rsid w:val="00C94DF2"/>
    <w:rsid w:val="00C9511E"/>
    <w:rsid w:val="00C95E51"/>
    <w:rsid w:val="00C9623E"/>
    <w:rsid w:val="00C96741"/>
    <w:rsid w:val="00C96EE7"/>
    <w:rsid w:val="00CA0F1B"/>
    <w:rsid w:val="00CA1692"/>
    <w:rsid w:val="00CA178F"/>
    <w:rsid w:val="00CA2D1B"/>
    <w:rsid w:val="00CA375D"/>
    <w:rsid w:val="00CA662A"/>
    <w:rsid w:val="00CA68C5"/>
    <w:rsid w:val="00CA7929"/>
    <w:rsid w:val="00CA795A"/>
    <w:rsid w:val="00CA79B4"/>
    <w:rsid w:val="00CA7AFD"/>
    <w:rsid w:val="00CA7C3C"/>
    <w:rsid w:val="00CB0189"/>
    <w:rsid w:val="00CB0AD0"/>
    <w:rsid w:val="00CB0BA2"/>
    <w:rsid w:val="00CB0EBF"/>
    <w:rsid w:val="00CB11B2"/>
    <w:rsid w:val="00CB1A42"/>
    <w:rsid w:val="00CB1B0C"/>
    <w:rsid w:val="00CB2008"/>
    <w:rsid w:val="00CB2C0B"/>
    <w:rsid w:val="00CB4D56"/>
    <w:rsid w:val="00CB517D"/>
    <w:rsid w:val="00CB56D2"/>
    <w:rsid w:val="00CB5CAA"/>
    <w:rsid w:val="00CC01F8"/>
    <w:rsid w:val="00CC038D"/>
    <w:rsid w:val="00CC08DB"/>
    <w:rsid w:val="00CC1050"/>
    <w:rsid w:val="00CC1569"/>
    <w:rsid w:val="00CC27DB"/>
    <w:rsid w:val="00CC379F"/>
    <w:rsid w:val="00CC39FF"/>
    <w:rsid w:val="00CC3C2F"/>
    <w:rsid w:val="00CC4AC8"/>
    <w:rsid w:val="00CC5233"/>
    <w:rsid w:val="00CC562B"/>
    <w:rsid w:val="00CC57E2"/>
    <w:rsid w:val="00CC5DE6"/>
    <w:rsid w:val="00CC6278"/>
    <w:rsid w:val="00CC6E26"/>
    <w:rsid w:val="00CC6E4E"/>
    <w:rsid w:val="00CC6FE8"/>
    <w:rsid w:val="00CC7202"/>
    <w:rsid w:val="00CC7A1D"/>
    <w:rsid w:val="00CD064F"/>
    <w:rsid w:val="00CD14C1"/>
    <w:rsid w:val="00CD1DD6"/>
    <w:rsid w:val="00CD2808"/>
    <w:rsid w:val="00CD28BF"/>
    <w:rsid w:val="00CD2A6E"/>
    <w:rsid w:val="00CD2CD2"/>
    <w:rsid w:val="00CD3CBA"/>
    <w:rsid w:val="00CD4092"/>
    <w:rsid w:val="00CD4496"/>
    <w:rsid w:val="00CD4A20"/>
    <w:rsid w:val="00CD50A1"/>
    <w:rsid w:val="00CD519E"/>
    <w:rsid w:val="00CE043E"/>
    <w:rsid w:val="00CE0C4F"/>
    <w:rsid w:val="00CE10D5"/>
    <w:rsid w:val="00CE30EA"/>
    <w:rsid w:val="00CE35DD"/>
    <w:rsid w:val="00CE3819"/>
    <w:rsid w:val="00CE5A86"/>
    <w:rsid w:val="00CE5E8B"/>
    <w:rsid w:val="00CE64A9"/>
    <w:rsid w:val="00CE7204"/>
    <w:rsid w:val="00CE753F"/>
    <w:rsid w:val="00CF048A"/>
    <w:rsid w:val="00CF04F9"/>
    <w:rsid w:val="00CF155A"/>
    <w:rsid w:val="00CF2947"/>
    <w:rsid w:val="00CF2DB5"/>
    <w:rsid w:val="00CF34D9"/>
    <w:rsid w:val="00CF3B0A"/>
    <w:rsid w:val="00CF53C5"/>
    <w:rsid w:val="00CF55B0"/>
    <w:rsid w:val="00CF5827"/>
    <w:rsid w:val="00CF62F4"/>
    <w:rsid w:val="00CF6485"/>
    <w:rsid w:val="00CF686F"/>
    <w:rsid w:val="00CF6E60"/>
    <w:rsid w:val="00CF6E6A"/>
    <w:rsid w:val="00CF7BCA"/>
    <w:rsid w:val="00D008FD"/>
    <w:rsid w:val="00D01BC7"/>
    <w:rsid w:val="00D02038"/>
    <w:rsid w:val="00D0320B"/>
    <w:rsid w:val="00D0321C"/>
    <w:rsid w:val="00D034C6"/>
    <w:rsid w:val="00D035EC"/>
    <w:rsid w:val="00D03CB0"/>
    <w:rsid w:val="00D04502"/>
    <w:rsid w:val="00D0487C"/>
    <w:rsid w:val="00D05FAE"/>
    <w:rsid w:val="00D06170"/>
    <w:rsid w:val="00D06AB1"/>
    <w:rsid w:val="00D072ED"/>
    <w:rsid w:val="00D07506"/>
    <w:rsid w:val="00D07572"/>
    <w:rsid w:val="00D07A16"/>
    <w:rsid w:val="00D07D84"/>
    <w:rsid w:val="00D1018D"/>
    <w:rsid w:val="00D1067E"/>
    <w:rsid w:val="00D108C9"/>
    <w:rsid w:val="00D10B80"/>
    <w:rsid w:val="00D10F50"/>
    <w:rsid w:val="00D11272"/>
    <w:rsid w:val="00D116CA"/>
    <w:rsid w:val="00D126F5"/>
    <w:rsid w:val="00D12A3C"/>
    <w:rsid w:val="00D12E09"/>
    <w:rsid w:val="00D147FE"/>
    <w:rsid w:val="00D1489E"/>
    <w:rsid w:val="00D1670C"/>
    <w:rsid w:val="00D174CF"/>
    <w:rsid w:val="00D1766E"/>
    <w:rsid w:val="00D17FCE"/>
    <w:rsid w:val="00D2049B"/>
    <w:rsid w:val="00D20737"/>
    <w:rsid w:val="00D2141A"/>
    <w:rsid w:val="00D214B2"/>
    <w:rsid w:val="00D21E81"/>
    <w:rsid w:val="00D222CA"/>
    <w:rsid w:val="00D223DE"/>
    <w:rsid w:val="00D25E37"/>
    <w:rsid w:val="00D2661A"/>
    <w:rsid w:val="00D26FC9"/>
    <w:rsid w:val="00D27582"/>
    <w:rsid w:val="00D27D02"/>
    <w:rsid w:val="00D27EC4"/>
    <w:rsid w:val="00D27F92"/>
    <w:rsid w:val="00D3159C"/>
    <w:rsid w:val="00D3188C"/>
    <w:rsid w:val="00D319EA"/>
    <w:rsid w:val="00D31D93"/>
    <w:rsid w:val="00D31FC1"/>
    <w:rsid w:val="00D32300"/>
    <w:rsid w:val="00D32719"/>
    <w:rsid w:val="00D33030"/>
    <w:rsid w:val="00D33333"/>
    <w:rsid w:val="00D33457"/>
    <w:rsid w:val="00D34588"/>
    <w:rsid w:val="00D352A2"/>
    <w:rsid w:val="00D353F2"/>
    <w:rsid w:val="00D370E4"/>
    <w:rsid w:val="00D376E8"/>
    <w:rsid w:val="00D37B6D"/>
    <w:rsid w:val="00D4073B"/>
    <w:rsid w:val="00D40E20"/>
    <w:rsid w:val="00D4162B"/>
    <w:rsid w:val="00D43683"/>
    <w:rsid w:val="00D44015"/>
    <w:rsid w:val="00D45066"/>
    <w:rsid w:val="00D4514F"/>
    <w:rsid w:val="00D451E2"/>
    <w:rsid w:val="00D4585C"/>
    <w:rsid w:val="00D45907"/>
    <w:rsid w:val="00D45E89"/>
    <w:rsid w:val="00D45E8D"/>
    <w:rsid w:val="00D465D6"/>
    <w:rsid w:val="00D466AE"/>
    <w:rsid w:val="00D4734F"/>
    <w:rsid w:val="00D47557"/>
    <w:rsid w:val="00D51688"/>
    <w:rsid w:val="00D51BF3"/>
    <w:rsid w:val="00D533DD"/>
    <w:rsid w:val="00D5360B"/>
    <w:rsid w:val="00D5362E"/>
    <w:rsid w:val="00D53789"/>
    <w:rsid w:val="00D5394A"/>
    <w:rsid w:val="00D54FA4"/>
    <w:rsid w:val="00D55113"/>
    <w:rsid w:val="00D55625"/>
    <w:rsid w:val="00D561F6"/>
    <w:rsid w:val="00D56EAE"/>
    <w:rsid w:val="00D570AA"/>
    <w:rsid w:val="00D57833"/>
    <w:rsid w:val="00D61258"/>
    <w:rsid w:val="00D63250"/>
    <w:rsid w:val="00D66846"/>
    <w:rsid w:val="00D66B9A"/>
    <w:rsid w:val="00D675FB"/>
    <w:rsid w:val="00D71803"/>
    <w:rsid w:val="00D71F25"/>
    <w:rsid w:val="00D726DC"/>
    <w:rsid w:val="00D729E1"/>
    <w:rsid w:val="00D72A9C"/>
    <w:rsid w:val="00D73B2E"/>
    <w:rsid w:val="00D740EE"/>
    <w:rsid w:val="00D75852"/>
    <w:rsid w:val="00D76D67"/>
    <w:rsid w:val="00D77031"/>
    <w:rsid w:val="00D8002F"/>
    <w:rsid w:val="00D80879"/>
    <w:rsid w:val="00D81761"/>
    <w:rsid w:val="00D82421"/>
    <w:rsid w:val="00D828F5"/>
    <w:rsid w:val="00D82F3E"/>
    <w:rsid w:val="00D833B8"/>
    <w:rsid w:val="00D83AE0"/>
    <w:rsid w:val="00D83E2F"/>
    <w:rsid w:val="00D840F7"/>
    <w:rsid w:val="00D84435"/>
    <w:rsid w:val="00D84941"/>
    <w:rsid w:val="00D84D4C"/>
    <w:rsid w:val="00D84FA1"/>
    <w:rsid w:val="00D851F0"/>
    <w:rsid w:val="00D85871"/>
    <w:rsid w:val="00D85A2D"/>
    <w:rsid w:val="00D85C4B"/>
    <w:rsid w:val="00D86A8D"/>
    <w:rsid w:val="00D86DB7"/>
    <w:rsid w:val="00D87330"/>
    <w:rsid w:val="00D902E4"/>
    <w:rsid w:val="00D90512"/>
    <w:rsid w:val="00D906A1"/>
    <w:rsid w:val="00D926D0"/>
    <w:rsid w:val="00D93030"/>
    <w:rsid w:val="00D93227"/>
    <w:rsid w:val="00D9356C"/>
    <w:rsid w:val="00D935C1"/>
    <w:rsid w:val="00D93C82"/>
    <w:rsid w:val="00D950E1"/>
    <w:rsid w:val="00D952A6"/>
    <w:rsid w:val="00D955F0"/>
    <w:rsid w:val="00D95692"/>
    <w:rsid w:val="00D957CF"/>
    <w:rsid w:val="00D95910"/>
    <w:rsid w:val="00D97020"/>
    <w:rsid w:val="00D97F99"/>
    <w:rsid w:val="00DA06EA"/>
    <w:rsid w:val="00DA1E08"/>
    <w:rsid w:val="00DA2304"/>
    <w:rsid w:val="00DA24F8"/>
    <w:rsid w:val="00DA28E8"/>
    <w:rsid w:val="00DA2AC0"/>
    <w:rsid w:val="00DA2ACB"/>
    <w:rsid w:val="00DA38D3"/>
    <w:rsid w:val="00DA3932"/>
    <w:rsid w:val="00DA3AFC"/>
    <w:rsid w:val="00DA3B69"/>
    <w:rsid w:val="00DA5E9E"/>
    <w:rsid w:val="00DA64F8"/>
    <w:rsid w:val="00DA6762"/>
    <w:rsid w:val="00DA6949"/>
    <w:rsid w:val="00DA6C15"/>
    <w:rsid w:val="00DA761F"/>
    <w:rsid w:val="00DA7FC6"/>
    <w:rsid w:val="00DB0258"/>
    <w:rsid w:val="00DB0CC5"/>
    <w:rsid w:val="00DB2A9A"/>
    <w:rsid w:val="00DB2D14"/>
    <w:rsid w:val="00DB3224"/>
    <w:rsid w:val="00DB38EE"/>
    <w:rsid w:val="00DB3BAF"/>
    <w:rsid w:val="00DB3FCC"/>
    <w:rsid w:val="00DB498B"/>
    <w:rsid w:val="00DB64F2"/>
    <w:rsid w:val="00DB66CA"/>
    <w:rsid w:val="00DB6BCA"/>
    <w:rsid w:val="00DB712B"/>
    <w:rsid w:val="00DB73F7"/>
    <w:rsid w:val="00DC0321"/>
    <w:rsid w:val="00DC0373"/>
    <w:rsid w:val="00DC166C"/>
    <w:rsid w:val="00DC2F55"/>
    <w:rsid w:val="00DC3067"/>
    <w:rsid w:val="00DC3337"/>
    <w:rsid w:val="00DC370B"/>
    <w:rsid w:val="00DC383C"/>
    <w:rsid w:val="00DC3BB0"/>
    <w:rsid w:val="00DC4CEB"/>
    <w:rsid w:val="00DC5555"/>
    <w:rsid w:val="00DC5B90"/>
    <w:rsid w:val="00DC5B98"/>
    <w:rsid w:val="00DC7954"/>
    <w:rsid w:val="00DD00FF"/>
    <w:rsid w:val="00DD0619"/>
    <w:rsid w:val="00DD07FB"/>
    <w:rsid w:val="00DD0E97"/>
    <w:rsid w:val="00DD0EAA"/>
    <w:rsid w:val="00DD1CE9"/>
    <w:rsid w:val="00DD2107"/>
    <w:rsid w:val="00DD25C6"/>
    <w:rsid w:val="00DD3ED5"/>
    <w:rsid w:val="00DD4370"/>
    <w:rsid w:val="00DD4466"/>
    <w:rsid w:val="00DD490A"/>
    <w:rsid w:val="00DD4BB8"/>
    <w:rsid w:val="00DD4DB4"/>
    <w:rsid w:val="00DD4FE5"/>
    <w:rsid w:val="00DD52DF"/>
    <w:rsid w:val="00DD54B0"/>
    <w:rsid w:val="00DD57EE"/>
    <w:rsid w:val="00DD5E6D"/>
    <w:rsid w:val="00DD6BCC"/>
    <w:rsid w:val="00DD73A1"/>
    <w:rsid w:val="00DD756C"/>
    <w:rsid w:val="00DD7EEC"/>
    <w:rsid w:val="00DE0A4B"/>
    <w:rsid w:val="00DE2410"/>
    <w:rsid w:val="00DE2939"/>
    <w:rsid w:val="00DE2D03"/>
    <w:rsid w:val="00DE35A9"/>
    <w:rsid w:val="00DE4E30"/>
    <w:rsid w:val="00DE5476"/>
    <w:rsid w:val="00DE5488"/>
    <w:rsid w:val="00DE5539"/>
    <w:rsid w:val="00DE6261"/>
    <w:rsid w:val="00DE64A7"/>
    <w:rsid w:val="00DE6C33"/>
    <w:rsid w:val="00DE6E81"/>
    <w:rsid w:val="00DE6FBE"/>
    <w:rsid w:val="00DE703F"/>
    <w:rsid w:val="00DE7595"/>
    <w:rsid w:val="00DE76D2"/>
    <w:rsid w:val="00DF002C"/>
    <w:rsid w:val="00DF00EF"/>
    <w:rsid w:val="00DF0B78"/>
    <w:rsid w:val="00DF0D04"/>
    <w:rsid w:val="00DF1961"/>
    <w:rsid w:val="00DF44DE"/>
    <w:rsid w:val="00DF501B"/>
    <w:rsid w:val="00DF5F11"/>
    <w:rsid w:val="00DF6B34"/>
    <w:rsid w:val="00DF721F"/>
    <w:rsid w:val="00E00B15"/>
    <w:rsid w:val="00E01138"/>
    <w:rsid w:val="00E01845"/>
    <w:rsid w:val="00E01ED9"/>
    <w:rsid w:val="00E022E6"/>
    <w:rsid w:val="00E02BC1"/>
    <w:rsid w:val="00E02DFB"/>
    <w:rsid w:val="00E030F9"/>
    <w:rsid w:val="00E0311A"/>
    <w:rsid w:val="00E03138"/>
    <w:rsid w:val="00E03434"/>
    <w:rsid w:val="00E03A43"/>
    <w:rsid w:val="00E040AB"/>
    <w:rsid w:val="00E053DA"/>
    <w:rsid w:val="00E05966"/>
    <w:rsid w:val="00E05A25"/>
    <w:rsid w:val="00E05EF4"/>
    <w:rsid w:val="00E06404"/>
    <w:rsid w:val="00E070C6"/>
    <w:rsid w:val="00E1148F"/>
    <w:rsid w:val="00E11A85"/>
    <w:rsid w:val="00E12495"/>
    <w:rsid w:val="00E12D70"/>
    <w:rsid w:val="00E13ED2"/>
    <w:rsid w:val="00E15197"/>
    <w:rsid w:val="00E15CCD"/>
    <w:rsid w:val="00E15CF4"/>
    <w:rsid w:val="00E15EA2"/>
    <w:rsid w:val="00E165ED"/>
    <w:rsid w:val="00E169A2"/>
    <w:rsid w:val="00E17D0F"/>
    <w:rsid w:val="00E2003E"/>
    <w:rsid w:val="00E200B5"/>
    <w:rsid w:val="00E202EF"/>
    <w:rsid w:val="00E210B5"/>
    <w:rsid w:val="00E22C26"/>
    <w:rsid w:val="00E23A8E"/>
    <w:rsid w:val="00E23A9C"/>
    <w:rsid w:val="00E23D99"/>
    <w:rsid w:val="00E2429A"/>
    <w:rsid w:val="00E25013"/>
    <w:rsid w:val="00E2552F"/>
    <w:rsid w:val="00E26055"/>
    <w:rsid w:val="00E2632A"/>
    <w:rsid w:val="00E26595"/>
    <w:rsid w:val="00E2690C"/>
    <w:rsid w:val="00E3011C"/>
    <w:rsid w:val="00E3137A"/>
    <w:rsid w:val="00E32CB2"/>
    <w:rsid w:val="00E32CCF"/>
    <w:rsid w:val="00E33A8F"/>
    <w:rsid w:val="00E33BEE"/>
    <w:rsid w:val="00E33DFA"/>
    <w:rsid w:val="00E33EBC"/>
    <w:rsid w:val="00E33F49"/>
    <w:rsid w:val="00E34A98"/>
    <w:rsid w:val="00E35D1E"/>
    <w:rsid w:val="00E364F9"/>
    <w:rsid w:val="00E36507"/>
    <w:rsid w:val="00E365FA"/>
    <w:rsid w:val="00E36789"/>
    <w:rsid w:val="00E369E1"/>
    <w:rsid w:val="00E3737E"/>
    <w:rsid w:val="00E37F33"/>
    <w:rsid w:val="00E40B54"/>
    <w:rsid w:val="00E40CEB"/>
    <w:rsid w:val="00E41108"/>
    <w:rsid w:val="00E41205"/>
    <w:rsid w:val="00E41663"/>
    <w:rsid w:val="00E41919"/>
    <w:rsid w:val="00E43124"/>
    <w:rsid w:val="00E436A2"/>
    <w:rsid w:val="00E446E7"/>
    <w:rsid w:val="00E44A83"/>
    <w:rsid w:val="00E44B92"/>
    <w:rsid w:val="00E44FC5"/>
    <w:rsid w:val="00E468E4"/>
    <w:rsid w:val="00E46D29"/>
    <w:rsid w:val="00E474E7"/>
    <w:rsid w:val="00E478D8"/>
    <w:rsid w:val="00E502C1"/>
    <w:rsid w:val="00E502DD"/>
    <w:rsid w:val="00E508DF"/>
    <w:rsid w:val="00E50D3A"/>
    <w:rsid w:val="00E51387"/>
    <w:rsid w:val="00E51E68"/>
    <w:rsid w:val="00E52867"/>
    <w:rsid w:val="00E52EFD"/>
    <w:rsid w:val="00E531EA"/>
    <w:rsid w:val="00E53607"/>
    <w:rsid w:val="00E53957"/>
    <w:rsid w:val="00E53CB7"/>
    <w:rsid w:val="00E5408A"/>
    <w:rsid w:val="00E540BA"/>
    <w:rsid w:val="00E5617D"/>
    <w:rsid w:val="00E56800"/>
    <w:rsid w:val="00E60C63"/>
    <w:rsid w:val="00E60F48"/>
    <w:rsid w:val="00E61447"/>
    <w:rsid w:val="00E61FC9"/>
    <w:rsid w:val="00E622EB"/>
    <w:rsid w:val="00E625C6"/>
    <w:rsid w:val="00E6261B"/>
    <w:rsid w:val="00E62FF9"/>
    <w:rsid w:val="00E635D6"/>
    <w:rsid w:val="00E6395B"/>
    <w:rsid w:val="00E639BC"/>
    <w:rsid w:val="00E644AB"/>
    <w:rsid w:val="00E64A9F"/>
    <w:rsid w:val="00E6596F"/>
    <w:rsid w:val="00E664CC"/>
    <w:rsid w:val="00E66938"/>
    <w:rsid w:val="00E66A77"/>
    <w:rsid w:val="00E67975"/>
    <w:rsid w:val="00E70388"/>
    <w:rsid w:val="00E70819"/>
    <w:rsid w:val="00E7088C"/>
    <w:rsid w:val="00E70F92"/>
    <w:rsid w:val="00E726B2"/>
    <w:rsid w:val="00E73467"/>
    <w:rsid w:val="00E73898"/>
    <w:rsid w:val="00E747EE"/>
    <w:rsid w:val="00E74C54"/>
    <w:rsid w:val="00E75AF2"/>
    <w:rsid w:val="00E77A03"/>
    <w:rsid w:val="00E803A5"/>
    <w:rsid w:val="00E81204"/>
    <w:rsid w:val="00E822E8"/>
    <w:rsid w:val="00E82554"/>
    <w:rsid w:val="00E82606"/>
    <w:rsid w:val="00E846C8"/>
    <w:rsid w:val="00E84957"/>
    <w:rsid w:val="00E84A55"/>
    <w:rsid w:val="00E85BFF"/>
    <w:rsid w:val="00E860FD"/>
    <w:rsid w:val="00E8700B"/>
    <w:rsid w:val="00E90391"/>
    <w:rsid w:val="00E906C2"/>
    <w:rsid w:val="00E9311F"/>
    <w:rsid w:val="00E934D1"/>
    <w:rsid w:val="00E9350A"/>
    <w:rsid w:val="00E9365D"/>
    <w:rsid w:val="00E93F68"/>
    <w:rsid w:val="00E94914"/>
    <w:rsid w:val="00E94AF0"/>
    <w:rsid w:val="00E94F9C"/>
    <w:rsid w:val="00E95D13"/>
    <w:rsid w:val="00E95DD3"/>
    <w:rsid w:val="00E969D5"/>
    <w:rsid w:val="00E96C3F"/>
    <w:rsid w:val="00E96E5D"/>
    <w:rsid w:val="00E9784B"/>
    <w:rsid w:val="00E979F9"/>
    <w:rsid w:val="00E97C9F"/>
    <w:rsid w:val="00EA0F18"/>
    <w:rsid w:val="00EA10A9"/>
    <w:rsid w:val="00EA1869"/>
    <w:rsid w:val="00EA1F0F"/>
    <w:rsid w:val="00EA2722"/>
    <w:rsid w:val="00EA29BA"/>
    <w:rsid w:val="00EA35BC"/>
    <w:rsid w:val="00EA38AD"/>
    <w:rsid w:val="00EA484D"/>
    <w:rsid w:val="00EA4FF8"/>
    <w:rsid w:val="00EA5250"/>
    <w:rsid w:val="00EA54BC"/>
    <w:rsid w:val="00EA58D1"/>
    <w:rsid w:val="00EA61BC"/>
    <w:rsid w:val="00EA681A"/>
    <w:rsid w:val="00EA69CE"/>
    <w:rsid w:val="00EA6C4D"/>
    <w:rsid w:val="00EA735B"/>
    <w:rsid w:val="00EB1590"/>
    <w:rsid w:val="00EB17DE"/>
    <w:rsid w:val="00EB1857"/>
    <w:rsid w:val="00EB1B3B"/>
    <w:rsid w:val="00EB1E69"/>
    <w:rsid w:val="00EB2028"/>
    <w:rsid w:val="00EB2086"/>
    <w:rsid w:val="00EB2659"/>
    <w:rsid w:val="00EB3349"/>
    <w:rsid w:val="00EB3935"/>
    <w:rsid w:val="00EB4DEC"/>
    <w:rsid w:val="00EB5EDF"/>
    <w:rsid w:val="00EB60FE"/>
    <w:rsid w:val="00EB635B"/>
    <w:rsid w:val="00EB7227"/>
    <w:rsid w:val="00EB733E"/>
    <w:rsid w:val="00EB74DB"/>
    <w:rsid w:val="00EC0761"/>
    <w:rsid w:val="00EC1C34"/>
    <w:rsid w:val="00EC250B"/>
    <w:rsid w:val="00EC2FB8"/>
    <w:rsid w:val="00EC4ED3"/>
    <w:rsid w:val="00EC5359"/>
    <w:rsid w:val="00EC562A"/>
    <w:rsid w:val="00EC5B9C"/>
    <w:rsid w:val="00EC6B5A"/>
    <w:rsid w:val="00EC6F50"/>
    <w:rsid w:val="00ED067A"/>
    <w:rsid w:val="00ED078B"/>
    <w:rsid w:val="00ED279A"/>
    <w:rsid w:val="00ED2B50"/>
    <w:rsid w:val="00ED2FE9"/>
    <w:rsid w:val="00ED3B1A"/>
    <w:rsid w:val="00ED415B"/>
    <w:rsid w:val="00ED4292"/>
    <w:rsid w:val="00ED45FD"/>
    <w:rsid w:val="00ED54CD"/>
    <w:rsid w:val="00ED7202"/>
    <w:rsid w:val="00EE027E"/>
    <w:rsid w:val="00EE0350"/>
    <w:rsid w:val="00EE0719"/>
    <w:rsid w:val="00EE0E80"/>
    <w:rsid w:val="00EE0F49"/>
    <w:rsid w:val="00EE1381"/>
    <w:rsid w:val="00EE2547"/>
    <w:rsid w:val="00EE2F37"/>
    <w:rsid w:val="00EE4D14"/>
    <w:rsid w:val="00EE4FD9"/>
    <w:rsid w:val="00EE54A6"/>
    <w:rsid w:val="00EE5843"/>
    <w:rsid w:val="00EE613F"/>
    <w:rsid w:val="00EE6595"/>
    <w:rsid w:val="00EE6B29"/>
    <w:rsid w:val="00EE7073"/>
    <w:rsid w:val="00EE7295"/>
    <w:rsid w:val="00EE7869"/>
    <w:rsid w:val="00EF0469"/>
    <w:rsid w:val="00EF054A"/>
    <w:rsid w:val="00EF0AEF"/>
    <w:rsid w:val="00EF20D7"/>
    <w:rsid w:val="00EF3235"/>
    <w:rsid w:val="00EF3C38"/>
    <w:rsid w:val="00EF3EBC"/>
    <w:rsid w:val="00EF5BDD"/>
    <w:rsid w:val="00EF6323"/>
    <w:rsid w:val="00EF79D0"/>
    <w:rsid w:val="00EF7C82"/>
    <w:rsid w:val="00EF7E72"/>
    <w:rsid w:val="00F02643"/>
    <w:rsid w:val="00F03BF3"/>
    <w:rsid w:val="00F04383"/>
    <w:rsid w:val="00F044CB"/>
    <w:rsid w:val="00F0655F"/>
    <w:rsid w:val="00F06D37"/>
    <w:rsid w:val="00F072BD"/>
    <w:rsid w:val="00F07B9D"/>
    <w:rsid w:val="00F109F8"/>
    <w:rsid w:val="00F10A81"/>
    <w:rsid w:val="00F11586"/>
    <w:rsid w:val="00F115A1"/>
    <w:rsid w:val="00F1183B"/>
    <w:rsid w:val="00F11C9F"/>
    <w:rsid w:val="00F12263"/>
    <w:rsid w:val="00F12809"/>
    <w:rsid w:val="00F12BF5"/>
    <w:rsid w:val="00F12F3A"/>
    <w:rsid w:val="00F13048"/>
    <w:rsid w:val="00F1409D"/>
    <w:rsid w:val="00F14214"/>
    <w:rsid w:val="00F14266"/>
    <w:rsid w:val="00F157A9"/>
    <w:rsid w:val="00F15A0F"/>
    <w:rsid w:val="00F168B6"/>
    <w:rsid w:val="00F174F6"/>
    <w:rsid w:val="00F2038C"/>
    <w:rsid w:val="00F20586"/>
    <w:rsid w:val="00F22878"/>
    <w:rsid w:val="00F22952"/>
    <w:rsid w:val="00F247D2"/>
    <w:rsid w:val="00F25BB6"/>
    <w:rsid w:val="00F25CCF"/>
    <w:rsid w:val="00F26B7E"/>
    <w:rsid w:val="00F27A3B"/>
    <w:rsid w:val="00F3005B"/>
    <w:rsid w:val="00F30B8B"/>
    <w:rsid w:val="00F3109F"/>
    <w:rsid w:val="00F33817"/>
    <w:rsid w:val="00F339DF"/>
    <w:rsid w:val="00F342B1"/>
    <w:rsid w:val="00F369A7"/>
    <w:rsid w:val="00F36DD7"/>
    <w:rsid w:val="00F40707"/>
    <w:rsid w:val="00F408ED"/>
    <w:rsid w:val="00F420D5"/>
    <w:rsid w:val="00F42161"/>
    <w:rsid w:val="00F424DE"/>
    <w:rsid w:val="00F43124"/>
    <w:rsid w:val="00F44098"/>
    <w:rsid w:val="00F451EA"/>
    <w:rsid w:val="00F452EB"/>
    <w:rsid w:val="00F45447"/>
    <w:rsid w:val="00F456C6"/>
    <w:rsid w:val="00F4577B"/>
    <w:rsid w:val="00F457B8"/>
    <w:rsid w:val="00F4597F"/>
    <w:rsid w:val="00F46004"/>
    <w:rsid w:val="00F46496"/>
    <w:rsid w:val="00F46BC8"/>
    <w:rsid w:val="00F46E85"/>
    <w:rsid w:val="00F474D0"/>
    <w:rsid w:val="00F50179"/>
    <w:rsid w:val="00F50CF0"/>
    <w:rsid w:val="00F5149D"/>
    <w:rsid w:val="00F515EE"/>
    <w:rsid w:val="00F51A2D"/>
    <w:rsid w:val="00F51FAF"/>
    <w:rsid w:val="00F525D4"/>
    <w:rsid w:val="00F527F4"/>
    <w:rsid w:val="00F5317B"/>
    <w:rsid w:val="00F5377C"/>
    <w:rsid w:val="00F54B97"/>
    <w:rsid w:val="00F55641"/>
    <w:rsid w:val="00F55C05"/>
    <w:rsid w:val="00F5608B"/>
    <w:rsid w:val="00F560CE"/>
    <w:rsid w:val="00F56259"/>
    <w:rsid w:val="00F56511"/>
    <w:rsid w:val="00F5721C"/>
    <w:rsid w:val="00F57DF2"/>
    <w:rsid w:val="00F6194E"/>
    <w:rsid w:val="00F61C3E"/>
    <w:rsid w:val="00F622D1"/>
    <w:rsid w:val="00F623AC"/>
    <w:rsid w:val="00F6322F"/>
    <w:rsid w:val="00F63FEE"/>
    <w:rsid w:val="00F6412A"/>
    <w:rsid w:val="00F65893"/>
    <w:rsid w:val="00F65A2C"/>
    <w:rsid w:val="00F65B4D"/>
    <w:rsid w:val="00F65C8E"/>
    <w:rsid w:val="00F65FA5"/>
    <w:rsid w:val="00F661D1"/>
    <w:rsid w:val="00F6648A"/>
    <w:rsid w:val="00F66A4A"/>
    <w:rsid w:val="00F67468"/>
    <w:rsid w:val="00F67474"/>
    <w:rsid w:val="00F67BAE"/>
    <w:rsid w:val="00F67E59"/>
    <w:rsid w:val="00F70A5F"/>
    <w:rsid w:val="00F71525"/>
    <w:rsid w:val="00F71E22"/>
    <w:rsid w:val="00F72142"/>
    <w:rsid w:val="00F7286E"/>
    <w:rsid w:val="00F72AE7"/>
    <w:rsid w:val="00F72C9E"/>
    <w:rsid w:val="00F73FBE"/>
    <w:rsid w:val="00F76F7F"/>
    <w:rsid w:val="00F81141"/>
    <w:rsid w:val="00F82961"/>
    <w:rsid w:val="00F833BA"/>
    <w:rsid w:val="00F83628"/>
    <w:rsid w:val="00F84690"/>
    <w:rsid w:val="00F84FD0"/>
    <w:rsid w:val="00F859A8"/>
    <w:rsid w:val="00F86D87"/>
    <w:rsid w:val="00F87566"/>
    <w:rsid w:val="00F90E2C"/>
    <w:rsid w:val="00F9108B"/>
    <w:rsid w:val="00F911D5"/>
    <w:rsid w:val="00F9125F"/>
    <w:rsid w:val="00F912D4"/>
    <w:rsid w:val="00F91349"/>
    <w:rsid w:val="00F925C9"/>
    <w:rsid w:val="00F93052"/>
    <w:rsid w:val="00F933F6"/>
    <w:rsid w:val="00F93A8A"/>
    <w:rsid w:val="00F93DDB"/>
    <w:rsid w:val="00F9443A"/>
    <w:rsid w:val="00F95248"/>
    <w:rsid w:val="00F956A9"/>
    <w:rsid w:val="00F963ED"/>
    <w:rsid w:val="00F966CF"/>
    <w:rsid w:val="00F96CAE"/>
    <w:rsid w:val="00F96DE0"/>
    <w:rsid w:val="00F97C99"/>
    <w:rsid w:val="00F97DFE"/>
    <w:rsid w:val="00FA02EF"/>
    <w:rsid w:val="00FA04EA"/>
    <w:rsid w:val="00FA0BBD"/>
    <w:rsid w:val="00FA187B"/>
    <w:rsid w:val="00FA1E2D"/>
    <w:rsid w:val="00FA37B6"/>
    <w:rsid w:val="00FA3C64"/>
    <w:rsid w:val="00FA4DAC"/>
    <w:rsid w:val="00FA5441"/>
    <w:rsid w:val="00FA583D"/>
    <w:rsid w:val="00FA5C47"/>
    <w:rsid w:val="00FA662D"/>
    <w:rsid w:val="00FA6638"/>
    <w:rsid w:val="00FA6C62"/>
    <w:rsid w:val="00FA6FA1"/>
    <w:rsid w:val="00FA700E"/>
    <w:rsid w:val="00FA73B1"/>
    <w:rsid w:val="00FA7F95"/>
    <w:rsid w:val="00FA7FE8"/>
    <w:rsid w:val="00FB0CB9"/>
    <w:rsid w:val="00FB1C63"/>
    <w:rsid w:val="00FB1F2D"/>
    <w:rsid w:val="00FB231D"/>
    <w:rsid w:val="00FB45F1"/>
    <w:rsid w:val="00FB4810"/>
    <w:rsid w:val="00FB4A72"/>
    <w:rsid w:val="00FB4B2D"/>
    <w:rsid w:val="00FB54E8"/>
    <w:rsid w:val="00FB5CBB"/>
    <w:rsid w:val="00FB6B64"/>
    <w:rsid w:val="00FB7054"/>
    <w:rsid w:val="00FC1250"/>
    <w:rsid w:val="00FC17B7"/>
    <w:rsid w:val="00FC2CB7"/>
    <w:rsid w:val="00FC375B"/>
    <w:rsid w:val="00FC4090"/>
    <w:rsid w:val="00FC4AB5"/>
    <w:rsid w:val="00FC55B4"/>
    <w:rsid w:val="00FC56BA"/>
    <w:rsid w:val="00FD00E6"/>
    <w:rsid w:val="00FD08EB"/>
    <w:rsid w:val="00FD09A1"/>
    <w:rsid w:val="00FD1A45"/>
    <w:rsid w:val="00FD2079"/>
    <w:rsid w:val="00FD20FB"/>
    <w:rsid w:val="00FD2A7C"/>
    <w:rsid w:val="00FD30A2"/>
    <w:rsid w:val="00FD3C84"/>
    <w:rsid w:val="00FD4B6A"/>
    <w:rsid w:val="00FD5735"/>
    <w:rsid w:val="00FD59EB"/>
    <w:rsid w:val="00FD602E"/>
    <w:rsid w:val="00FD6454"/>
    <w:rsid w:val="00FD64D0"/>
    <w:rsid w:val="00FD7299"/>
    <w:rsid w:val="00FD7333"/>
    <w:rsid w:val="00FD7CC0"/>
    <w:rsid w:val="00FD7F90"/>
    <w:rsid w:val="00FE00B3"/>
    <w:rsid w:val="00FE1C5F"/>
    <w:rsid w:val="00FE1D32"/>
    <w:rsid w:val="00FE1FBE"/>
    <w:rsid w:val="00FE3901"/>
    <w:rsid w:val="00FE39D3"/>
    <w:rsid w:val="00FE3B15"/>
    <w:rsid w:val="00FE4A1D"/>
    <w:rsid w:val="00FE4BCE"/>
    <w:rsid w:val="00FE54AE"/>
    <w:rsid w:val="00FE576A"/>
    <w:rsid w:val="00FE5FD0"/>
    <w:rsid w:val="00FE67BB"/>
    <w:rsid w:val="00FE6CA1"/>
    <w:rsid w:val="00FE7BC3"/>
    <w:rsid w:val="00FE7E79"/>
    <w:rsid w:val="00FF05F3"/>
    <w:rsid w:val="00FF0A34"/>
    <w:rsid w:val="00FF0ADC"/>
    <w:rsid w:val="00FF0CCA"/>
    <w:rsid w:val="00FF14A9"/>
    <w:rsid w:val="00FF164C"/>
    <w:rsid w:val="00FF1B9B"/>
    <w:rsid w:val="00FF1BA1"/>
    <w:rsid w:val="00FF2455"/>
    <w:rsid w:val="00FF2ADA"/>
    <w:rsid w:val="00FF36D7"/>
    <w:rsid w:val="00FF3E7D"/>
    <w:rsid w:val="00FF4203"/>
    <w:rsid w:val="00FF4340"/>
    <w:rsid w:val="00FF4754"/>
    <w:rsid w:val="00FF4A11"/>
    <w:rsid w:val="00FF5B99"/>
    <w:rsid w:val="00FF68F2"/>
    <w:rsid w:val="00FF6B58"/>
    <w:rsid w:val="00FF730C"/>
    <w:rsid w:val="00FF73F4"/>
    <w:rsid w:val="00FF7CE4"/>
    <w:rsid w:val="00FF7E39"/>
    <w:rsid w:val="02DB2FCC"/>
    <w:rsid w:val="17930800"/>
    <w:rsid w:val="18DB6903"/>
    <w:rsid w:val="23353E69"/>
    <w:rsid w:val="256356D3"/>
    <w:rsid w:val="2C5B0EF2"/>
    <w:rsid w:val="38A54D1B"/>
    <w:rsid w:val="3C5121D5"/>
    <w:rsid w:val="3C97748D"/>
    <w:rsid w:val="3FE46E36"/>
    <w:rsid w:val="45856928"/>
    <w:rsid w:val="4F8E7BA1"/>
    <w:rsid w:val="5EEC4733"/>
    <w:rsid w:val="63F567A3"/>
    <w:rsid w:val="76380AD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semiHidden="0"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0"/>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1"/>
    <w:qFormat/>
    <w:uiPriority w:val="0"/>
    <w:pPr>
      <w:keepNext/>
      <w:keepLines/>
      <w:spacing w:before="260" w:after="260" w:line="416" w:lineRule="auto"/>
      <w:outlineLvl w:val="2"/>
    </w:pPr>
    <w:rPr>
      <w:b/>
      <w:bCs/>
      <w:sz w:val="32"/>
      <w:szCs w:val="32"/>
    </w:rPr>
  </w:style>
  <w:style w:type="paragraph" w:styleId="5">
    <w:name w:val="heading 4"/>
    <w:basedOn w:val="1"/>
    <w:next w:val="1"/>
    <w:link w:val="4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3"/>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4"/>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5"/>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6"/>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7"/>
    <w:qFormat/>
    <w:uiPriority w:val="0"/>
    <w:pPr>
      <w:keepNext/>
      <w:keepLines/>
      <w:adjustRightInd/>
      <w:spacing w:before="240" w:after="64" w:line="320" w:lineRule="auto"/>
      <w:outlineLvl w:val="8"/>
    </w:pPr>
    <w:rPr>
      <w:rFonts w:ascii="Arial" w:hAnsi="Arial" w:eastAsia="黑体"/>
    </w:rPr>
  </w:style>
  <w:style w:type="character" w:default="1" w:styleId="32">
    <w:name w:val="Default Paragraph Font"/>
    <w:semiHidden/>
    <w:unhideWhenUsed/>
    <w:uiPriority w:val="1"/>
  </w:style>
  <w:style w:type="table" w:default="1" w:styleId="30">
    <w:name w:val="Normal Table"/>
    <w:semiHidden/>
    <w:unhideWhenUsed/>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caption"/>
    <w:basedOn w:val="1"/>
    <w:next w:val="1"/>
    <w:unhideWhenUsed/>
    <w:qFormat/>
    <w:uiPriority w:val="35"/>
    <w:rPr>
      <w:rFonts w:eastAsia="黑体" w:asciiTheme="majorHAnsi" w:hAnsiTheme="majorHAnsi" w:cstheme="majorBidi"/>
      <w:sz w:val="20"/>
      <w:szCs w:val="20"/>
    </w:rPr>
  </w:style>
  <w:style w:type="paragraph" w:styleId="14">
    <w:name w:val="annotation text"/>
    <w:basedOn w:val="1"/>
    <w:link w:val="242"/>
    <w:unhideWhenUsed/>
    <w:qFormat/>
    <w:uiPriority w:val="99"/>
    <w:pPr>
      <w:jc w:val="left"/>
    </w:pPr>
  </w:style>
  <w:style w:type="paragraph" w:styleId="15">
    <w:name w:val="Body Text"/>
    <w:basedOn w:val="1"/>
    <w:link w:val="91"/>
    <w:qFormat/>
    <w:uiPriority w:val="0"/>
    <w:pPr>
      <w:spacing w:after="120"/>
    </w:pPr>
  </w:style>
  <w:style w:type="paragraph" w:styleId="16">
    <w:name w:val="toc 5"/>
    <w:basedOn w:val="1"/>
    <w:next w:val="1"/>
    <w:autoRedefine/>
    <w:unhideWhenUsed/>
    <w:qFormat/>
    <w:uiPriority w:val="39"/>
    <w:pPr>
      <w:ind w:left="839"/>
    </w:pPr>
    <w:rPr>
      <w:rFonts w:ascii="宋体"/>
    </w:rPr>
  </w:style>
  <w:style w:type="paragraph" w:styleId="17">
    <w:name w:val="toc 3"/>
    <w:basedOn w:val="1"/>
    <w:next w:val="1"/>
    <w:autoRedefine/>
    <w:unhideWhenUsed/>
    <w:qFormat/>
    <w:uiPriority w:val="39"/>
    <w:pPr>
      <w:spacing w:line="300" w:lineRule="exact"/>
      <w:ind w:left="420"/>
    </w:pPr>
    <w:rPr>
      <w:rFonts w:ascii="宋体"/>
    </w:rPr>
  </w:style>
  <w:style w:type="paragraph" w:styleId="18">
    <w:name w:val="Date"/>
    <w:basedOn w:val="1"/>
    <w:next w:val="1"/>
    <w:link w:val="246"/>
    <w:semiHidden/>
    <w:unhideWhenUsed/>
    <w:qFormat/>
    <w:uiPriority w:val="99"/>
    <w:pPr>
      <w:ind w:left="100" w:leftChars="2500"/>
    </w:pPr>
  </w:style>
  <w:style w:type="paragraph" w:styleId="19">
    <w:name w:val="Balloon Text"/>
    <w:basedOn w:val="1"/>
    <w:link w:val="50"/>
    <w:semiHidden/>
    <w:unhideWhenUsed/>
    <w:qFormat/>
    <w:uiPriority w:val="99"/>
    <w:rPr>
      <w:sz w:val="18"/>
      <w:szCs w:val="18"/>
    </w:rPr>
  </w:style>
  <w:style w:type="paragraph" w:styleId="20">
    <w:name w:val="footer"/>
    <w:basedOn w:val="1"/>
    <w:link w:val="49"/>
    <w:qFormat/>
    <w:uiPriority w:val="99"/>
    <w:pPr>
      <w:tabs>
        <w:tab w:val="center" w:pos="4153"/>
        <w:tab w:val="right" w:pos="8306"/>
      </w:tabs>
      <w:adjustRightInd/>
      <w:snapToGrid w:val="0"/>
      <w:spacing w:line="240" w:lineRule="auto"/>
      <w:jc w:val="right"/>
    </w:pPr>
    <w:rPr>
      <w:rFonts w:ascii="宋体"/>
      <w:sz w:val="18"/>
      <w:szCs w:val="18"/>
    </w:rPr>
  </w:style>
  <w:style w:type="paragraph" w:styleId="21">
    <w:name w:val="header"/>
    <w:basedOn w:val="1"/>
    <w:link w:val="48"/>
    <w:qFormat/>
    <w:uiPriority w:val="99"/>
    <w:pPr>
      <w:tabs>
        <w:tab w:val="center" w:pos="4153"/>
        <w:tab w:val="right" w:pos="8306"/>
      </w:tabs>
      <w:adjustRightInd/>
      <w:snapToGrid w:val="0"/>
      <w:jc w:val="center"/>
    </w:pPr>
    <w:rPr>
      <w:sz w:val="18"/>
      <w:szCs w:val="18"/>
    </w:rPr>
  </w:style>
  <w:style w:type="paragraph" w:styleId="22">
    <w:name w:val="toc 1"/>
    <w:basedOn w:val="1"/>
    <w:next w:val="1"/>
    <w:autoRedefine/>
    <w:unhideWhenUsed/>
    <w:qFormat/>
    <w:uiPriority w:val="39"/>
    <w:rPr>
      <w:rFonts w:ascii="宋体"/>
    </w:rPr>
  </w:style>
  <w:style w:type="paragraph" w:styleId="23">
    <w:name w:val="toc 4"/>
    <w:basedOn w:val="1"/>
    <w:next w:val="1"/>
    <w:autoRedefine/>
    <w:unhideWhenUsed/>
    <w:qFormat/>
    <w:uiPriority w:val="39"/>
    <w:pPr>
      <w:tabs>
        <w:tab w:val="right" w:leader="dot" w:pos="9344"/>
      </w:tabs>
      <w:spacing w:line="300" w:lineRule="exact"/>
      <w:ind w:left="629"/>
    </w:pPr>
    <w:rPr>
      <w:rFonts w:ascii="宋体"/>
    </w:rPr>
  </w:style>
  <w:style w:type="paragraph" w:styleId="24">
    <w:name w:val="footnote text"/>
    <w:basedOn w:val="1"/>
    <w:next w:val="1"/>
    <w:link w:val="104"/>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5">
    <w:name w:val="toc 6"/>
    <w:basedOn w:val="1"/>
    <w:next w:val="1"/>
    <w:autoRedefine/>
    <w:unhideWhenUsed/>
    <w:qFormat/>
    <w:uiPriority w:val="39"/>
    <w:pPr>
      <w:spacing w:line="300" w:lineRule="exact"/>
      <w:ind w:left="1049"/>
    </w:pPr>
    <w:rPr>
      <w:rFonts w:ascii="宋体"/>
    </w:rPr>
  </w:style>
  <w:style w:type="paragraph" w:styleId="26">
    <w:name w:val="table of figures"/>
    <w:basedOn w:val="1"/>
    <w:next w:val="1"/>
    <w:semiHidden/>
    <w:qFormat/>
    <w:uiPriority w:val="0"/>
    <w:pPr>
      <w:adjustRightInd/>
      <w:spacing w:line="240" w:lineRule="auto"/>
      <w:jc w:val="left"/>
    </w:pPr>
    <w:rPr>
      <w:szCs w:val="24"/>
    </w:rPr>
  </w:style>
  <w:style w:type="paragraph" w:styleId="27">
    <w:name w:val="toc 2"/>
    <w:basedOn w:val="1"/>
    <w:next w:val="1"/>
    <w:autoRedefine/>
    <w:unhideWhenUsed/>
    <w:qFormat/>
    <w:uiPriority w:val="39"/>
    <w:pPr>
      <w:tabs>
        <w:tab w:val="right" w:leader="dot" w:pos="9344"/>
      </w:tabs>
      <w:spacing w:line="300" w:lineRule="exact"/>
      <w:ind w:left="210"/>
    </w:pPr>
    <w:rPr>
      <w:rFonts w:ascii="宋体"/>
    </w:rPr>
  </w:style>
  <w:style w:type="paragraph" w:styleId="28">
    <w:name w:val="Title"/>
    <w:basedOn w:val="1"/>
    <w:link w:val="53"/>
    <w:qFormat/>
    <w:uiPriority w:val="0"/>
    <w:pPr>
      <w:spacing w:before="240" w:after="60"/>
      <w:jc w:val="center"/>
      <w:outlineLvl w:val="0"/>
    </w:pPr>
    <w:rPr>
      <w:rFonts w:ascii="Arial" w:hAnsi="Arial" w:cs="Arial"/>
      <w:b/>
      <w:bCs/>
      <w:sz w:val="32"/>
      <w:szCs w:val="32"/>
    </w:rPr>
  </w:style>
  <w:style w:type="paragraph" w:styleId="29">
    <w:name w:val="annotation subject"/>
    <w:basedOn w:val="14"/>
    <w:next w:val="14"/>
    <w:link w:val="243"/>
    <w:semiHidden/>
    <w:unhideWhenUsed/>
    <w:qFormat/>
    <w:uiPriority w:val="99"/>
    <w:rPr>
      <w:b/>
      <w:bCs/>
    </w:rPr>
  </w:style>
  <w:style w:type="table" w:styleId="31">
    <w:name w:val="Table Grid"/>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22"/>
    <w:rPr>
      <w:b/>
      <w:bCs/>
    </w:rPr>
  </w:style>
  <w:style w:type="character" w:styleId="34">
    <w:name w:val="page number"/>
    <w:qFormat/>
    <w:uiPriority w:val="0"/>
    <w:rPr>
      <w:rFonts w:ascii="宋体" w:hAnsi="Times New Roman" w:eastAsia="宋体"/>
      <w:sz w:val="18"/>
    </w:rPr>
  </w:style>
  <w:style w:type="character" w:styleId="35">
    <w:name w:val="Emphasis"/>
    <w:qFormat/>
    <w:uiPriority w:val="20"/>
    <w:rPr>
      <w:i/>
      <w:iCs/>
    </w:rPr>
  </w:style>
  <w:style w:type="character" w:styleId="36">
    <w:name w:val="Hyperlink"/>
    <w:qFormat/>
    <w:uiPriority w:val="99"/>
    <w:rPr>
      <w:rFonts w:ascii="宋体" w:hAnsi="Times New Roman" w:eastAsia="宋体"/>
      <w:color w:val="auto"/>
      <w:spacing w:val="0"/>
      <w:w w:val="100"/>
      <w:position w:val="0"/>
      <w:sz w:val="21"/>
      <w:u w:val="none"/>
      <w:vertAlign w:val="baseline"/>
    </w:rPr>
  </w:style>
  <w:style w:type="character" w:styleId="37">
    <w:name w:val="annotation reference"/>
    <w:basedOn w:val="32"/>
    <w:semiHidden/>
    <w:unhideWhenUsed/>
    <w:qFormat/>
    <w:uiPriority w:val="99"/>
    <w:rPr>
      <w:sz w:val="21"/>
      <w:szCs w:val="21"/>
    </w:rPr>
  </w:style>
  <w:style w:type="character" w:styleId="38">
    <w:name w:val="footnote reference"/>
    <w:semiHidden/>
    <w:qFormat/>
    <w:uiPriority w:val="0"/>
    <w:rPr>
      <w:rFonts w:ascii="宋体" w:hAnsi="宋体" w:eastAsia="宋体" w:cs="Times New Roman"/>
      <w:spacing w:val="0"/>
      <w:sz w:val="18"/>
      <w:vertAlign w:val="superscript"/>
    </w:rPr>
  </w:style>
  <w:style w:type="character" w:customStyle="1" w:styleId="39">
    <w:name w:val="标题 1 字符"/>
    <w:link w:val="2"/>
    <w:qFormat/>
    <w:uiPriority w:val="0"/>
    <w:rPr>
      <w:rFonts w:ascii="Times New Roman" w:hAnsi="Times New Roman" w:eastAsia="宋体" w:cs="Times New Roman"/>
      <w:b/>
      <w:bCs/>
      <w:kern w:val="44"/>
      <w:sz w:val="44"/>
      <w:szCs w:val="44"/>
    </w:rPr>
  </w:style>
  <w:style w:type="character" w:customStyle="1" w:styleId="40">
    <w:name w:val="标题 2 字符"/>
    <w:link w:val="3"/>
    <w:qFormat/>
    <w:uiPriority w:val="0"/>
    <w:rPr>
      <w:rFonts w:ascii="Arial" w:hAnsi="Arial" w:eastAsia="黑体" w:cs="Times New Roman"/>
      <w:b/>
      <w:bCs/>
      <w:sz w:val="32"/>
      <w:szCs w:val="32"/>
    </w:rPr>
  </w:style>
  <w:style w:type="character" w:customStyle="1" w:styleId="41">
    <w:name w:val="标题 3 字符"/>
    <w:link w:val="4"/>
    <w:qFormat/>
    <w:uiPriority w:val="0"/>
    <w:rPr>
      <w:rFonts w:ascii="Times New Roman" w:hAnsi="Times New Roman" w:eastAsia="宋体" w:cs="Times New Roman"/>
      <w:b/>
      <w:bCs/>
      <w:sz w:val="32"/>
      <w:szCs w:val="32"/>
    </w:rPr>
  </w:style>
  <w:style w:type="character" w:customStyle="1" w:styleId="42">
    <w:name w:val="标题 4 字符"/>
    <w:link w:val="5"/>
    <w:qFormat/>
    <w:uiPriority w:val="0"/>
    <w:rPr>
      <w:rFonts w:ascii="Arial" w:hAnsi="Arial" w:eastAsia="黑体" w:cs="Times New Roman"/>
      <w:b/>
      <w:bCs/>
      <w:sz w:val="28"/>
      <w:szCs w:val="28"/>
    </w:rPr>
  </w:style>
  <w:style w:type="character" w:customStyle="1" w:styleId="43">
    <w:name w:val="标题 5 字符"/>
    <w:link w:val="6"/>
    <w:qFormat/>
    <w:uiPriority w:val="0"/>
    <w:rPr>
      <w:rFonts w:ascii="Times New Roman" w:hAnsi="Times New Roman" w:eastAsia="宋体" w:cs="Times New Roman"/>
      <w:b/>
      <w:bCs/>
      <w:sz w:val="28"/>
      <w:szCs w:val="28"/>
    </w:rPr>
  </w:style>
  <w:style w:type="character" w:customStyle="1" w:styleId="44">
    <w:name w:val="标题 6 字符"/>
    <w:link w:val="7"/>
    <w:qFormat/>
    <w:uiPriority w:val="0"/>
    <w:rPr>
      <w:rFonts w:ascii="Arial" w:hAnsi="Arial" w:eastAsia="黑体" w:cs="Times New Roman"/>
      <w:b/>
      <w:bCs/>
      <w:sz w:val="24"/>
      <w:szCs w:val="24"/>
    </w:rPr>
  </w:style>
  <w:style w:type="character" w:customStyle="1" w:styleId="45">
    <w:name w:val="标题 7 字符"/>
    <w:link w:val="8"/>
    <w:qFormat/>
    <w:uiPriority w:val="0"/>
    <w:rPr>
      <w:rFonts w:ascii="Times New Roman" w:hAnsi="Times New Roman" w:eastAsia="宋体" w:cs="Times New Roman"/>
      <w:b/>
      <w:bCs/>
      <w:sz w:val="24"/>
      <w:szCs w:val="24"/>
    </w:rPr>
  </w:style>
  <w:style w:type="character" w:customStyle="1" w:styleId="46">
    <w:name w:val="标题 8 字符"/>
    <w:link w:val="9"/>
    <w:qFormat/>
    <w:uiPriority w:val="0"/>
    <w:rPr>
      <w:rFonts w:ascii="Arial" w:hAnsi="Arial" w:eastAsia="黑体" w:cs="Times New Roman"/>
      <w:sz w:val="24"/>
      <w:szCs w:val="24"/>
    </w:rPr>
  </w:style>
  <w:style w:type="character" w:customStyle="1" w:styleId="47">
    <w:name w:val="标题 9 字符"/>
    <w:link w:val="10"/>
    <w:qFormat/>
    <w:uiPriority w:val="0"/>
    <w:rPr>
      <w:rFonts w:ascii="Arial" w:hAnsi="Arial" w:eastAsia="黑体" w:cs="Times New Roman"/>
      <w:szCs w:val="21"/>
    </w:rPr>
  </w:style>
  <w:style w:type="character" w:customStyle="1" w:styleId="48">
    <w:name w:val="页眉 字符"/>
    <w:link w:val="21"/>
    <w:qFormat/>
    <w:uiPriority w:val="99"/>
    <w:rPr>
      <w:rFonts w:ascii="Times New Roman" w:hAnsi="Times New Roman" w:eastAsia="宋体" w:cs="Times New Roman"/>
      <w:sz w:val="18"/>
      <w:szCs w:val="18"/>
    </w:rPr>
  </w:style>
  <w:style w:type="character" w:customStyle="1" w:styleId="49">
    <w:name w:val="页脚 字符"/>
    <w:link w:val="20"/>
    <w:qFormat/>
    <w:uiPriority w:val="99"/>
    <w:rPr>
      <w:rFonts w:ascii="宋体" w:hAnsi="Times New Roman" w:eastAsia="宋体" w:cs="Times New Roman"/>
      <w:sz w:val="18"/>
      <w:szCs w:val="18"/>
    </w:rPr>
  </w:style>
  <w:style w:type="character" w:customStyle="1" w:styleId="50">
    <w:name w:val="批注框文本 字符"/>
    <w:link w:val="19"/>
    <w:semiHidden/>
    <w:qFormat/>
    <w:uiPriority w:val="99"/>
    <w:rPr>
      <w:sz w:val="18"/>
      <w:szCs w:val="18"/>
    </w:rPr>
  </w:style>
  <w:style w:type="paragraph" w:styleId="51">
    <w:name w:val="Quote"/>
    <w:basedOn w:val="1"/>
    <w:next w:val="1"/>
    <w:link w:val="52"/>
    <w:qFormat/>
    <w:uiPriority w:val="29"/>
    <w:rPr>
      <w:i/>
      <w:iCs/>
      <w:color w:val="000000"/>
    </w:rPr>
  </w:style>
  <w:style w:type="character" w:customStyle="1" w:styleId="52">
    <w:name w:val="引用 字符"/>
    <w:link w:val="51"/>
    <w:qFormat/>
    <w:uiPriority w:val="29"/>
    <w:rPr>
      <w:i/>
      <w:iCs/>
      <w:color w:val="000000"/>
    </w:rPr>
  </w:style>
  <w:style w:type="character" w:customStyle="1" w:styleId="53">
    <w:name w:val="标题 字符"/>
    <w:link w:val="28"/>
    <w:qFormat/>
    <w:uiPriority w:val="0"/>
    <w:rPr>
      <w:rFonts w:ascii="Arial" w:hAnsi="Arial" w:eastAsia="宋体" w:cs="Arial"/>
      <w:b/>
      <w:bCs/>
      <w:sz w:val="32"/>
      <w:szCs w:val="32"/>
    </w:rPr>
  </w:style>
  <w:style w:type="paragraph" w:customStyle="1" w:styleId="54">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5">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6">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7">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8">
    <w:name w:val="标准书眉一"/>
    <w:qFormat/>
    <w:uiPriority w:val="0"/>
    <w:pPr>
      <w:jc w:val="both"/>
    </w:pPr>
    <w:rPr>
      <w:rFonts w:ascii="Times New Roman" w:hAnsi="Times New Roman" w:eastAsia="宋体" w:cs="Times New Roman"/>
      <w:lang w:val="en-US" w:eastAsia="zh-CN" w:bidi="ar-SA"/>
    </w:rPr>
  </w:style>
  <w:style w:type="paragraph" w:customStyle="1" w:styleId="59">
    <w:name w:val="标准文件_ICS"/>
    <w:basedOn w:val="1"/>
    <w:qFormat/>
    <w:uiPriority w:val="0"/>
    <w:pPr>
      <w:spacing w:line="0" w:lineRule="atLeast"/>
    </w:pPr>
    <w:rPr>
      <w:rFonts w:ascii="黑体" w:hAnsi="宋体" w:eastAsia="黑体"/>
    </w:rPr>
  </w:style>
  <w:style w:type="paragraph" w:customStyle="1" w:styleId="60">
    <w:name w:val="标准文件_标准正文"/>
    <w:basedOn w:val="1"/>
    <w:next w:val="61"/>
    <w:qFormat/>
    <w:uiPriority w:val="0"/>
    <w:pPr>
      <w:snapToGrid w:val="0"/>
      <w:ind w:firstLine="200" w:firstLineChars="200"/>
    </w:pPr>
    <w:rPr>
      <w:kern w:val="0"/>
    </w:rPr>
  </w:style>
  <w:style w:type="paragraph" w:customStyle="1" w:styleId="61">
    <w:name w:val="标准文件_段"/>
    <w:link w:val="189"/>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2">
    <w:name w:val="标准文件_版本"/>
    <w:basedOn w:val="60"/>
    <w:qFormat/>
    <w:uiPriority w:val="0"/>
    <w:pPr>
      <w:adjustRightInd/>
      <w:snapToGrid/>
      <w:ind w:firstLine="0" w:firstLineChars="0"/>
    </w:pPr>
    <w:rPr>
      <w:rFonts w:ascii="宋体" w:hAnsi="宋体"/>
      <w:kern w:val="2"/>
    </w:rPr>
  </w:style>
  <w:style w:type="paragraph" w:customStyle="1" w:styleId="63">
    <w:name w:val="标准文件_标准部门"/>
    <w:basedOn w:val="1"/>
    <w:qFormat/>
    <w:uiPriority w:val="0"/>
    <w:pPr>
      <w:jc w:val="center"/>
    </w:pPr>
    <w:rPr>
      <w:rFonts w:ascii="黑体" w:eastAsia="黑体"/>
      <w:kern w:val="0"/>
      <w:sz w:val="44"/>
    </w:rPr>
  </w:style>
  <w:style w:type="paragraph" w:customStyle="1" w:styleId="64">
    <w:name w:val="标准文件_标准代替"/>
    <w:basedOn w:val="1"/>
    <w:next w:val="1"/>
    <w:qFormat/>
    <w:uiPriority w:val="0"/>
    <w:pPr>
      <w:spacing w:line="310" w:lineRule="exact"/>
      <w:jc w:val="right"/>
    </w:pPr>
    <w:rPr>
      <w:rFonts w:ascii="宋体" w:hAnsi="宋体"/>
      <w:kern w:val="0"/>
    </w:rPr>
  </w:style>
  <w:style w:type="paragraph" w:customStyle="1" w:styleId="65">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6">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7">
    <w:name w:val="标准文件_页眉偶数页"/>
    <w:basedOn w:val="66"/>
    <w:next w:val="1"/>
    <w:qFormat/>
    <w:uiPriority w:val="0"/>
    <w:pPr>
      <w:jc w:val="left"/>
    </w:pPr>
  </w:style>
  <w:style w:type="paragraph" w:customStyle="1" w:styleId="68">
    <w:name w:val="标准文件_参考文献标题"/>
    <w:basedOn w:val="1"/>
    <w:next w:val="1"/>
    <w:qFormat/>
    <w:uiPriority w:val="0"/>
    <w:pPr>
      <w:widowControl/>
      <w:shd w:val="clear" w:color="FFFFFF" w:fill="FFFFFF"/>
      <w:adjustRightInd/>
      <w:spacing w:beforeLines="40" w:afterLines="50" w:line="240" w:lineRule="auto"/>
      <w:jc w:val="center"/>
      <w:outlineLvl w:val="0"/>
    </w:pPr>
    <w:rPr>
      <w:rFonts w:ascii="黑体" w:eastAsia="黑体"/>
      <w:kern w:val="0"/>
    </w:rPr>
  </w:style>
  <w:style w:type="paragraph" w:customStyle="1" w:styleId="69">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70">
    <w:name w:val="标准文件_二级条标题"/>
    <w:next w:val="61"/>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character" w:customStyle="1" w:styleId="71">
    <w:name w:val="标准文件_发布"/>
    <w:qFormat/>
    <w:uiPriority w:val="0"/>
    <w:rPr>
      <w:rFonts w:ascii="黑体" w:eastAsia="黑体"/>
      <w:spacing w:val="0"/>
      <w:w w:val="100"/>
      <w:position w:val="3"/>
      <w:sz w:val="28"/>
    </w:rPr>
  </w:style>
  <w:style w:type="paragraph" w:customStyle="1" w:styleId="72">
    <w:name w:val="标准文件_方框数字列项"/>
    <w:basedOn w:val="61"/>
    <w:qFormat/>
    <w:uiPriority w:val="0"/>
    <w:pPr>
      <w:numPr>
        <w:ilvl w:val="0"/>
        <w:numId w:val="3"/>
      </w:numPr>
      <w:ind w:firstLine="0" w:firstLineChars="0"/>
    </w:pPr>
  </w:style>
  <w:style w:type="paragraph" w:customStyle="1" w:styleId="73">
    <w:name w:val="标准文件_封面标准编号"/>
    <w:basedOn w:val="1"/>
    <w:next w:val="64"/>
    <w:qFormat/>
    <w:uiPriority w:val="0"/>
    <w:pPr>
      <w:spacing w:line="310" w:lineRule="exact"/>
      <w:jc w:val="right"/>
    </w:pPr>
    <w:rPr>
      <w:rFonts w:ascii="黑体" w:eastAsia="黑体"/>
      <w:kern w:val="0"/>
      <w:sz w:val="28"/>
    </w:rPr>
  </w:style>
  <w:style w:type="paragraph" w:customStyle="1" w:styleId="74">
    <w:name w:val="标准文件_封面标准分类号"/>
    <w:basedOn w:val="1"/>
    <w:qFormat/>
    <w:uiPriority w:val="0"/>
    <w:rPr>
      <w:rFonts w:ascii="黑体" w:eastAsia="黑体"/>
      <w:b/>
      <w:kern w:val="0"/>
      <w:sz w:val="28"/>
    </w:rPr>
  </w:style>
  <w:style w:type="paragraph" w:customStyle="1" w:styleId="75">
    <w:name w:val="标准文件_封面标准名称"/>
    <w:basedOn w:val="1"/>
    <w:qFormat/>
    <w:uiPriority w:val="0"/>
    <w:pPr>
      <w:spacing w:line="240" w:lineRule="auto"/>
      <w:jc w:val="center"/>
    </w:pPr>
    <w:rPr>
      <w:rFonts w:ascii="黑体" w:eastAsia="黑体"/>
      <w:kern w:val="0"/>
      <w:sz w:val="52"/>
    </w:rPr>
  </w:style>
  <w:style w:type="paragraph" w:customStyle="1" w:styleId="76">
    <w:name w:val="标准文件_封面标准英文名称"/>
    <w:basedOn w:val="1"/>
    <w:qFormat/>
    <w:uiPriority w:val="0"/>
    <w:pPr>
      <w:spacing w:line="240" w:lineRule="auto"/>
      <w:jc w:val="center"/>
    </w:pPr>
    <w:rPr>
      <w:rFonts w:ascii="黑体" w:eastAsia="黑体"/>
      <w:b/>
      <w:sz w:val="28"/>
    </w:rPr>
  </w:style>
  <w:style w:type="paragraph" w:customStyle="1" w:styleId="77">
    <w:name w:val="标准文件_封面发布日期"/>
    <w:basedOn w:val="1"/>
    <w:qFormat/>
    <w:uiPriority w:val="0"/>
    <w:pPr>
      <w:spacing w:line="310" w:lineRule="exact"/>
    </w:pPr>
    <w:rPr>
      <w:rFonts w:ascii="黑体" w:eastAsia="黑体"/>
      <w:kern w:val="0"/>
      <w:sz w:val="28"/>
    </w:rPr>
  </w:style>
  <w:style w:type="paragraph" w:customStyle="1" w:styleId="78">
    <w:name w:val="标准文件_封面密级"/>
    <w:basedOn w:val="1"/>
    <w:qFormat/>
    <w:uiPriority w:val="0"/>
    <w:rPr>
      <w:rFonts w:eastAsia="黑体"/>
      <w:sz w:val="32"/>
    </w:rPr>
  </w:style>
  <w:style w:type="paragraph" w:customStyle="1" w:styleId="79">
    <w:name w:val="标准文件_封面实施日期"/>
    <w:basedOn w:val="1"/>
    <w:qFormat/>
    <w:uiPriority w:val="0"/>
    <w:pPr>
      <w:spacing w:line="310" w:lineRule="exact"/>
      <w:jc w:val="right"/>
    </w:pPr>
    <w:rPr>
      <w:rFonts w:ascii="黑体" w:eastAsia="黑体"/>
      <w:sz w:val="28"/>
    </w:rPr>
  </w:style>
  <w:style w:type="paragraph" w:customStyle="1" w:styleId="80">
    <w:name w:val="标准文件_封面抬头"/>
    <w:basedOn w:val="61"/>
    <w:qFormat/>
    <w:uiPriority w:val="0"/>
    <w:pPr>
      <w:adjustRightInd w:val="0"/>
      <w:spacing w:line="800" w:lineRule="exact"/>
      <w:ind w:firstLine="0" w:firstLineChars="0"/>
      <w:jc w:val="distribute"/>
    </w:pPr>
    <w:rPr>
      <w:rFonts w:ascii="黑体" w:eastAsia="黑体"/>
      <w:b/>
      <w:sz w:val="64"/>
    </w:rPr>
  </w:style>
  <w:style w:type="paragraph" w:customStyle="1" w:styleId="81">
    <w:name w:val="标准文件_附录标识"/>
    <w:next w:val="61"/>
    <w:qFormat/>
    <w:uiPriority w:val="0"/>
    <w:pPr>
      <w:numPr>
        <w:ilvl w:val="0"/>
        <w:numId w:val="4"/>
      </w:numPr>
      <w:shd w:val="clear" w:color="FFFFFF" w:fill="FFFFFF"/>
      <w:tabs>
        <w:tab w:val="left" w:pos="6406"/>
      </w:tabs>
      <w:spacing w:beforeLines="25" w:afterLines="50"/>
      <w:jc w:val="center"/>
      <w:outlineLvl w:val="0"/>
    </w:pPr>
    <w:rPr>
      <w:rFonts w:ascii="黑体" w:hAnsi="Times New Roman" w:eastAsia="黑体" w:cs="Times New Roman"/>
      <w:sz w:val="21"/>
      <w:lang w:val="en-US" w:eastAsia="zh-CN" w:bidi="ar-SA"/>
    </w:rPr>
  </w:style>
  <w:style w:type="paragraph" w:customStyle="1" w:styleId="82">
    <w:name w:val="标准文件_附录表标题"/>
    <w:next w:val="61"/>
    <w:qFormat/>
    <w:uiPriority w:val="0"/>
    <w:pPr>
      <w:numPr>
        <w:ilvl w:val="1"/>
        <w:numId w:val="5"/>
      </w:numPr>
      <w:adjustRightInd w:val="0"/>
      <w:snapToGrid w:val="0"/>
      <w:spacing w:beforeLines="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3">
    <w:name w:val="标准文件_附录一级条标题"/>
    <w:next w:val="61"/>
    <w:qFormat/>
    <w:uiPriority w:val="0"/>
    <w:pPr>
      <w:widowControl w:val="0"/>
      <w:numPr>
        <w:ilvl w:val="1"/>
        <w:numId w:val="4"/>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84">
    <w:name w:val="标准文件_附录二级条标题"/>
    <w:basedOn w:val="83"/>
    <w:next w:val="61"/>
    <w:qFormat/>
    <w:uiPriority w:val="0"/>
    <w:pPr>
      <w:widowControl/>
      <w:numPr>
        <w:ilvl w:val="2"/>
      </w:numPr>
      <w:wordWrap w:val="0"/>
      <w:overflowPunct w:val="0"/>
      <w:autoSpaceDE w:val="0"/>
      <w:autoSpaceDN w:val="0"/>
      <w:textAlignment w:val="baseline"/>
      <w:outlineLvl w:val="3"/>
    </w:pPr>
  </w:style>
  <w:style w:type="paragraph" w:customStyle="1" w:styleId="85">
    <w:name w:val="标准文件_附录公式"/>
    <w:basedOn w:val="60"/>
    <w:next w:val="60"/>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6">
    <w:name w:val="标准文件_附录三级条标题"/>
    <w:next w:val="61"/>
    <w:qFormat/>
    <w:uiPriority w:val="0"/>
    <w:pPr>
      <w:widowControl w:val="0"/>
      <w:numPr>
        <w:ilvl w:val="3"/>
        <w:numId w:val="4"/>
      </w:numPr>
      <w:spacing w:beforeLines="50" w:afterLines="50"/>
      <w:jc w:val="both"/>
      <w:outlineLvl w:val="4"/>
    </w:pPr>
    <w:rPr>
      <w:rFonts w:ascii="黑体" w:hAnsi="Times New Roman" w:eastAsia="黑体" w:cs="Times New Roman"/>
      <w:kern w:val="21"/>
      <w:sz w:val="21"/>
      <w:lang w:val="en-US" w:eastAsia="zh-CN" w:bidi="ar-SA"/>
    </w:rPr>
  </w:style>
  <w:style w:type="paragraph" w:customStyle="1" w:styleId="87">
    <w:name w:val="标准文件_附录四级条标题"/>
    <w:next w:val="61"/>
    <w:qFormat/>
    <w:uiPriority w:val="0"/>
    <w:pPr>
      <w:widowControl w:val="0"/>
      <w:numPr>
        <w:ilvl w:val="4"/>
        <w:numId w:val="4"/>
      </w:numPr>
      <w:spacing w:beforeLines="50" w:afterLines="50"/>
      <w:jc w:val="both"/>
      <w:outlineLvl w:val="5"/>
    </w:pPr>
    <w:rPr>
      <w:rFonts w:ascii="黑体" w:hAnsi="Times New Roman" w:eastAsia="黑体" w:cs="Times New Roman"/>
      <w:kern w:val="21"/>
      <w:sz w:val="21"/>
      <w:lang w:val="en-US" w:eastAsia="zh-CN" w:bidi="ar-SA"/>
    </w:rPr>
  </w:style>
  <w:style w:type="paragraph" w:customStyle="1" w:styleId="88">
    <w:name w:val="标准文件_附录图标题"/>
    <w:next w:val="61"/>
    <w:qFormat/>
    <w:uiPriority w:val="0"/>
    <w:pPr>
      <w:numPr>
        <w:ilvl w:val="1"/>
        <w:numId w:val="6"/>
      </w:numPr>
      <w:adjustRightInd w:val="0"/>
      <w:snapToGrid w:val="0"/>
      <w:spacing w:beforeLines="50" w:afterLines="50"/>
      <w:ind w:firstLine="420"/>
      <w:jc w:val="center"/>
    </w:pPr>
    <w:rPr>
      <w:rFonts w:ascii="黑体" w:hAnsi="Times New Roman" w:eastAsia="黑体" w:cs="Times New Roman"/>
      <w:sz w:val="21"/>
      <w:lang w:val="en-US" w:eastAsia="zh-CN" w:bidi="ar-SA"/>
    </w:rPr>
  </w:style>
  <w:style w:type="paragraph" w:customStyle="1" w:styleId="89">
    <w:name w:val="标准文件_附录五级条标题"/>
    <w:next w:val="61"/>
    <w:qFormat/>
    <w:uiPriority w:val="0"/>
    <w:pPr>
      <w:widowControl w:val="0"/>
      <w:numPr>
        <w:ilvl w:val="5"/>
        <w:numId w:val="4"/>
      </w:numPr>
      <w:spacing w:beforeLines="50" w:afterLines="50"/>
      <w:jc w:val="both"/>
      <w:outlineLvl w:val="6"/>
    </w:pPr>
    <w:rPr>
      <w:rFonts w:ascii="黑体" w:hAnsi="Times New Roman" w:eastAsia="黑体" w:cs="Times New Roman"/>
      <w:kern w:val="21"/>
      <w:sz w:val="21"/>
      <w:lang w:val="en-US" w:eastAsia="zh-CN" w:bidi="ar-SA"/>
    </w:rPr>
  </w:style>
  <w:style w:type="paragraph" w:customStyle="1" w:styleId="90">
    <w:name w:val="标准文件_附录英文标识"/>
    <w:next w:val="15"/>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1">
    <w:name w:val="正文文本 字符"/>
    <w:link w:val="15"/>
    <w:qFormat/>
    <w:uiPriority w:val="0"/>
    <w:rPr>
      <w:rFonts w:ascii="Times New Roman" w:hAnsi="Times New Roman" w:eastAsia="宋体" w:cs="Times New Roman"/>
      <w:szCs w:val="20"/>
    </w:rPr>
  </w:style>
  <w:style w:type="paragraph" w:customStyle="1" w:styleId="92">
    <w:name w:val="标准文件_附录章标题"/>
    <w:next w:val="61"/>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3">
    <w:name w:val="标准文件_公式后的破折号"/>
    <w:basedOn w:val="61"/>
    <w:next w:val="61"/>
    <w:qFormat/>
    <w:uiPriority w:val="0"/>
    <w:pPr>
      <w:ind w:left="488" w:leftChars="200" w:hanging="289" w:hangingChars="290"/>
    </w:pPr>
  </w:style>
  <w:style w:type="paragraph" w:customStyle="1" w:styleId="94">
    <w:name w:val="标准文件_前言、引言标题"/>
    <w:next w:val="1"/>
    <w:qFormat/>
    <w:uiPriority w:val="0"/>
    <w:pPr>
      <w:numPr>
        <w:ilvl w:val="0"/>
        <w:numId w:val="8"/>
      </w:numPr>
      <w:shd w:val="clear" w:color="FFFFFF" w:fill="FFFFFF"/>
      <w:spacing w:afterLines="150"/>
      <w:ind w:left="0" w:firstLine="0"/>
      <w:jc w:val="center"/>
      <w:outlineLvl w:val="0"/>
    </w:pPr>
    <w:rPr>
      <w:rFonts w:ascii="黑体" w:hAnsi="Times New Roman" w:eastAsia="黑体" w:cs="Times New Roman"/>
      <w:sz w:val="32"/>
      <w:lang w:val="en-US" w:eastAsia="zh-CN" w:bidi="ar-SA"/>
    </w:rPr>
  </w:style>
  <w:style w:type="paragraph" w:customStyle="1" w:styleId="95">
    <w:name w:val="标准文件_目次、标准名称标题"/>
    <w:basedOn w:val="94"/>
    <w:next w:val="61"/>
    <w:qFormat/>
    <w:uiPriority w:val="0"/>
    <w:pPr>
      <w:spacing w:line="460" w:lineRule="exact"/>
    </w:pPr>
  </w:style>
  <w:style w:type="paragraph" w:customStyle="1" w:styleId="96">
    <w:name w:val="标准文件_目录标题"/>
    <w:basedOn w:val="1"/>
    <w:qFormat/>
    <w:uiPriority w:val="0"/>
    <w:pPr>
      <w:spacing w:afterLines="150" w:line="240" w:lineRule="auto"/>
      <w:jc w:val="center"/>
    </w:pPr>
    <w:rPr>
      <w:rFonts w:ascii="黑体" w:eastAsia="黑体"/>
      <w:sz w:val="32"/>
    </w:rPr>
  </w:style>
  <w:style w:type="paragraph" w:customStyle="1" w:styleId="97">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8">
    <w:name w:val="标准文件_破折号列项（二级）"/>
    <w:basedOn w:val="97"/>
    <w:qFormat/>
    <w:uiPriority w:val="0"/>
    <w:pPr>
      <w:numPr>
        <w:numId w:val="10"/>
      </w:numPr>
      <w:ind w:left="0" w:firstLine="200"/>
    </w:pPr>
  </w:style>
  <w:style w:type="paragraph" w:customStyle="1" w:styleId="99">
    <w:name w:val="标准文件_三级条标题"/>
    <w:basedOn w:val="70"/>
    <w:next w:val="61"/>
    <w:qFormat/>
    <w:uiPriority w:val="0"/>
    <w:pPr>
      <w:widowControl/>
      <w:numPr>
        <w:ilvl w:val="4"/>
      </w:numPr>
      <w:outlineLvl w:val="3"/>
    </w:pPr>
  </w:style>
  <w:style w:type="character" w:customStyle="1" w:styleId="100">
    <w:name w:val="不明显参考1"/>
    <w:qFormat/>
    <w:uiPriority w:val="31"/>
    <w:rPr>
      <w:smallCaps/>
      <w:color w:val="C0504D"/>
      <w:u w:val="single"/>
    </w:rPr>
  </w:style>
  <w:style w:type="paragraph" w:customStyle="1" w:styleId="101">
    <w:name w:val="标准文件_示例后续"/>
    <w:basedOn w:val="1"/>
    <w:qFormat/>
    <w:uiPriority w:val="0"/>
    <w:pPr>
      <w:adjustRightInd/>
      <w:spacing w:line="240" w:lineRule="auto"/>
      <w:ind w:firstLine="200" w:firstLineChars="200"/>
    </w:pPr>
    <w:rPr>
      <w:sz w:val="18"/>
      <w:szCs w:val="24"/>
    </w:rPr>
  </w:style>
  <w:style w:type="paragraph" w:customStyle="1" w:styleId="102">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3">
    <w:name w:val="标准文件_四级条标题"/>
    <w:next w:val="61"/>
    <w:qFormat/>
    <w:uiPriority w:val="0"/>
    <w:pPr>
      <w:widowControl w:val="0"/>
      <w:numPr>
        <w:ilvl w:val="5"/>
        <w:numId w:val="2"/>
      </w:numPr>
      <w:spacing w:beforeLines="50" w:afterLines="50"/>
      <w:jc w:val="both"/>
      <w:outlineLvl w:val="4"/>
    </w:pPr>
    <w:rPr>
      <w:rFonts w:ascii="黑体" w:hAnsi="Times New Roman" w:eastAsia="黑体" w:cs="Times New Roman"/>
      <w:sz w:val="21"/>
      <w:lang w:val="en-US" w:eastAsia="zh-CN" w:bidi="ar-SA"/>
    </w:rPr>
  </w:style>
  <w:style w:type="character" w:customStyle="1" w:styleId="104">
    <w:name w:val="脚注文本 字符"/>
    <w:link w:val="24"/>
    <w:semiHidden/>
    <w:qFormat/>
    <w:uiPriority w:val="0"/>
    <w:rPr>
      <w:rFonts w:ascii="宋体" w:hAnsi="Times New Roman" w:eastAsia="宋体" w:cs="Times New Roman"/>
      <w:sz w:val="18"/>
      <w:szCs w:val="18"/>
    </w:rPr>
  </w:style>
  <w:style w:type="paragraph" w:customStyle="1" w:styleId="105">
    <w:name w:val="标准文件_条文脚注"/>
    <w:basedOn w:val="24"/>
    <w:qFormat/>
    <w:uiPriority w:val="0"/>
    <w:pPr>
      <w:adjustRightInd w:val="0"/>
      <w:spacing w:line="240" w:lineRule="auto"/>
      <w:ind w:left="0" w:leftChars="0" w:firstLine="200" w:firstLineChars="200"/>
      <w:jc w:val="both"/>
    </w:pPr>
    <w:rPr>
      <w:rFonts w:hAnsi="宋体"/>
    </w:rPr>
  </w:style>
  <w:style w:type="paragraph" w:customStyle="1" w:styleId="106">
    <w:name w:val="标准文件_图表脚注"/>
    <w:basedOn w:val="1"/>
    <w:next w:val="61"/>
    <w:qFormat/>
    <w:uiPriority w:val="0"/>
    <w:pPr>
      <w:numPr>
        <w:ilvl w:val="0"/>
        <w:numId w:val="12"/>
      </w:numPr>
      <w:spacing w:line="240" w:lineRule="auto"/>
      <w:jc w:val="left"/>
    </w:pPr>
    <w:rPr>
      <w:rFonts w:ascii="宋体" w:hAnsi="宋体"/>
      <w:sz w:val="18"/>
    </w:rPr>
  </w:style>
  <w:style w:type="character" w:customStyle="1" w:styleId="107">
    <w:name w:val="标准文件_图表脚注内容"/>
    <w:qFormat/>
    <w:uiPriority w:val="0"/>
    <w:rPr>
      <w:rFonts w:ascii="宋体" w:hAnsi="宋体" w:eastAsia="宋体" w:cs="Times New Roman"/>
      <w:spacing w:val="0"/>
      <w:sz w:val="18"/>
      <w:vertAlign w:val="superscript"/>
    </w:rPr>
  </w:style>
  <w:style w:type="paragraph" w:customStyle="1" w:styleId="108">
    <w:name w:val="标准文件_五级条标题"/>
    <w:next w:val="61"/>
    <w:qFormat/>
    <w:uiPriority w:val="0"/>
    <w:pPr>
      <w:widowControl w:val="0"/>
      <w:numPr>
        <w:ilvl w:val="6"/>
        <w:numId w:val="2"/>
      </w:numPr>
      <w:spacing w:beforeLines="50" w:afterLines="50"/>
      <w:jc w:val="both"/>
      <w:outlineLvl w:val="5"/>
    </w:pPr>
    <w:rPr>
      <w:rFonts w:ascii="黑体" w:hAnsi="Times New Roman" w:eastAsia="黑体" w:cs="Times New Roman"/>
      <w:sz w:val="21"/>
      <w:lang w:val="en-US" w:eastAsia="zh-CN" w:bidi="ar-SA"/>
    </w:rPr>
  </w:style>
  <w:style w:type="paragraph" w:customStyle="1" w:styleId="109">
    <w:name w:val="标准文件_章标题"/>
    <w:next w:val="61"/>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10">
    <w:name w:val="标准文件_一级条标题"/>
    <w:basedOn w:val="109"/>
    <w:next w:val="61"/>
    <w:qFormat/>
    <w:uiPriority w:val="0"/>
    <w:pPr>
      <w:numPr>
        <w:ilvl w:val="2"/>
      </w:numPr>
      <w:spacing w:beforeLines="50" w:afterLines="50"/>
      <w:outlineLvl w:val="1"/>
    </w:pPr>
  </w:style>
  <w:style w:type="paragraph" w:customStyle="1" w:styleId="111">
    <w:name w:val="标准文件_一致程度"/>
    <w:basedOn w:val="1"/>
    <w:qFormat/>
    <w:uiPriority w:val="0"/>
    <w:pPr>
      <w:spacing w:line="440" w:lineRule="exact"/>
      <w:jc w:val="center"/>
    </w:pPr>
    <w:rPr>
      <w:sz w:val="28"/>
    </w:rPr>
  </w:style>
  <w:style w:type="paragraph" w:customStyle="1" w:styleId="112">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3">
    <w:name w:val="标准文件_英文图表脚注"/>
    <w:basedOn w:val="60"/>
    <w:qFormat/>
    <w:uiPriority w:val="0"/>
    <w:pPr>
      <w:widowControl/>
      <w:adjustRightInd/>
      <w:snapToGrid/>
      <w:spacing w:line="240" w:lineRule="auto"/>
      <w:ind w:left="79" w:hanging="79" w:hangingChars="80"/>
    </w:pPr>
    <w:rPr>
      <w:rFonts w:ascii="宋体" w:hAnsi="宋体"/>
    </w:rPr>
  </w:style>
  <w:style w:type="paragraph" w:customStyle="1" w:styleId="114">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5">
    <w:name w:val="标准文件_英文注："/>
    <w:basedOn w:val="1"/>
    <w:next w:val="61"/>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6">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7">
    <w:name w:val="标准文件_正文表标题"/>
    <w:next w:val="61"/>
    <w:qFormat/>
    <w:uiPriority w:val="0"/>
    <w:pPr>
      <w:numPr>
        <w:ilvl w:val="0"/>
        <w:numId w:val="16"/>
      </w:numPr>
      <w:tabs>
        <w:tab w:val="left" w:pos="0"/>
      </w:tabs>
      <w:spacing w:beforeLines="50" w:afterLines="50"/>
      <w:jc w:val="center"/>
    </w:pPr>
    <w:rPr>
      <w:rFonts w:ascii="黑体" w:hAnsi="Times New Roman" w:eastAsia="黑体" w:cs="Times New Roman"/>
      <w:sz w:val="21"/>
      <w:lang w:val="en-US" w:eastAsia="zh-CN" w:bidi="ar-SA"/>
    </w:rPr>
  </w:style>
  <w:style w:type="paragraph" w:customStyle="1" w:styleId="118">
    <w:name w:val="标准文件_正文公式"/>
    <w:basedOn w:val="1"/>
    <w:next w:val="60"/>
    <w:qFormat/>
    <w:uiPriority w:val="0"/>
    <w:pPr>
      <w:tabs>
        <w:tab w:val="center" w:pos="4678"/>
        <w:tab w:val="right" w:leader="middleDot" w:pos="9356"/>
      </w:tabs>
      <w:spacing w:line="240" w:lineRule="auto"/>
    </w:pPr>
    <w:rPr>
      <w:rFonts w:ascii="宋体" w:hAnsi="宋体"/>
    </w:rPr>
  </w:style>
  <w:style w:type="paragraph" w:customStyle="1" w:styleId="119">
    <w:name w:val="标准文件_正文图标题"/>
    <w:next w:val="61"/>
    <w:qFormat/>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20">
    <w:name w:val="标准文件_正文英文表标题"/>
    <w:next w:val="61"/>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1">
    <w:name w:val="标准文件_正文英文图标题"/>
    <w:next w:val="61"/>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2">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3">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4">
    <w:name w:val="发布部门"/>
    <w:next w:val="61"/>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5">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6">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7">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8">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9">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0">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1">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2">
    <w:name w:val="封面正文"/>
    <w:qFormat/>
    <w:uiPriority w:val="0"/>
    <w:pPr>
      <w:jc w:val="both"/>
    </w:pPr>
    <w:rPr>
      <w:rFonts w:ascii="Times New Roman" w:hAnsi="Times New Roman" w:eastAsia="宋体" w:cs="Times New Roman"/>
      <w:lang w:val="en-US" w:eastAsia="zh-CN" w:bidi="ar-SA"/>
    </w:rPr>
  </w:style>
  <w:style w:type="paragraph" w:customStyle="1" w:styleId="133">
    <w:name w:val="附录二级无标题条"/>
    <w:basedOn w:val="1"/>
    <w:next w:val="61"/>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4">
    <w:name w:val="附录三级无标题条"/>
    <w:basedOn w:val="133"/>
    <w:next w:val="61"/>
    <w:qFormat/>
    <w:uiPriority w:val="0"/>
    <w:pPr>
      <w:outlineLvl w:val="4"/>
    </w:pPr>
  </w:style>
  <w:style w:type="paragraph" w:customStyle="1" w:styleId="135">
    <w:name w:val="附录四级无标题条"/>
    <w:basedOn w:val="134"/>
    <w:next w:val="61"/>
    <w:qFormat/>
    <w:uiPriority w:val="0"/>
    <w:pPr>
      <w:outlineLvl w:val="5"/>
    </w:pPr>
  </w:style>
  <w:style w:type="paragraph" w:customStyle="1" w:styleId="136">
    <w:name w:val="附录图"/>
    <w:next w:val="61"/>
    <w:qFormat/>
    <w:uiPriority w:val="0"/>
    <w:pPr>
      <w:wordWrap w:val="0"/>
      <w:overflowPunct w:val="0"/>
      <w:autoSpaceDE w:val="0"/>
      <w:spacing w:beforeLines="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7">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8">
    <w:name w:val="附录五级无标题条"/>
    <w:basedOn w:val="135"/>
    <w:next w:val="61"/>
    <w:qFormat/>
    <w:uiPriority w:val="0"/>
    <w:pPr>
      <w:outlineLvl w:val="6"/>
    </w:pPr>
  </w:style>
  <w:style w:type="paragraph" w:customStyle="1" w:styleId="139">
    <w:name w:val="附录性质"/>
    <w:basedOn w:val="1"/>
    <w:qFormat/>
    <w:uiPriority w:val="0"/>
    <w:pPr>
      <w:widowControl/>
      <w:adjustRightInd/>
      <w:jc w:val="center"/>
    </w:pPr>
    <w:rPr>
      <w:rFonts w:ascii="黑体" w:eastAsia="黑体"/>
    </w:rPr>
  </w:style>
  <w:style w:type="paragraph" w:customStyle="1" w:styleId="140">
    <w:name w:val="附录一级无标题条"/>
    <w:basedOn w:val="92"/>
    <w:next w:val="61"/>
    <w:qFormat/>
    <w:uiPriority w:val="0"/>
    <w:pPr>
      <w:autoSpaceDN w:val="0"/>
      <w:outlineLvl w:val="2"/>
    </w:pPr>
    <w:rPr>
      <w:rFonts w:ascii="宋体" w:hAnsi="宋体" w:eastAsia="宋体"/>
    </w:rPr>
  </w:style>
  <w:style w:type="character" w:customStyle="1" w:styleId="141">
    <w:name w:val="个人答复风格"/>
    <w:qFormat/>
    <w:uiPriority w:val="0"/>
    <w:rPr>
      <w:rFonts w:ascii="Arial" w:hAnsi="Arial" w:eastAsia="宋体" w:cs="Arial"/>
      <w:color w:val="auto"/>
      <w:spacing w:val="0"/>
      <w:sz w:val="20"/>
    </w:rPr>
  </w:style>
  <w:style w:type="character" w:customStyle="1" w:styleId="142">
    <w:name w:val="个人撰写风格"/>
    <w:qFormat/>
    <w:uiPriority w:val="0"/>
    <w:rPr>
      <w:rFonts w:ascii="Arial" w:hAnsi="Arial" w:eastAsia="宋体" w:cs="Arial"/>
      <w:color w:val="auto"/>
      <w:spacing w:val="0"/>
      <w:sz w:val="20"/>
    </w:rPr>
  </w:style>
  <w:style w:type="paragraph" w:customStyle="1" w:styleId="143">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4">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5">
    <w:name w:val="列项·"/>
    <w:basedOn w:val="61"/>
    <w:qFormat/>
    <w:uiPriority w:val="0"/>
    <w:pPr>
      <w:tabs>
        <w:tab w:val="left" w:pos="840"/>
      </w:tabs>
    </w:pPr>
  </w:style>
  <w:style w:type="paragraph" w:customStyle="1" w:styleId="146">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7">
    <w:name w:val="目录 21"/>
    <w:basedOn w:val="1"/>
    <w:next w:val="1"/>
    <w:autoRedefine/>
    <w:semiHidden/>
    <w:qFormat/>
    <w:uiPriority w:val="0"/>
    <w:pPr>
      <w:adjustRightInd/>
      <w:spacing w:line="240" w:lineRule="auto"/>
      <w:jc w:val="left"/>
    </w:pPr>
    <w:rPr>
      <w:bCs/>
      <w:iCs/>
    </w:rPr>
  </w:style>
  <w:style w:type="paragraph" w:customStyle="1" w:styleId="148">
    <w:name w:val="目录 31"/>
    <w:basedOn w:val="1"/>
    <w:next w:val="1"/>
    <w:autoRedefine/>
    <w:semiHidden/>
    <w:qFormat/>
    <w:uiPriority w:val="0"/>
    <w:pPr>
      <w:spacing w:line="240" w:lineRule="auto"/>
    </w:pPr>
    <w:rPr>
      <w:rFonts w:ascii="宋体" w:hAnsi="宋体"/>
      <w:iCs/>
    </w:rPr>
  </w:style>
  <w:style w:type="paragraph" w:customStyle="1" w:styleId="149">
    <w:name w:val="目录 41"/>
    <w:basedOn w:val="1"/>
    <w:next w:val="1"/>
    <w:autoRedefine/>
    <w:semiHidden/>
    <w:qFormat/>
    <w:uiPriority w:val="0"/>
    <w:pPr>
      <w:adjustRightInd/>
      <w:spacing w:line="240" w:lineRule="auto"/>
      <w:jc w:val="left"/>
    </w:pPr>
  </w:style>
  <w:style w:type="paragraph" w:customStyle="1" w:styleId="150">
    <w:name w:val="目录 51"/>
    <w:basedOn w:val="1"/>
    <w:next w:val="1"/>
    <w:autoRedefine/>
    <w:semiHidden/>
    <w:qFormat/>
    <w:uiPriority w:val="0"/>
    <w:pPr>
      <w:spacing w:line="240" w:lineRule="auto"/>
    </w:pPr>
    <w:rPr>
      <w:rFonts w:ascii="宋体" w:hAnsi="宋体"/>
    </w:rPr>
  </w:style>
  <w:style w:type="paragraph" w:customStyle="1" w:styleId="151">
    <w:name w:val="目录 61"/>
    <w:basedOn w:val="1"/>
    <w:next w:val="1"/>
    <w:autoRedefine/>
    <w:semiHidden/>
    <w:qFormat/>
    <w:uiPriority w:val="0"/>
    <w:pPr>
      <w:adjustRightInd/>
      <w:spacing w:line="240" w:lineRule="auto"/>
      <w:jc w:val="left"/>
    </w:pPr>
  </w:style>
  <w:style w:type="paragraph" w:customStyle="1" w:styleId="152">
    <w:name w:val="目录 71"/>
    <w:basedOn w:val="151"/>
    <w:autoRedefine/>
    <w:semiHidden/>
    <w:qFormat/>
    <w:uiPriority w:val="0"/>
    <w:pPr>
      <w:ind w:left="1260"/>
    </w:pPr>
  </w:style>
  <w:style w:type="paragraph" w:customStyle="1" w:styleId="153">
    <w:name w:val="目录 81"/>
    <w:basedOn w:val="152"/>
    <w:autoRedefine/>
    <w:semiHidden/>
    <w:qFormat/>
    <w:uiPriority w:val="0"/>
    <w:pPr>
      <w:ind w:left="1470"/>
    </w:pPr>
  </w:style>
  <w:style w:type="paragraph" w:customStyle="1" w:styleId="154">
    <w:name w:val="目录 91"/>
    <w:basedOn w:val="153"/>
    <w:autoRedefine/>
    <w:semiHidden/>
    <w:qFormat/>
    <w:uiPriority w:val="0"/>
    <w:pPr>
      <w:ind w:left="1680"/>
    </w:pPr>
  </w:style>
  <w:style w:type="paragraph" w:customStyle="1" w:styleId="155">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6">
    <w:name w:val="其他发布部门"/>
    <w:basedOn w:val="124"/>
    <w:qFormat/>
    <w:uiPriority w:val="0"/>
    <w:pPr>
      <w:framePr w:wrap="around"/>
      <w:spacing w:line="0" w:lineRule="atLeast"/>
    </w:pPr>
    <w:rPr>
      <w:rFonts w:ascii="黑体" w:eastAsia="黑体"/>
      <w:b w:val="0"/>
    </w:rPr>
  </w:style>
  <w:style w:type="paragraph" w:customStyle="1" w:styleId="157">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8">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9">
    <w:name w:val="实施日期"/>
    <w:basedOn w:val="125"/>
    <w:qFormat/>
    <w:uiPriority w:val="0"/>
    <w:pPr>
      <w:framePr w:hSpace="0" w:wrap="around" w:xAlign="right"/>
      <w:jc w:val="right"/>
    </w:pPr>
  </w:style>
  <w:style w:type="paragraph" w:customStyle="1" w:styleId="160">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1">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2">
    <w:name w:val="无标题条"/>
    <w:next w:val="61"/>
    <w:qFormat/>
    <w:uiPriority w:val="0"/>
    <w:pPr>
      <w:jc w:val="both"/>
    </w:pPr>
    <w:rPr>
      <w:rFonts w:ascii="宋体" w:hAnsi="宋体" w:eastAsia="宋体" w:cs="Times New Roman"/>
      <w:sz w:val="21"/>
      <w:lang w:val="en-US" w:eastAsia="zh-CN" w:bidi="ar-SA"/>
    </w:rPr>
  </w:style>
  <w:style w:type="paragraph" w:customStyle="1" w:styleId="163">
    <w:name w:val="五级无标题条"/>
    <w:basedOn w:val="1"/>
    <w:qFormat/>
    <w:uiPriority w:val="0"/>
    <w:pPr>
      <w:numPr>
        <w:ilvl w:val="6"/>
        <w:numId w:val="20"/>
      </w:numPr>
      <w:adjustRightInd/>
    </w:pPr>
    <w:rPr>
      <w:szCs w:val="24"/>
    </w:rPr>
  </w:style>
  <w:style w:type="paragraph" w:customStyle="1" w:styleId="164">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5">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6">
    <w:name w:val="注×:后续"/>
    <w:basedOn w:val="165"/>
    <w:qFormat/>
    <w:uiPriority w:val="0"/>
    <w:pPr>
      <w:ind w:left="1406" w:leftChars="0" w:hanging="499" w:firstLineChars="0"/>
    </w:pPr>
  </w:style>
  <w:style w:type="paragraph" w:customStyle="1" w:styleId="167">
    <w:name w:val="标准文件_一级无标题"/>
    <w:basedOn w:val="110"/>
    <w:qFormat/>
    <w:uiPriority w:val="0"/>
    <w:pPr>
      <w:spacing w:beforeLines="0" w:afterLines="0"/>
      <w:outlineLvl w:val="9"/>
    </w:pPr>
    <w:rPr>
      <w:rFonts w:ascii="宋体" w:eastAsia="宋体"/>
    </w:rPr>
  </w:style>
  <w:style w:type="paragraph" w:customStyle="1" w:styleId="168">
    <w:name w:val="标准文件_五级无标题"/>
    <w:basedOn w:val="108"/>
    <w:qFormat/>
    <w:uiPriority w:val="0"/>
    <w:pPr>
      <w:spacing w:beforeLines="0" w:afterLines="0"/>
      <w:outlineLvl w:val="9"/>
    </w:pPr>
    <w:rPr>
      <w:rFonts w:ascii="宋体" w:eastAsia="宋体"/>
    </w:rPr>
  </w:style>
  <w:style w:type="paragraph" w:customStyle="1" w:styleId="169">
    <w:name w:val="标准文件_三级无标题"/>
    <w:basedOn w:val="99"/>
    <w:qFormat/>
    <w:uiPriority w:val="0"/>
    <w:pPr>
      <w:spacing w:beforeLines="0" w:afterLines="0"/>
      <w:outlineLvl w:val="9"/>
    </w:pPr>
    <w:rPr>
      <w:rFonts w:ascii="宋体" w:eastAsia="宋体"/>
    </w:rPr>
  </w:style>
  <w:style w:type="paragraph" w:customStyle="1" w:styleId="170">
    <w:name w:val="标准文件_二级无标题"/>
    <w:basedOn w:val="70"/>
    <w:qFormat/>
    <w:uiPriority w:val="0"/>
    <w:pPr>
      <w:spacing w:beforeLines="0" w:afterLines="0"/>
      <w:outlineLvl w:val="9"/>
    </w:pPr>
    <w:rPr>
      <w:rFonts w:ascii="宋体" w:eastAsia="宋体"/>
    </w:rPr>
  </w:style>
  <w:style w:type="paragraph" w:customStyle="1" w:styleId="171">
    <w:name w:val="标准_四级无标题"/>
    <w:basedOn w:val="103"/>
    <w:next w:val="61"/>
    <w:qFormat/>
    <w:uiPriority w:val="0"/>
    <w:rPr>
      <w:rFonts w:eastAsia="宋体"/>
    </w:rPr>
  </w:style>
  <w:style w:type="paragraph" w:customStyle="1" w:styleId="172">
    <w:name w:val="标准文件_四级无标题"/>
    <w:basedOn w:val="103"/>
    <w:qFormat/>
    <w:uiPriority w:val="0"/>
    <w:pPr>
      <w:spacing w:beforeLines="0" w:afterLines="0"/>
      <w:outlineLvl w:val="9"/>
    </w:pPr>
    <w:rPr>
      <w:rFonts w:ascii="宋体" w:hAnsi="黑体" w:eastAsia="宋体"/>
      <w:szCs w:val="52"/>
    </w:rPr>
  </w:style>
  <w:style w:type="paragraph" w:customStyle="1" w:styleId="173">
    <w:name w:val="标准文件_大写罗马数字编号列项"/>
    <w:basedOn w:val="61"/>
    <w:qFormat/>
    <w:uiPriority w:val="0"/>
    <w:pPr>
      <w:numPr>
        <w:ilvl w:val="0"/>
        <w:numId w:val="23"/>
      </w:numPr>
      <w:ind w:firstLine="0" w:firstLineChars="0"/>
    </w:pPr>
    <w:rPr>
      <w:rFonts w:ascii="Times New Roman" w:cs="Arial"/>
      <w:szCs w:val="28"/>
    </w:rPr>
  </w:style>
  <w:style w:type="paragraph" w:customStyle="1" w:styleId="174">
    <w:name w:val="标准文件_小写罗马数字编号列项"/>
    <w:basedOn w:val="61"/>
    <w:qFormat/>
    <w:uiPriority w:val="0"/>
    <w:pPr>
      <w:numPr>
        <w:ilvl w:val="0"/>
        <w:numId w:val="24"/>
      </w:numPr>
      <w:ind w:firstLine="0" w:firstLineChars="0"/>
    </w:pPr>
    <w:rPr>
      <w:rFonts w:cs="Arial"/>
      <w:szCs w:val="28"/>
    </w:rPr>
  </w:style>
  <w:style w:type="paragraph" w:customStyle="1" w:styleId="175">
    <w:name w:val="标准文件_附录标题"/>
    <w:basedOn w:val="81"/>
    <w:qFormat/>
    <w:uiPriority w:val="0"/>
    <w:pPr>
      <w:numPr>
        <w:numId w:val="0"/>
      </w:numPr>
      <w:spacing w:after="280"/>
      <w:outlineLvl w:val="9"/>
    </w:pPr>
  </w:style>
  <w:style w:type="paragraph" w:customStyle="1" w:styleId="176">
    <w:name w:val="标准文件_二级项"/>
    <w:qFormat/>
    <w:uiPriority w:val="0"/>
    <w:rPr>
      <w:rFonts w:ascii="宋体" w:hAnsi="Times New Roman" w:eastAsia="宋体" w:cs="Times New Roman"/>
      <w:sz w:val="21"/>
      <w:lang w:val="en-US" w:eastAsia="zh-CN" w:bidi="ar-SA"/>
    </w:rPr>
  </w:style>
  <w:style w:type="paragraph" w:customStyle="1" w:styleId="177">
    <w:name w:val="标准文件_三级项"/>
    <w:basedOn w:val="1"/>
    <w:qFormat/>
    <w:uiPriority w:val="0"/>
    <w:pPr>
      <w:numPr>
        <w:ilvl w:val="2"/>
        <w:numId w:val="21"/>
      </w:numPr>
      <w:spacing w:line="536870612" w:lineRule="auto"/>
    </w:pPr>
    <w:rPr>
      <w:rFonts w:ascii="Times New Roman" w:hAnsi="Times New Roman"/>
    </w:rPr>
  </w:style>
  <w:style w:type="paragraph" w:customStyle="1" w:styleId="178">
    <w:name w:val="图表脚注说明"/>
    <w:basedOn w:val="1"/>
    <w:next w:val="61"/>
    <w:qFormat/>
    <w:uiPriority w:val="0"/>
    <w:pPr>
      <w:numPr>
        <w:ilvl w:val="0"/>
        <w:numId w:val="25"/>
      </w:numPr>
      <w:adjustRightInd/>
      <w:spacing w:line="240" w:lineRule="auto"/>
      <w:ind w:left="783"/>
    </w:pPr>
    <w:rPr>
      <w:rFonts w:ascii="宋体" w:hAnsi="Times New Roman"/>
      <w:sz w:val="18"/>
      <w:szCs w:val="18"/>
    </w:rPr>
  </w:style>
  <w:style w:type="paragraph" w:customStyle="1" w:styleId="179">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80">
    <w:name w:val="标准文件_索引字母"/>
    <w:next w:val="61"/>
    <w:qFormat/>
    <w:uiPriority w:val="0"/>
    <w:pPr>
      <w:jc w:val="center"/>
    </w:pPr>
    <w:rPr>
      <w:rFonts w:ascii="宋体" w:hAnsi="宋体" w:eastAsia="Times New Roman" w:cs="Times New Roman"/>
      <w:b/>
      <w:kern w:val="2"/>
      <w:sz w:val="21"/>
      <w:lang w:val="en-US" w:eastAsia="zh-CN" w:bidi="ar-SA"/>
    </w:rPr>
  </w:style>
  <w:style w:type="paragraph" w:customStyle="1" w:styleId="181">
    <w:name w:val="标准文件_附录前"/>
    <w:next w:val="61"/>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2">
    <w:name w:val="标准文件_正文标准名称"/>
    <w:qFormat/>
    <w:uiPriority w:val="0"/>
    <w:pPr>
      <w:spacing w:beforeLines="20" w:after="640" w:line="400" w:lineRule="exact"/>
      <w:jc w:val="center"/>
    </w:pPr>
    <w:rPr>
      <w:rFonts w:ascii="黑体" w:hAnsi="黑体" w:eastAsia="黑体" w:cs="Times New Roman"/>
      <w:kern w:val="2"/>
      <w:sz w:val="32"/>
      <w:szCs w:val="32"/>
      <w:lang w:val="en-US" w:eastAsia="zh-CN" w:bidi="ar-SA"/>
    </w:rPr>
  </w:style>
  <w:style w:type="paragraph" w:customStyle="1" w:styleId="183">
    <w:name w:val="标准文件_表格"/>
    <w:basedOn w:val="61"/>
    <w:qFormat/>
    <w:uiPriority w:val="0"/>
    <w:pPr>
      <w:ind w:firstLine="0" w:firstLineChars="0"/>
      <w:jc w:val="center"/>
    </w:pPr>
    <w:rPr>
      <w:sz w:val="18"/>
    </w:rPr>
  </w:style>
  <w:style w:type="paragraph" w:customStyle="1" w:styleId="184">
    <w:name w:val="标准文件_注："/>
    <w:next w:val="61"/>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6">
    <w:name w:val="标准文件_示例："/>
    <w:next w:val="187"/>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7">
    <w:name w:val="标准文件_示例内容"/>
    <w:basedOn w:val="61"/>
    <w:qFormat/>
    <w:uiPriority w:val="0"/>
    <w:pPr>
      <w:ind w:firstLine="420"/>
    </w:pPr>
    <w:rPr>
      <w:sz w:val="18"/>
    </w:rPr>
  </w:style>
  <w:style w:type="paragraph" w:customStyle="1" w:styleId="188">
    <w:name w:val="标准文件_示例×："/>
    <w:basedOn w:val="1"/>
    <w:next w:val="187"/>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9">
    <w:name w:val="标准文件_段 Char"/>
    <w:link w:val="61"/>
    <w:qFormat/>
    <w:uiPriority w:val="0"/>
    <w:rPr>
      <w:rFonts w:ascii="宋体" w:hAnsi="Times New Roman"/>
      <w:sz w:val="21"/>
    </w:rPr>
  </w:style>
  <w:style w:type="paragraph" w:customStyle="1" w:styleId="190">
    <w:name w:val="标准文件_表格续"/>
    <w:basedOn w:val="61"/>
    <w:next w:val="61"/>
    <w:qFormat/>
    <w:uiPriority w:val="0"/>
    <w:pPr>
      <w:jc w:val="center"/>
    </w:pPr>
    <w:rPr>
      <w:rFonts w:ascii="黑体" w:hAnsi="黑体" w:eastAsia="黑体"/>
    </w:rPr>
  </w:style>
  <w:style w:type="character" w:styleId="191">
    <w:name w:val="Placeholder Text"/>
    <w:basedOn w:val="32"/>
    <w:semiHidden/>
    <w:qFormat/>
    <w:uiPriority w:val="99"/>
    <w:rPr>
      <w:color w:val="808080"/>
    </w:rPr>
  </w:style>
  <w:style w:type="paragraph" w:customStyle="1" w:styleId="192">
    <w:name w:val="标准文件_二级项2"/>
    <w:basedOn w:val="61"/>
    <w:qFormat/>
    <w:uiPriority w:val="0"/>
    <w:pPr>
      <w:numPr>
        <w:ilvl w:val="1"/>
        <w:numId w:val="21"/>
      </w:numPr>
      <w:ind w:left="1271" w:hanging="420" w:firstLineChars="0"/>
    </w:pPr>
  </w:style>
  <w:style w:type="paragraph" w:customStyle="1" w:styleId="193">
    <w:name w:val="标准文件_三级项2"/>
    <w:basedOn w:val="61"/>
    <w:qFormat/>
    <w:uiPriority w:val="0"/>
    <w:pPr>
      <w:numPr>
        <w:ilvl w:val="0"/>
        <w:numId w:val="30"/>
      </w:numPr>
      <w:spacing w:line="300" w:lineRule="exact"/>
      <w:ind w:left="1276" w:hanging="425" w:firstLineChars="0"/>
    </w:pPr>
    <w:rPr>
      <w:rFonts w:ascii="Times New Roman"/>
    </w:rPr>
  </w:style>
  <w:style w:type="paragraph" w:customStyle="1" w:styleId="194">
    <w:name w:val="标准文件_一级项2"/>
    <w:basedOn w:val="61"/>
    <w:qFormat/>
    <w:uiPriority w:val="0"/>
    <w:pPr>
      <w:numPr>
        <w:ilvl w:val="0"/>
        <w:numId w:val="31"/>
      </w:numPr>
      <w:spacing w:line="300" w:lineRule="exact"/>
      <w:ind w:left="1271" w:hanging="420" w:firstLineChars="0"/>
    </w:pPr>
    <w:rPr>
      <w:rFonts w:ascii="Times New Roman"/>
    </w:rPr>
  </w:style>
  <w:style w:type="paragraph" w:customStyle="1" w:styleId="195">
    <w:name w:val="标准文件_提示"/>
    <w:basedOn w:val="61"/>
    <w:next w:val="61"/>
    <w:qFormat/>
    <w:uiPriority w:val="0"/>
    <w:pPr>
      <w:ind w:firstLine="420"/>
    </w:pPr>
    <w:rPr>
      <w:rFonts w:ascii="黑体" w:eastAsia="黑体"/>
    </w:rPr>
  </w:style>
  <w:style w:type="character" w:customStyle="1" w:styleId="196">
    <w:name w:val="标准文件_来源"/>
    <w:basedOn w:val="32"/>
    <w:qFormat/>
    <w:uiPriority w:val="1"/>
    <w:rPr>
      <w:rFonts w:eastAsia="宋体"/>
      <w:sz w:val="21"/>
    </w:rPr>
  </w:style>
  <w:style w:type="paragraph" w:customStyle="1" w:styleId="197">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8">
    <w:name w:val="其他发布日期"/>
    <w:basedOn w:val="125"/>
    <w:qFormat/>
    <w:uiPriority w:val="0"/>
    <w:pPr>
      <w:framePr w:w="3997" w:h="471" w:hRule="exact" w:hSpace="0" w:vSpace="181" w:wrap="around" w:vAnchor="page" w:hAnchor="page" w:x="1419" w:y="14097"/>
    </w:pPr>
  </w:style>
  <w:style w:type="paragraph" w:customStyle="1" w:styleId="199">
    <w:name w:val="其他实施日期"/>
    <w:basedOn w:val="159"/>
    <w:qFormat/>
    <w:uiPriority w:val="0"/>
    <w:pPr>
      <w:framePr w:w="3997" w:h="471" w:hRule="exact" w:vSpace="181" w:wrap="around" w:vAnchor="page" w:hAnchor="page" w:x="7089" w:y="14097"/>
    </w:pPr>
  </w:style>
  <w:style w:type="paragraph" w:customStyle="1" w:styleId="200">
    <w:name w:val="标准文件_文件编号"/>
    <w:basedOn w:val="61"/>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1">
    <w:name w:val="标准文件_替换文件编号"/>
    <w:basedOn w:val="200"/>
    <w:qFormat/>
    <w:uiPriority w:val="0"/>
    <w:pPr>
      <w:framePr/>
      <w:spacing w:before="57"/>
    </w:pPr>
    <w:rPr>
      <w:sz w:val="21"/>
    </w:rPr>
  </w:style>
  <w:style w:type="paragraph" w:customStyle="1" w:styleId="202">
    <w:name w:val="标准文件_文件名称"/>
    <w:basedOn w:val="61"/>
    <w:next w:val="61"/>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3">
    <w:name w:val="标准文件_附录图标号"/>
    <w:basedOn w:val="61"/>
    <w:next w:val="61"/>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4">
    <w:name w:val="标准文件_附录表标号"/>
    <w:basedOn w:val="61"/>
    <w:next w:val="61"/>
    <w:qFormat/>
    <w:uiPriority w:val="0"/>
    <w:pPr>
      <w:numPr>
        <w:ilvl w:val="0"/>
        <w:numId w:val="5"/>
      </w:numPr>
      <w:spacing w:line="14" w:lineRule="exact"/>
      <w:ind w:firstLine="0" w:firstLineChars="0"/>
      <w:jc w:val="center"/>
    </w:pPr>
    <w:rPr>
      <w:rFonts w:eastAsia="黑体"/>
      <w:vanish/>
      <w:sz w:val="2"/>
    </w:rPr>
  </w:style>
  <w:style w:type="paragraph" w:customStyle="1" w:styleId="205">
    <w:name w:val="标准文件_引言一级条标题"/>
    <w:basedOn w:val="61"/>
    <w:next w:val="61"/>
    <w:qFormat/>
    <w:uiPriority w:val="0"/>
    <w:pPr>
      <w:numPr>
        <w:ilvl w:val="1"/>
        <w:numId w:val="8"/>
      </w:numPr>
      <w:spacing w:beforeLines="50" w:afterLines="50"/>
      <w:ind w:firstLineChars="0"/>
    </w:pPr>
    <w:rPr>
      <w:rFonts w:ascii="黑体" w:eastAsia="黑体"/>
    </w:rPr>
  </w:style>
  <w:style w:type="paragraph" w:customStyle="1" w:styleId="206">
    <w:name w:val="标准文件_引言二级条标题"/>
    <w:basedOn w:val="61"/>
    <w:next w:val="61"/>
    <w:qFormat/>
    <w:uiPriority w:val="0"/>
    <w:pPr>
      <w:numPr>
        <w:ilvl w:val="2"/>
        <w:numId w:val="8"/>
      </w:numPr>
      <w:spacing w:beforeLines="50" w:afterLines="50"/>
      <w:ind w:firstLineChars="0"/>
    </w:pPr>
    <w:rPr>
      <w:rFonts w:ascii="黑体" w:eastAsia="黑体"/>
    </w:rPr>
  </w:style>
  <w:style w:type="paragraph" w:customStyle="1" w:styleId="207">
    <w:name w:val="标准文件_引言三级条标题"/>
    <w:basedOn w:val="61"/>
    <w:next w:val="61"/>
    <w:qFormat/>
    <w:uiPriority w:val="0"/>
    <w:pPr>
      <w:numPr>
        <w:ilvl w:val="3"/>
        <w:numId w:val="8"/>
      </w:numPr>
      <w:spacing w:beforeLines="50" w:afterLines="50"/>
      <w:ind w:firstLineChars="0"/>
    </w:pPr>
    <w:rPr>
      <w:rFonts w:ascii="黑体" w:eastAsia="黑体"/>
    </w:rPr>
  </w:style>
  <w:style w:type="paragraph" w:customStyle="1" w:styleId="208">
    <w:name w:val="标准文件_引言四级条标题"/>
    <w:basedOn w:val="61"/>
    <w:next w:val="61"/>
    <w:qFormat/>
    <w:uiPriority w:val="0"/>
    <w:pPr>
      <w:numPr>
        <w:ilvl w:val="4"/>
        <w:numId w:val="8"/>
      </w:numPr>
      <w:spacing w:beforeLines="50" w:afterLines="50"/>
      <w:ind w:firstLineChars="0"/>
    </w:pPr>
    <w:rPr>
      <w:rFonts w:ascii="黑体" w:eastAsia="黑体"/>
    </w:rPr>
  </w:style>
  <w:style w:type="paragraph" w:customStyle="1" w:styleId="209">
    <w:name w:val="标准文件_引言五级条标题"/>
    <w:basedOn w:val="61"/>
    <w:next w:val="61"/>
    <w:qFormat/>
    <w:uiPriority w:val="0"/>
    <w:pPr>
      <w:numPr>
        <w:ilvl w:val="5"/>
        <w:numId w:val="8"/>
      </w:numPr>
      <w:spacing w:beforeLines="50" w:afterLines="50"/>
      <w:ind w:firstLineChars="0"/>
    </w:pPr>
    <w:rPr>
      <w:rFonts w:ascii="黑体" w:eastAsia="黑体"/>
    </w:rPr>
  </w:style>
  <w:style w:type="paragraph" w:customStyle="1" w:styleId="210">
    <w:name w:val="标准文件_注后"/>
    <w:basedOn w:val="61"/>
    <w:qFormat/>
    <w:uiPriority w:val="0"/>
    <w:pPr>
      <w:ind w:left="811" w:firstLine="0" w:firstLineChars="0"/>
    </w:pPr>
    <w:rPr>
      <w:sz w:val="18"/>
    </w:rPr>
  </w:style>
  <w:style w:type="paragraph" w:customStyle="1" w:styleId="211">
    <w:name w:val="标准文件_注X后"/>
    <w:basedOn w:val="61"/>
    <w:qFormat/>
    <w:uiPriority w:val="0"/>
    <w:pPr>
      <w:ind w:left="811" w:firstLine="0" w:firstLineChars="0"/>
    </w:pPr>
    <w:rPr>
      <w:sz w:val="18"/>
    </w:rPr>
  </w:style>
  <w:style w:type="paragraph" w:customStyle="1" w:styleId="212">
    <w:name w:val="标准文件_示例后"/>
    <w:basedOn w:val="61"/>
    <w:qFormat/>
    <w:uiPriority w:val="0"/>
    <w:pPr>
      <w:ind w:left="964" w:firstLine="0" w:firstLineChars="0"/>
    </w:pPr>
    <w:rPr>
      <w:sz w:val="18"/>
    </w:rPr>
  </w:style>
  <w:style w:type="paragraph" w:customStyle="1" w:styleId="213">
    <w:name w:val="标准文件_示例X后"/>
    <w:basedOn w:val="61"/>
    <w:link w:val="214"/>
    <w:qFormat/>
    <w:uiPriority w:val="0"/>
    <w:pPr>
      <w:ind w:left="1049" w:firstLine="0" w:firstLineChars="0"/>
    </w:pPr>
    <w:rPr>
      <w:sz w:val="18"/>
    </w:rPr>
  </w:style>
  <w:style w:type="character" w:customStyle="1" w:styleId="214">
    <w:name w:val="标准文件_示例X后 字符"/>
    <w:basedOn w:val="189"/>
    <w:link w:val="213"/>
    <w:qFormat/>
    <w:uiPriority w:val="0"/>
    <w:rPr>
      <w:rFonts w:ascii="宋体" w:hAnsi="Times New Roman"/>
      <w:sz w:val="18"/>
    </w:rPr>
  </w:style>
  <w:style w:type="paragraph" w:customStyle="1" w:styleId="215">
    <w:name w:val="标准文件_索引项"/>
    <w:basedOn w:val="61"/>
    <w:next w:val="61"/>
    <w:qFormat/>
    <w:uiPriority w:val="0"/>
    <w:pPr>
      <w:tabs>
        <w:tab w:val="right" w:leader="dot" w:pos="9356"/>
      </w:tabs>
      <w:ind w:left="210" w:hanging="210" w:firstLineChars="0"/>
      <w:jc w:val="left"/>
    </w:pPr>
  </w:style>
  <w:style w:type="paragraph" w:customStyle="1" w:styleId="216">
    <w:name w:val="标准文件_附录一级无标题"/>
    <w:basedOn w:val="83"/>
    <w:qFormat/>
    <w:uiPriority w:val="0"/>
    <w:pPr>
      <w:spacing w:beforeLines="0" w:afterLines="0" w:line="276" w:lineRule="auto"/>
      <w:outlineLvl w:val="9"/>
    </w:pPr>
    <w:rPr>
      <w:rFonts w:ascii="宋体" w:eastAsia="宋体"/>
    </w:rPr>
  </w:style>
  <w:style w:type="paragraph" w:customStyle="1" w:styleId="217">
    <w:name w:val="标准文件_附录二级无标题"/>
    <w:basedOn w:val="84"/>
    <w:qFormat/>
    <w:uiPriority w:val="0"/>
    <w:pPr>
      <w:spacing w:beforeLines="0" w:afterLines="0" w:line="276" w:lineRule="auto"/>
      <w:outlineLvl w:val="9"/>
    </w:pPr>
    <w:rPr>
      <w:rFonts w:ascii="宋体" w:eastAsia="宋体"/>
    </w:rPr>
  </w:style>
  <w:style w:type="paragraph" w:customStyle="1" w:styleId="218">
    <w:name w:val="标准文件_附录三级无标题"/>
    <w:basedOn w:val="86"/>
    <w:qFormat/>
    <w:uiPriority w:val="0"/>
    <w:pPr>
      <w:spacing w:beforeLines="0" w:afterLines="0" w:line="276" w:lineRule="auto"/>
      <w:outlineLvl w:val="9"/>
    </w:pPr>
    <w:rPr>
      <w:rFonts w:ascii="宋体" w:eastAsia="宋体"/>
    </w:rPr>
  </w:style>
  <w:style w:type="paragraph" w:customStyle="1" w:styleId="219">
    <w:name w:val="标准文件_附录四级无标题"/>
    <w:basedOn w:val="87"/>
    <w:qFormat/>
    <w:uiPriority w:val="0"/>
    <w:pPr>
      <w:spacing w:beforeLines="0" w:afterLines="0" w:line="276" w:lineRule="auto"/>
      <w:outlineLvl w:val="9"/>
    </w:pPr>
    <w:rPr>
      <w:rFonts w:ascii="宋体" w:eastAsia="宋体"/>
    </w:rPr>
  </w:style>
  <w:style w:type="paragraph" w:customStyle="1" w:styleId="220">
    <w:name w:val="标准文件_附录五级无标题"/>
    <w:basedOn w:val="89"/>
    <w:qFormat/>
    <w:uiPriority w:val="0"/>
    <w:pPr>
      <w:spacing w:beforeLines="0" w:afterLines="0" w:line="276" w:lineRule="auto"/>
      <w:outlineLvl w:val="9"/>
    </w:pPr>
    <w:rPr>
      <w:rFonts w:ascii="宋体" w:eastAsia="宋体"/>
    </w:rPr>
  </w:style>
  <w:style w:type="paragraph" w:customStyle="1" w:styleId="221">
    <w:name w:val="标准文件_引言一级无标题"/>
    <w:basedOn w:val="205"/>
    <w:next w:val="61"/>
    <w:qFormat/>
    <w:uiPriority w:val="0"/>
    <w:pPr>
      <w:spacing w:beforeLines="0" w:afterLines="0" w:line="276" w:lineRule="auto"/>
    </w:pPr>
    <w:rPr>
      <w:rFonts w:ascii="宋体" w:eastAsia="宋体"/>
    </w:rPr>
  </w:style>
  <w:style w:type="paragraph" w:customStyle="1" w:styleId="222">
    <w:name w:val="标准文件_引言二级无标题"/>
    <w:basedOn w:val="206"/>
    <w:next w:val="61"/>
    <w:qFormat/>
    <w:uiPriority w:val="0"/>
    <w:pPr>
      <w:spacing w:beforeLines="0" w:afterLines="0" w:line="276" w:lineRule="auto"/>
    </w:pPr>
    <w:rPr>
      <w:rFonts w:ascii="宋体" w:eastAsia="宋体"/>
    </w:rPr>
  </w:style>
  <w:style w:type="paragraph" w:customStyle="1" w:styleId="223">
    <w:name w:val="标准文件_引言三级无标题"/>
    <w:basedOn w:val="207"/>
    <w:next w:val="61"/>
    <w:qFormat/>
    <w:uiPriority w:val="0"/>
    <w:pPr>
      <w:spacing w:beforeLines="0" w:afterLines="0" w:line="276" w:lineRule="auto"/>
    </w:pPr>
    <w:rPr>
      <w:rFonts w:ascii="宋体" w:eastAsia="宋体"/>
    </w:rPr>
  </w:style>
  <w:style w:type="paragraph" w:customStyle="1" w:styleId="224">
    <w:name w:val="标准文件_引言四级无标题"/>
    <w:basedOn w:val="208"/>
    <w:next w:val="61"/>
    <w:qFormat/>
    <w:uiPriority w:val="0"/>
    <w:pPr>
      <w:spacing w:beforeLines="0" w:afterLines="0" w:line="276" w:lineRule="auto"/>
    </w:pPr>
    <w:rPr>
      <w:rFonts w:ascii="宋体" w:eastAsia="宋体"/>
    </w:rPr>
  </w:style>
  <w:style w:type="paragraph" w:customStyle="1" w:styleId="225">
    <w:name w:val="标准文件_引言五级无标题"/>
    <w:basedOn w:val="209"/>
    <w:next w:val="61"/>
    <w:qFormat/>
    <w:uiPriority w:val="0"/>
    <w:pPr>
      <w:spacing w:beforeLines="0" w:afterLines="0" w:line="276" w:lineRule="auto"/>
    </w:pPr>
    <w:rPr>
      <w:rFonts w:ascii="宋体" w:eastAsia="宋体"/>
    </w:rPr>
  </w:style>
  <w:style w:type="paragraph" w:customStyle="1" w:styleId="226">
    <w:name w:val="标准文件_索引标题"/>
    <w:basedOn w:val="68"/>
    <w:next w:val="61"/>
    <w:qFormat/>
    <w:uiPriority w:val="0"/>
    <w:rPr>
      <w:rFonts w:hAnsi="黑体"/>
    </w:rPr>
  </w:style>
  <w:style w:type="paragraph" w:customStyle="1" w:styleId="227">
    <w:name w:val="标准文件_脚注内容"/>
    <w:basedOn w:val="61"/>
    <w:qFormat/>
    <w:uiPriority w:val="0"/>
    <w:pPr>
      <w:ind w:left="400" w:leftChars="200" w:hanging="200" w:hangingChars="200"/>
    </w:pPr>
    <w:rPr>
      <w:sz w:val="15"/>
    </w:rPr>
  </w:style>
  <w:style w:type="paragraph" w:customStyle="1" w:styleId="228">
    <w:name w:val="标准文件_术语条一"/>
    <w:basedOn w:val="167"/>
    <w:next w:val="61"/>
    <w:qFormat/>
    <w:uiPriority w:val="0"/>
  </w:style>
  <w:style w:type="paragraph" w:customStyle="1" w:styleId="229">
    <w:name w:val="标准文件_术语条二"/>
    <w:basedOn w:val="170"/>
    <w:next w:val="61"/>
    <w:qFormat/>
    <w:uiPriority w:val="0"/>
  </w:style>
  <w:style w:type="paragraph" w:customStyle="1" w:styleId="230">
    <w:name w:val="标准文件_术语条三"/>
    <w:basedOn w:val="169"/>
    <w:next w:val="61"/>
    <w:qFormat/>
    <w:uiPriority w:val="0"/>
  </w:style>
  <w:style w:type="paragraph" w:customStyle="1" w:styleId="231">
    <w:name w:val="标准文件_术语条四"/>
    <w:basedOn w:val="172"/>
    <w:next w:val="61"/>
    <w:qFormat/>
    <w:uiPriority w:val="0"/>
  </w:style>
  <w:style w:type="paragraph" w:customStyle="1" w:styleId="232">
    <w:name w:val="标准文件_术语条五"/>
    <w:basedOn w:val="168"/>
    <w:next w:val="61"/>
    <w:qFormat/>
    <w:uiPriority w:val="0"/>
  </w:style>
  <w:style w:type="paragraph" w:customStyle="1" w:styleId="233">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4">
    <w:name w:val="发布"/>
    <w:basedOn w:val="32"/>
    <w:qFormat/>
    <w:uiPriority w:val="0"/>
    <w:rPr>
      <w:rFonts w:ascii="黑体" w:eastAsia="黑体"/>
      <w:spacing w:val="85"/>
      <w:w w:val="100"/>
      <w:position w:val="3"/>
      <w:sz w:val="28"/>
      <w:szCs w:val="28"/>
    </w:rPr>
  </w:style>
  <w:style w:type="character" w:customStyle="1" w:styleId="235">
    <w:name w:val="fontstyle01"/>
    <w:qFormat/>
    <w:uiPriority w:val="0"/>
    <w:rPr>
      <w:rFonts w:hint="eastAsia" w:ascii="宋体" w:hAnsi="宋体" w:eastAsia="宋体"/>
      <w:color w:val="000000"/>
      <w:sz w:val="22"/>
      <w:szCs w:val="22"/>
    </w:rPr>
  </w:style>
  <w:style w:type="paragraph" w:customStyle="1" w:styleId="236">
    <w:name w:val="段"/>
    <w:link w:val="237"/>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37">
    <w:name w:val="段 Char"/>
    <w:basedOn w:val="32"/>
    <w:link w:val="236"/>
    <w:qFormat/>
    <w:uiPriority w:val="0"/>
    <w:rPr>
      <w:rFonts w:ascii="宋体" w:hAnsi="Times New Roman"/>
      <w:sz w:val="21"/>
    </w:rPr>
  </w:style>
  <w:style w:type="paragraph" w:customStyle="1" w:styleId="238">
    <w:name w:val="数字编号列项（二级）"/>
    <w:qFormat/>
    <w:uiPriority w:val="0"/>
    <w:pPr>
      <w:numPr>
        <w:ilvl w:val="1"/>
        <w:numId w:val="32"/>
      </w:numPr>
      <w:jc w:val="both"/>
    </w:pPr>
    <w:rPr>
      <w:rFonts w:ascii="宋体" w:hAnsi="Times New Roman" w:eastAsia="宋体" w:cs="Times New Roman"/>
      <w:sz w:val="21"/>
      <w:lang w:val="en-US" w:eastAsia="zh-CN" w:bidi="ar-SA"/>
    </w:rPr>
  </w:style>
  <w:style w:type="paragraph" w:customStyle="1" w:styleId="239">
    <w:name w:val="字母编号列项（一级）"/>
    <w:qFormat/>
    <w:uiPriority w:val="0"/>
    <w:pPr>
      <w:numPr>
        <w:ilvl w:val="0"/>
        <w:numId w:val="32"/>
      </w:numPr>
      <w:jc w:val="both"/>
    </w:pPr>
    <w:rPr>
      <w:rFonts w:ascii="宋体" w:hAnsi="Times New Roman" w:eastAsia="宋体" w:cs="Times New Roman"/>
      <w:sz w:val="21"/>
      <w:lang w:val="en-US" w:eastAsia="zh-CN" w:bidi="ar-SA"/>
    </w:rPr>
  </w:style>
  <w:style w:type="paragraph" w:styleId="240">
    <w:name w:val="List Paragraph"/>
    <w:basedOn w:val="1"/>
    <w:qFormat/>
    <w:uiPriority w:val="34"/>
    <w:pPr>
      <w:ind w:firstLine="420" w:firstLineChars="200"/>
    </w:pPr>
  </w:style>
  <w:style w:type="paragraph" w:customStyle="1" w:styleId="241">
    <w:name w:val="修订1"/>
    <w:hidden/>
    <w:semiHidden/>
    <w:qFormat/>
    <w:uiPriority w:val="99"/>
    <w:rPr>
      <w:rFonts w:ascii="Calibri" w:hAnsi="Calibri" w:eastAsia="宋体" w:cs="Times New Roman"/>
      <w:kern w:val="2"/>
      <w:sz w:val="21"/>
      <w:szCs w:val="21"/>
      <w:lang w:val="en-US" w:eastAsia="zh-CN" w:bidi="ar-SA"/>
    </w:rPr>
  </w:style>
  <w:style w:type="character" w:customStyle="1" w:styleId="242">
    <w:name w:val="批注文字 字符"/>
    <w:basedOn w:val="32"/>
    <w:link w:val="14"/>
    <w:qFormat/>
    <w:uiPriority w:val="99"/>
    <w:rPr>
      <w:kern w:val="2"/>
      <w:sz w:val="21"/>
      <w:szCs w:val="21"/>
    </w:rPr>
  </w:style>
  <w:style w:type="character" w:customStyle="1" w:styleId="243">
    <w:name w:val="批注主题 字符"/>
    <w:basedOn w:val="242"/>
    <w:link w:val="29"/>
    <w:semiHidden/>
    <w:qFormat/>
    <w:uiPriority w:val="99"/>
    <w:rPr>
      <w:b/>
      <w:bCs/>
      <w:kern w:val="2"/>
      <w:sz w:val="21"/>
      <w:szCs w:val="21"/>
    </w:rPr>
  </w:style>
  <w:style w:type="table" w:customStyle="1" w:styleId="244">
    <w:name w:val="Table Normal1"/>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5">
    <w:name w:val="Table Paragraph"/>
    <w:basedOn w:val="1"/>
    <w:qFormat/>
    <w:uiPriority w:val="1"/>
    <w:pPr>
      <w:autoSpaceDE w:val="0"/>
      <w:autoSpaceDN w:val="0"/>
      <w:adjustRightInd/>
      <w:spacing w:line="240" w:lineRule="auto"/>
      <w:jc w:val="left"/>
    </w:pPr>
    <w:rPr>
      <w:rFonts w:ascii="宋体" w:hAnsi="宋体" w:cs="宋体"/>
      <w:kern w:val="0"/>
      <w:sz w:val="22"/>
      <w:szCs w:val="22"/>
      <w:lang w:eastAsia="en-US"/>
    </w:rPr>
  </w:style>
  <w:style w:type="character" w:customStyle="1" w:styleId="246">
    <w:name w:val="日期 字符"/>
    <w:basedOn w:val="32"/>
    <w:link w:val="18"/>
    <w:semiHidden/>
    <w:qFormat/>
    <w:uiPriority w:val="99"/>
    <w:rPr>
      <w:kern w:val="2"/>
      <w:sz w:val="21"/>
      <w:szCs w:val="21"/>
    </w:rPr>
  </w:style>
  <w:style w:type="character" w:customStyle="1" w:styleId="247">
    <w:name w:val="未处理的提及1"/>
    <w:basedOn w:val="32"/>
    <w:semiHidden/>
    <w:unhideWhenUsed/>
    <w:qFormat/>
    <w:uiPriority w:val="99"/>
    <w:rPr>
      <w:color w:val="605E5C"/>
      <w:shd w:val="clear" w:color="auto" w:fill="E1DFDD"/>
    </w:rPr>
  </w:style>
  <w:style w:type="paragraph" w:customStyle="1" w:styleId="248">
    <w:name w:val="修订2"/>
    <w:hidden/>
    <w:unhideWhenUsed/>
    <w:qFormat/>
    <w:uiPriority w:val="99"/>
    <w:rPr>
      <w:rFonts w:ascii="Calibri" w:hAnsi="Calibri" w:eastAsia="宋体" w:cs="Times New Roman"/>
      <w:kern w:val="2"/>
      <w:sz w:val="21"/>
      <w:szCs w:val="21"/>
      <w:lang w:val="en-US" w:eastAsia="zh-CN" w:bidi="ar-SA"/>
    </w:rPr>
  </w:style>
  <w:style w:type="character" w:customStyle="1" w:styleId="249">
    <w:name w:val="未处理的提及2"/>
    <w:basedOn w:val="32"/>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glossaryDocument" Target="glossary/document.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CA9705200F54D5DA63CB215674CDF32"/>
        <w:style w:val=""/>
        <w:category>
          <w:name w:val="常规"/>
          <w:gallery w:val="placeholder"/>
        </w:category>
        <w:types>
          <w:type w:val="bbPlcHdr"/>
        </w:types>
        <w:behaviors>
          <w:behavior w:val="content"/>
        </w:behaviors>
        <w:description w:val=""/>
        <w:guid w:val="{18E41846-B196-4C51-82BD-87F381C4E779}"/>
      </w:docPartPr>
      <w:docPartBody>
        <w:p w14:paraId="7CE99A29">
          <w:pPr>
            <w:pStyle w:val="5"/>
          </w:pPr>
          <w:r>
            <w:rPr>
              <w:rStyle w:val="4"/>
              <w:rFonts w:hint="eastAsia"/>
            </w:rPr>
            <w:t>单击或点击此处输入文字。</w:t>
          </w:r>
        </w:p>
      </w:docPartBody>
    </w:docPart>
    <w:docPart>
      <w:docPartPr>
        <w:name w:val="A78AD1C4A6FE4F85BA56B7411691F9B7"/>
        <w:style w:val=""/>
        <w:category>
          <w:name w:val="常规"/>
          <w:gallery w:val="placeholder"/>
        </w:category>
        <w:types>
          <w:type w:val="bbPlcHdr"/>
        </w:types>
        <w:behaviors>
          <w:behavior w:val="content"/>
        </w:behaviors>
        <w:description w:val=""/>
        <w:guid w:val="{CF9F6A89-B253-402C-9230-CD72E1555B2B}"/>
      </w:docPartPr>
      <w:docPartBody>
        <w:p w14:paraId="6AE8957A">
          <w:pPr>
            <w:pStyle w:val="6"/>
          </w:pPr>
          <w:r>
            <w:rPr>
              <w:rStyle w:val="4"/>
              <w:rFonts w:hint="eastAsia"/>
            </w:rPr>
            <w:t>选择一项。</w:t>
          </w:r>
        </w:p>
      </w:docPartBody>
    </w:docPart>
    <w:docPart>
      <w:docPartPr>
        <w:name w:val="85EDC9AD9BB14E2D8D4D102E2FF55561"/>
        <w:style w:val=""/>
        <w:category>
          <w:name w:val="常规"/>
          <w:gallery w:val="placeholder"/>
        </w:category>
        <w:types>
          <w:type w:val="bbPlcHdr"/>
        </w:types>
        <w:behaviors>
          <w:behavior w:val="content"/>
        </w:behaviors>
        <w:description w:val=""/>
        <w:guid w:val="{D51EF9E0-7D62-42BD-921D-CAE70DE5CE5F}"/>
      </w:docPartPr>
      <w:docPartBody>
        <w:p w14:paraId="075D6D5E">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162"/>
    <w:rsid w:val="00003FE8"/>
    <w:rsid w:val="00011A76"/>
    <w:rsid w:val="000348BA"/>
    <w:rsid w:val="000450BC"/>
    <w:rsid w:val="000A3DDF"/>
    <w:rsid w:val="000E7CF5"/>
    <w:rsid w:val="00141626"/>
    <w:rsid w:val="00173B81"/>
    <w:rsid w:val="00174180"/>
    <w:rsid w:val="00176055"/>
    <w:rsid w:val="001952A2"/>
    <w:rsid w:val="001A259B"/>
    <w:rsid w:val="001A2A33"/>
    <w:rsid w:val="001C2A6A"/>
    <w:rsid w:val="00230ED5"/>
    <w:rsid w:val="0025374A"/>
    <w:rsid w:val="0026432B"/>
    <w:rsid w:val="00273FB1"/>
    <w:rsid w:val="0027490E"/>
    <w:rsid w:val="002755C0"/>
    <w:rsid w:val="00275606"/>
    <w:rsid w:val="00277D01"/>
    <w:rsid w:val="002A33C6"/>
    <w:rsid w:val="002B4A68"/>
    <w:rsid w:val="002C4316"/>
    <w:rsid w:val="00373B21"/>
    <w:rsid w:val="00385813"/>
    <w:rsid w:val="0038607B"/>
    <w:rsid w:val="003B42B9"/>
    <w:rsid w:val="003B4F0C"/>
    <w:rsid w:val="003C091F"/>
    <w:rsid w:val="003D5F3F"/>
    <w:rsid w:val="003E2A23"/>
    <w:rsid w:val="003E7EC6"/>
    <w:rsid w:val="00404427"/>
    <w:rsid w:val="0041099C"/>
    <w:rsid w:val="0041696D"/>
    <w:rsid w:val="004420D5"/>
    <w:rsid w:val="00460757"/>
    <w:rsid w:val="00463231"/>
    <w:rsid w:val="004650A2"/>
    <w:rsid w:val="00467588"/>
    <w:rsid w:val="004749A5"/>
    <w:rsid w:val="00475AD5"/>
    <w:rsid w:val="004A776D"/>
    <w:rsid w:val="005742D4"/>
    <w:rsid w:val="00575889"/>
    <w:rsid w:val="00576E60"/>
    <w:rsid w:val="005829CE"/>
    <w:rsid w:val="005B2C35"/>
    <w:rsid w:val="005B7BFF"/>
    <w:rsid w:val="00606F18"/>
    <w:rsid w:val="00610430"/>
    <w:rsid w:val="006111FD"/>
    <w:rsid w:val="00614121"/>
    <w:rsid w:val="00697E1B"/>
    <w:rsid w:val="006C3EB4"/>
    <w:rsid w:val="006E41A9"/>
    <w:rsid w:val="006F40C3"/>
    <w:rsid w:val="007075A1"/>
    <w:rsid w:val="0072582D"/>
    <w:rsid w:val="007808DB"/>
    <w:rsid w:val="0078799F"/>
    <w:rsid w:val="00790816"/>
    <w:rsid w:val="007966E4"/>
    <w:rsid w:val="007A79ED"/>
    <w:rsid w:val="007A7B5A"/>
    <w:rsid w:val="00814AA1"/>
    <w:rsid w:val="008330F3"/>
    <w:rsid w:val="00843C11"/>
    <w:rsid w:val="008520B1"/>
    <w:rsid w:val="0085525E"/>
    <w:rsid w:val="00873069"/>
    <w:rsid w:val="00882877"/>
    <w:rsid w:val="008849BE"/>
    <w:rsid w:val="00886BF8"/>
    <w:rsid w:val="008A6681"/>
    <w:rsid w:val="008D4BD1"/>
    <w:rsid w:val="009007D9"/>
    <w:rsid w:val="00932BCB"/>
    <w:rsid w:val="00974599"/>
    <w:rsid w:val="009775F5"/>
    <w:rsid w:val="009A38FE"/>
    <w:rsid w:val="009A6C71"/>
    <w:rsid w:val="009B21ED"/>
    <w:rsid w:val="009C0B3B"/>
    <w:rsid w:val="009E4A54"/>
    <w:rsid w:val="009F1D08"/>
    <w:rsid w:val="00A4306B"/>
    <w:rsid w:val="00A676CD"/>
    <w:rsid w:val="00A72E26"/>
    <w:rsid w:val="00A7416A"/>
    <w:rsid w:val="00A82D25"/>
    <w:rsid w:val="00AA384C"/>
    <w:rsid w:val="00AF0303"/>
    <w:rsid w:val="00B05F75"/>
    <w:rsid w:val="00B12E41"/>
    <w:rsid w:val="00B21D65"/>
    <w:rsid w:val="00B25A16"/>
    <w:rsid w:val="00B535E2"/>
    <w:rsid w:val="00B54C90"/>
    <w:rsid w:val="00B81FE8"/>
    <w:rsid w:val="00BC72AD"/>
    <w:rsid w:val="00C426A5"/>
    <w:rsid w:val="00C736AD"/>
    <w:rsid w:val="00CB5CAA"/>
    <w:rsid w:val="00CD4CDF"/>
    <w:rsid w:val="00CE3693"/>
    <w:rsid w:val="00CF6E6A"/>
    <w:rsid w:val="00D0320B"/>
    <w:rsid w:val="00D12A3C"/>
    <w:rsid w:val="00D26BAE"/>
    <w:rsid w:val="00D354A1"/>
    <w:rsid w:val="00D40A42"/>
    <w:rsid w:val="00D46F42"/>
    <w:rsid w:val="00D47DCE"/>
    <w:rsid w:val="00D73B2E"/>
    <w:rsid w:val="00D9358F"/>
    <w:rsid w:val="00E10220"/>
    <w:rsid w:val="00E41205"/>
    <w:rsid w:val="00E44926"/>
    <w:rsid w:val="00E5617D"/>
    <w:rsid w:val="00E75086"/>
    <w:rsid w:val="00E76A67"/>
    <w:rsid w:val="00E9023E"/>
    <w:rsid w:val="00E94F9C"/>
    <w:rsid w:val="00E9784B"/>
    <w:rsid w:val="00EA484D"/>
    <w:rsid w:val="00EF306B"/>
    <w:rsid w:val="00F04DA1"/>
    <w:rsid w:val="00F26162"/>
    <w:rsid w:val="00F269A9"/>
    <w:rsid w:val="00F30B8B"/>
    <w:rsid w:val="00F3744D"/>
    <w:rsid w:val="00F41226"/>
    <w:rsid w:val="00F9453C"/>
    <w:rsid w:val="00FA04EA"/>
    <w:rsid w:val="00FA0BBD"/>
    <w:rsid w:val="00FF15A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DCA9705200F54D5DA63CB215674CDF3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A78AD1C4A6FE4F85BA56B7411691F9B7"/>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85EDC9AD9BB14E2D8D4D102E2FF55561"/>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5622C-DB19-43C3-AA2B-95E55CF74FDD}">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19</Pages>
  <Words>8700</Words>
  <Characters>9623</Characters>
  <Lines>227</Lines>
  <Paragraphs>602</Paragraphs>
  <TotalTime>9</TotalTime>
  <ScaleCrop>false</ScaleCrop>
  <LinksUpToDate>false</LinksUpToDate>
  <CharactersWithSpaces>9791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2026-09-17T10:42:00Z</dcterms:created>
  <dc:creator>hj</dc:creator>
  <dc:description>&lt;config cover="true" show_menu="true" version="1.0.0" doctype="SDKXY"&gt;_x000d_
&lt;/config&gt;</dc:description>
  <cp:lastModifiedBy>潘龙</cp:lastModifiedBy>
  <cp:lastPrinted>2022-04-15T05:32:00Z</cp:lastPrinted>
  <dcterms:modified xsi:type="dcterms:W3CDTF">2026-09-22T08:36:36Z</dcterms:modified>
  <dc:title>地方标准</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eyJoZGlkIjoiY2U2MTA3NGM3MzBiOTEyNzEwOTQxNTUxN2M3Yjc0MmUiLCJ1c2VySWQiOiIxNDc5MTEyNTQ1In0=</vt:lpwstr>
  </property>
  <property fmtid="{D5CDD505-2E9C-101B-9397-08002B2CF9AE}" pid="15" name="KSOProductBuildVer">
    <vt:lpwstr>2052-12.1.0.25225</vt:lpwstr>
  </property>
  <property fmtid="{D5CDD505-2E9C-101B-9397-08002B2CF9AE}" pid="16" name="ICV">
    <vt:lpwstr>7076AA5CD94F4B3D8998DA2D5A21DE38_13</vt:lpwstr>
  </property>
</Properties>
</file>