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2"/>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5B885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B8854F8">
            <w:pPr>
              <w:pStyle w:val="22"/>
              <w:framePr w:wrap="notBeside" w:vAnchor="page" w:hAnchor="page" w:x="1372" w:y="568"/>
              <w:tabs>
                <w:tab w:val="clear" w:pos="4153"/>
                <w:tab w:val="clear" w:pos="8306"/>
              </w:tabs>
              <w:spacing w:line="240" w:lineRule="auto"/>
              <w:jc w:val="left"/>
              <w:rPr>
                <w:rFonts w:ascii="黑体" w:hAnsi="黑体" w:eastAsia="黑体"/>
                <w:color w:val="000000" w:themeColor="text1"/>
                <w:sz w:val="21"/>
                <w:szCs w:val="21"/>
                <w14:textFill>
                  <w14:solidFill>
                    <w14:schemeClr w14:val="tx1"/>
                  </w14:solidFill>
                </w14:textFill>
              </w:rPr>
            </w:pPr>
            <w:r>
              <w:rPr>
                <w:rFonts w:ascii="Times New Roman" w:hAnsi="Times New Roman" w:eastAsia="黑体"/>
                <w:color w:val="000000" w:themeColor="text1"/>
                <w:sz w:val="21"/>
                <w:szCs w:val="21"/>
                <w14:textFill>
                  <w14:solidFill>
                    <w14:schemeClr w14:val="tx1"/>
                  </w14:solidFill>
                </w14:textFill>
              </w:rPr>
              <w:t>ICS</w:t>
            </w:r>
          </w:p>
        </w:tc>
        <w:tc>
          <w:tcPr>
            <w:tcW w:w="8855" w:type="dxa"/>
          </w:tcPr>
          <w:p w14:paraId="5B8854F9">
            <w:pPr>
              <w:pStyle w:val="22"/>
              <w:framePr w:wrap="notBeside" w:vAnchor="page" w:hAnchor="page" w:x="1372" w:y="568"/>
              <w:tabs>
                <w:tab w:val="clear" w:pos="4153"/>
                <w:tab w:val="clear" w:pos="8306"/>
              </w:tabs>
              <w:spacing w:line="240" w:lineRule="auto"/>
              <w:jc w:val="both"/>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fldChar w:fldCharType="begin">
                <w:ffData>
                  <w:name w:val="ICS"/>
                  <w:enabled/>
                  <w:calcOnExit w:val="0"/>
                  <w:textInput>
                    <w:default w:val="93.120"/>
                  </w:textInput>
                </w:ffData>
              </w:fldChar>
            </w:r>
            <w:bookmarkStart w:id="0" w:name="ICS"/>
            <w:r>
              <w:rPr>
                <w:rFonts w:ascii="黑体" w:hAnsi="黑体" w:eastAsia="黑体"/>
                <w:color w:val="000000" w:themeColor="text1"/>
                <w:sz w:val="21"/>
                <w:szCs w:val="21"/>
                <w14:textFill>
                  <w14:solidFill>
                    <w14:schemeClr w14:val="tx1"/>
                  </w14:solidFill>
                </w14:textFill>
              </w:rPr>
              <w:instrText xml:space="preserve"> FORMTEXT </w:instrText>
            </w:r>
            <w:r>
              <w:rPr>
                <w:rFonts w:ascii="黑体" w:hAnsi="黑体" w:eastAsia="黑体"/>
                <w:color w:val="000000" w:themeColor="text1"/>
                <w:sz w:val="21"/>
                <w:szCs w:val="21"/>
                <w14:textFill>
                  <w14:solidFill>
                    <w14:schemeClr w14:val="tx1"/>
                  </w14:solidFill>
                </w14:textFill>
              </w:rPr>
              <w:fldChar w:fldCharType="separate"/>
            </w:r>
            <w:r>
              <w:rPr>
                <w:rFonts w:ascii="黑体" w:hAnsi="黑体" w:eastAsia="黑体"/>
                <w:color w:val="000000" w:themeColor="text1"/>
                <w:sz w:val="21"/>
                <w:szCs w:val="21"/>
                <w14:textFill>
                  <w14:solidFill>
                    <w14:schemeClr w14:val="tx1"/>
                  </w14:solidFill>
                </w14:textFill>
              </w:rPr>
              <w:t>93.120</w:t>
            </w:r>
            <w:r>
              <w:rPr>
                <w:rFonts w:ascii="黑体" w:hAnsi="黑体" w:eastAsia="黑体"/>
                <w:color w:val="000000" w:themeColor="text1"/>
                <w:sz w:val="21"/>
                <w:szCs w:val="21"/>
                <w14:textFill>
                  <w14:solidFill>
                    <w14:schemeClr w14:val="tx1"/>
                  </w14:solidFill>
                </w14:textFill>
              </w:rPr>
              <w:fldChar w:fldCharType="end"/>
            </w:r>
            <w:bookmarkEnd w:id="0"/>
          </w:p>
        </w:tc>
      </w:tr>
      <w:tr w14:paraId="5B885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B8854FB">
            <w:pPr>
              <w:pStyle w:val="22"/>
              <w:framePr w:wrap="notBeside" w:vAnchor="page" w:hAnchor="page" w:x="1372" w:y="568"/>
              <w:tabs>
                <w:tab w:val="clear" w:pos="4153"/>
                <w:tab w:val="clear" w:pos="8306"/>
              </w:tabs>
              <w:spacing w:before="40" w:line="240" w:lineRule="auto"/>
              <w:jc w:val="left"/>
              <w:rPr>
                <w:rFonts w:ascii="黑体" w:hAnsi="黑体" w:eastAsia="黑体"/>
                <w:color w:val="000000" w:themeColor="text1"/>
                <w:sz w:val="21"/>
                <w:szCs w:val="21"/>
                <w14:textFill>
                  <w14:solidFill>
                    <w14:schemeClr w14:val="tx1"/>
                  </w14:solidFill>
                </w14:textFill>
              </w:rPr>
            </w:pPr>
            <w:r>
              <w:rPr>
                <w:rFonts w:ascii="Times New Roman" w:hAnsi="Times New Roman" w:eastAsia="黑体"/>
                <w:color w:val="000000" w:themeColor="text1"/>
                <w:sz w:val="21"/>
                <w:szCs w:val="21"/>
                <w14:textFill>
                  <w14:solidFill>
                    <w14:schemeClr w14:val="tx1"/>
                  </w14:solidFill>
                </w14:textFill>
              </w:rPr>
              <w:t>CCS</w:t>
            </w:r>
          </w:p>
        </w:tc>
        <w:tc>
          <w:tcPr>
            <w:tcW w:w="8855" w:type="dxa"/>
          </w:tcPr>
          <w:p w14:paraId="5B8854FC">
            <w:pPr>
              <w:pStyle w:val="22"/>
              <w:framePr w:wrap="notBeside" w:vAnchor="page" w:hAnchor="page" w:x="1372" w:y="568"/>
              <w:tabs>
                <w:tab w:val="clear" w:pos="4153"/>
                <w:tab w:val="clear" w:pos="8306"/>
              </w:tabs>
              <w:spacing w:before="40" w:line="240" w:lineRule="auto"/>
              <w:jc w:val="left"/>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fldChar w:fldCharType="begin">
                <w:ffData>
                  <w:name w:val="CSDN"/>
                  <w:enabled/>
                  <w:calcOnExit w:val="0"/>
                  <w:textInput>
                    <w:default w:val="P 68"/>
                  </w:textInput>
                </w:ffData>
              </w:fldChar>
            </w:r>
            <w:bookmarkStart w:id="1" w:name="CSDN"/>
            <w:r>
              <w:rPr>
                <w:rFonts w:ascii="黑体" w:hAnsi="黑体" w:eastAsia="黑体"/>
                <w:color w:val="000000" w:themeColor="text1"/>
                <w:sz w:val="21"/>
                <w:szCs w:val="21"/>
                <w14:textFill>
                  <w14:solidFill>
                    <w14:schemeClr w14:val="tx1"/>
                  </w14:solidFill>
                </w14:textFill>
              </w:rPr>
              <w:instrText xml:space="preserve"> FORMTEXT </w:instrText>
            </w:r>
            <w:r>
              <w:rPr>
                <w:rFonts w:ascii="黑体" w:hAnsi="黑体" w:eastAsia="黑体"/>
                <w:color w:val="000000" w:themeColor="text1"/>
                <w:sz w:val="21"/>
                <w:szCs w:val="21"/>
                <w14:textFill>
                  <w14:solidFill>
                    <w14:schemeClr w14:val="tx1"/>
                  </w14:solidFill>
                </w14:textFill>
              </w:rPr>
              <w:fldChar w:fldCharType="separate"/>
            </w:r>
            <w:r>
              <w:rPr>
                <w:rFonts w:ascii="黑体" w:hAnsi="黑体" w:eastAsia="黑体"/>
                <w:color w:val="000000" w:themeColor="text1"/>
                <w:sz w:val="21"/>
                <w:szCs w:val="21"/>
                <w14:textFill>
                  <w14:solidFill>
                    <w14:schemeClr w14:val="tx1"/>
                  </w14:solidFill>
                </w14:textFill>
              </w:rPr>
              <w:t>P 68</w:t>
            </w:r>
            <w:r>
              <w:rPr>
                <w:rFonts w:ascii="黑体" w:hAnsi="黑体" w:eastAsia="黑体"/>
                <w:color w:val="000000" w:themeColor="text1"/>
                <w:sz w:val="21"/>
                <w:szCs w:val="21"/>
                <w14:textFill>
                  <w14:solidFill>
                    <w14:schemeClr w14:val="tx1"/>
                  </w14:solidFill>
                </w14:textFill>
              </w:rPr>
              <w:fldChar w:fldCharType="end"/>
            </w:r>
            <w:bookmarkEnd w:id="1"/>
          </w:p>
        </w:tc>
      </w:tr>
    </w:tbl>
    <w:tbl>
      <w:tblPr>
        <w:tblStyle w:val="32"/>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5B8854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B8854FE">
            <w:pPr>
              <w:pStyle w:val="55"/>
              <w:framePr w:w="0" w:hRule="auto" w:wrap="auto" w:vAnchor="margin" w:hAnchor="text" w:xAlign="left" w:yAlign="inline"/>
              <w:widowControl w:val="0"/>
              <w:rPr>
                <w:rFonts w:ascii="宋体" w:hAnsi="宋体"/>
                <w:color w:val="000000" w:themeColor="text1"/>
                <w:sz w:val="28"/>
                <w:szCs w:val="28"/>
                <w14:textFill>
                  <w14:solidFill>
                    <w14:schemeClr w14:val="tx1"/>
                  </w14:solidFill>
                </w14:textFill>
              </w:rPr>
            </w:pPr>
            <w:bookmarkStart w:id="2" w:name="_Hlk26473981"/>
            <w:r>
              <w:rPr>
                <w:color w:val="000000" w:themeColor="text1"/>
                <w14:textFill>
                  <w14:solidFill>
                    <w14:schemeClr w14:val="tx1"/>
                  </w14:solidFill>
                </w14:textFill>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color w:val="000000" w:themeColor="text1"/>
                <w14:textFill>
                  <w14:solidFill>
                    <w14:schemeClr w14:val="tx1"/>
                  </w14:solidFill>
                </w14:textFill>
              </w:rPr>
              <w:fldChar w:fldCharType="begin">
                <w:ffData>
                  <w:name w:val="c1"/>
                  <w:enabled/>
                  <w:calcOnExit w:val="0"/>
                  <w:textInput>
                    <w:maxLength w:val="8"/>
                  </w:textInput>
                </w:ffData>
              </w:fldChar>
            </w:r>
            <w:bookmarkStart w:id="3" w:name="c1"/>
            <w:r>
              <w:rPr>
                <w:color w:val="000000" w:themeColor="text1"/>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14:textFill>
                  <w14:solidFill>
                    <w14:schemeClr w14:val="tx1"/>
                  </w14:solidFill>
                </w14:textFill>
              </w:rPr>
              <w:fldChar w:fldCharType="end"/>
            </w:r>
            <w:bookmarkEnd w:id="3"/>
          </w:p>
        </w:tc>
      </w:tr>
    </w:tbl>
    <w:p w14:paraId="5B885500">
      <w:pPr>
        <w:pStyle w:val="56"/>
        <w:framePr w:w="9639" w:h="624" w:hRule="exact" w:hSpace="181" w:vSpace="181" w:wrap="around" w:hAnchor="page" w:x="1305" w:y="2269"/>
        <w:rPr>
          <w:rFonts w:ascii="黑体" w:hAnsi="黑体" w:eastAsia="黑体"/>
          <w:b w:val="0"/>
          <w:bCs w:val="0"/>
          <w:color w:val="000000" w:themeColor="text1"/>
          <w:w w:val="100"/>
          <w:sz w:val="48"/>
          <w:szCs w:val="48"/>
          <w14:textFill>
            <w14:solidFill>
              <w14:schemeClr w14:val="tx1"/>
            </w14:solidFill>
          </w14:textFill>
        </w:rPr>
      </w:pPr>
      <w:r>
        <w:rPr>
          <w:rFonts w:ascii="黑体" w:eastAsia="黑体"/>
          <w:b w:val="0"/>
          <w:color w:val="000000" w:themeColor="text1"/>
          <w:w w:val="100"/>
          <w:sz w:val="48"/>
          <w14:textFill>
            <w14:solidFill>
              <w14:schemeClr w14:val="tx1"/>
            </w14:solidFill>
          </w14:textFill>
        </w:rPr>
        <w:fldChar w:fldCharType="begin">
          <w:ffData>
            <w:name w:val="c2"/>
            <w:enabled/>
            <w:calcOnExit w:val="0"/>
            <w:textInput/>
          </w:ffData>
        </w:fldChar>
      </w:r>
      <w:bookmarkStart w:id="4" w:name="c2"/>
      <w:r>
        <w:rPr>
          <w:rFonts w:ascii="黑体" w:eastAsia="黑体"/>
          <w:b w:val="0"/>
          <w:color w:val="000000" w:themeColor="text1"/>
          <w:w w:val="100"/>
          <w:sz w:val="48"/>
          <w14:textFill>
            <w14:solidFill>
              <w14:schemeClr w14:val="tx1"/>
            </w14:solidFill>
          </w14:textFill>
        </w:rPr>
        <w:instrText xml:space="preserve"> FORMTEXT </w:instrText>
      </w:r>
      <w:r>
        <w:rPr>
          <w:rFonts w:ascii="黑体" w:eastAsia="黑体"/>
          <w:b w:val="0"/>
          <w:color w:val="000000" w:themeColor="text1"/>
          <w:w w:val="100"/>
          <w:sz w:val="48"/>
          <w14:textFill>
            <w14:solidFill>
              <w14:schemeClr w14:val="tx1"/>
            </w14:solidFill>
          </w14:textFill>
        </w:rPr>
        <w:fldChar w:fldCharType="separate"/>
      </w:r>
      <w:r>
        <w:rPr>
          <w:rFonts w:hint="eastAsia" w:ascii="黑体" w:eastAsia="黑体"/>
          <w:b w:val="0"/>
          <w:color w:val="000000" w:themeColor="text1"/>
          <w:w w:val="100"/>
          <w:sz w:val="48"/>
          <w14:textFill>
            <w14:solidFill>
              <w14:schemeClr w14:val="tx1"/>
            </w14:solidFill>
          </w14:textFill>
        </w:rPr>
        <w:t>湖北省</w:t>
      </w:r>
      <w:r>
        <w:rPr>
          <w:rFonts w:ascii="黑体" w:eastAsia="黑体"/>
          <w:b w:val="0"/>
          <w:color w:val="000000" w:themeColor="text1"/>
          <w:w w:val="100"/>
          <w:sz w:val="48"/>
          <w14:textFill>
            <w14:solidFill>
              <w14:schemeClr w14:val="tx1"/>
            </w14:solidFill>
          </w14:textFill>
        </w:rPr>
        <w:fldChar w:fldCharType="end"/>
      </w:r>
      <w:bookmarkEnd w:id="4"/>
      <w:r>
        <w:rPr>
          <w:rFonts w:hint="eastAsia" w:ascii="黑体" w:hAnsi="黑体" w:eastAsia="黑体"/>
          <w:b w:val="0"/>
          <w:bCs w:val="0"/>
          <w:color w:val="000000" w:themeColor="text1"/>
          <w:w w:val="100"/>
          <w:sz w:val="48"/>
          <w:szCs w:val="48"/>
          <w14:textFill>
            <w14:solidFill>
              <w14:schemeClr w14:val="tx1"/>
            </w14:solidFill>
          </w14:textFill>
        </w:rPr>
        <w:t>地方标准</w:t>
      </w:r>
    </w:p>
    <w:bookmarkEnd w:id="2"/>
    <w:p w14:paraId="5B885501">
      <w:pPr>
        <w:pStyle w:val="201"/>
        <w:framePr/>
        <w:widowControl w:val="0"/>
        <w:wordWrap/>
        <w:rPr>
          <w:color w:val="000000" w:themeColor="text1"/>
          <w:lang w:val="fr-FR"/>
          <w14:textFill>
            <w14:solidFill>
              <w14:schemeClr w14:val="tx1"/>
            </w14:solidFill>
          </w14:textFill>
        </w:rPr>
      </w:pPr>
      <w:r>
        <w:rPr>
          <w:color w:val="000000" w:themeColor="text1"/>
          <w:lang w:val="fr-FR"/>
          <w14:textFill>
            <w14:solidFill>
              <w14:schemeClr w14:val="tx1"/>
            </w14:solidFill>
          </w14:textFill>
        </w:rPr>
        <w:t>DB</w:t>
      </w:r>
      <w:r>
        <w:rPr>
          <w:color w:val="000000" w:themeColor="text1"/>
          <w14:textFill>
            <w14:solidFill>
              <w14:schemeClr w14:val="tx1"/>
            </w14:solidFill>
          </w14:textFill>
        </w:rPr>
        <w:fldChar w:fldCharType="begin">
          <w:ffData>
            <w:name w:val="文字1"/>
            <w:enabled/>
            <w:calcOnExit w:val="0"/>
            <w:textInput>
              <w:default w:val="XX/T"/>
            </w:textInput>
          </w:ffData>
        </w:fldChar>
      </w:r>
      <w:bookmarkStart w:id="5" w:name="文字1"/>
      <w:r>
        <w:rPr>
          <w:color w:val="000000" w:themeColor="text1"/>
          <w:lang w:val="fr-FR"/>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42</w:t>
      </w:r>
      <w:r>
        <w:rPr>
          <w:color w:val="000000" w:themeColor="text1"/>
          <w:lang w:val="fr-FR"/>
          <w14:textFill>
            <w14:solidFill>
              <w14:schemeClr w14:val="tx1"/>
            </w14:solidFill>
          </w14:textFill>
        </w:rPr>
        <w:t>/T</w:t>
      </w:r>
      <w:r>
        <w:rPr>
          <w:color w:val="000000" w:themeColor="text1"/>
          <w14:textFill>
            <w14:solidFill>
              <w14:schemeClr w14:val="tx1"/>
            </w14:solidFill>
          </w14:textFill>
        </w:rPr>
        <w:fldChar w:fldCharType="end"/>
      </w:r>
      <w:bookmarkEnd w:id="5"/>
      <w:r>
        <w:rPr>
          <w:color w:val="000000" w:themeColor="text1"/>
          <w14:textFill>
            <w14:solidFill>
              <w14:schemeClr w14:val="tx1"/>
            </w14:solidFill>
          </w14:textFill>
        </w:rPr>
        <w:fldChar w:fldCharType="begin">
          <w:ffData>
            <w:name w:val="NSTD_CODE_F"/>
            <w:enabled/>
            <w:calcOnExit w:val="0"/>
            <w:textInput>
              <w:default w:val="XXXX"/>
            </w:textInput>
          </w:ffData>
        </w:fldChar>
      </w:r>
      <w:bookmarkStart w:id="6" w:name="NSTD_CODE_F"/>
      <w:r>
        <w:rPr>
          <w:color w:val="000000" w:themeColor="text1"/>
          <w:lang w:val="fr-FR"/>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lang w:val="fr-FR"/>
          <w14:textFill>
            <w14:solidFill>
              <w14:schemeClr w14:val="tx1"/>
            </w14:solidFill>
          </w14:textFill>
        </w:rPr>
        <w:t>XXXX</w:t>
      </w:r>
      <w:r>
        <w:rPr>
          <w:color w:val="000000" w:themeColor="text1"/>
          <w14:textFill>
            <w14:solidFill>
              <w14:schemeClr w14:val="tx1"/>
            </w14:solidFill>
          </w14:textFill>
        </w:rPr>
        <w:fldChar w:fldCharType="end"/>
      </w:r>
      <w:bookmarkEnd w:id="6"/>
      <w:r>
        <w:rPr>
          <w:rFonts w:hAnsi="黑体"/>
          <w:color w:val="000000" w:themeColor="text1"/>
          <w:lang w:val="fr-FR"/>
          <w14:textFill>
            <w14:solidFill>
              <w14:schemeClr w14:val="tx1"/>
            </w14:solidFill>
          </w14:textFill>
        </w:rPr>
        <w:t>—</w:t>
      </w:r>
      <w:r>
        <w:rPr>
          <w:color w:val="000000" w:themeColor="text1"/>
          <w14:textFill>
            <w14:solidFill>
              <w14:schemeClr w14:val="tx1"/>
            </w14:solidFill>
          </w14:textFill>
        </w:rPr>
        <w:fldChar w:fldCharType="begin">
          <w:ffData>
            <w:name w:val="NSTD_CODE_B"/>
            <w:enabled/>
            <w:calcOnExit w:val="0"/>
            <w:textInput>
              <w:default w:val="XXXX"/>
            </w:textInput>
          </w:ffData>
        </w:fldChar>
      </w:r>
      <w:bookmarkStart w:id="7" w:name="NSTD_CODE_B"/>
      <w:r>
        <w:rPr>
          <w:color w:val="000000" w:themeColor="text1"/>
          <w:lang w:val="fr-FR"/>
          <w14:textFill>
            <w14:solidFill>
              <w14:schemeClr w14:val="tx1"/>
            </w14:solidFill>
          </w14:textFill>
        </w:rPr>
        <w:instrText xml:space="preserve"> FORMTEXT </w:instrText>
      </w:r>
      <w:r>
        <w:rPr>
          <w:color w:val="000000" w:themeColor="text1"/>
          <w14:textFill>
            <w14:solidFill>
              <w14:schemeClr w14:val="tx1"/>
            </w14:solidFill>
          </w14:textFill>
        </w:rPr>
        <w:fldChar w:fldCharType="separate"/>
      </w:r>
      <w:r>
        <w:rPr>
          <w:color w:val="000000" w:themeColor="text1"/>
          <w:lang w:val="fr-FR"/>
          <w14:textFill>
            <w14:solidFill>
              <w14:schemeClr w14:val="tx1"/>
            </w14:solidFill>
          </w14:textFill>
        </w:rPr>
        <w:t>XXXX</w:t>
      </w:r>
      <w:r>
        <w:rPr>
          <w:color w:val="000000" w:themeColor="text1"/>
          <w14:textFill>
            <w14:solidFill>
              <w14:schemeClr w14:val="tx1"/>
            </w14:solidFill>
          </w14:textFill>
        </w:rPr>
        <w:fldChar w:fldCharType="end"/>
      </w:r>
      <w:bookmarkEnd w:id="7"/>
    </w:p>
    <w:p w14:paraId="5B885502">
      <w:pPr>
        <w:pStyle w:val="202"/>
        <w:framePr/>
        <w:widowControl w:val="0"/>
        <w:wordWrap/>
        <w:rPr>
          <w:rFonts w:hAnsi="黑体"/>
          <w:color w:val="000000" w:themeColor="text1"/>
          <w14:textFill>
            <w14:solidFill>
              <w14:schemeClr w14:val="tx1"/>
            </w14:solidFill>
          </w14:textFill>
        </w:rPr>
      </w:pPr>
      <w:r>
        <w:rPr>
          <w:rFonts w:hAnsi="黑体"/>
          <w:color w:val="000000" w:themeColor="text1"/>
          <w14:textFill>
            <w14:solidFill>
              <w14:schemeClr w14:val="tx1"/>
            </w14:solidFill>
          </w14:textFill>
        </w:rPr>
        <w:fldChar w:fldCharType="begin">
          <w:ffData>
            <w:name w:val="OSTD_CODE"/>
            <w:enabled/>
            <w:calcOnExit w:val="0"/>
            <w:textInput/>
          </w:ffData>
        </w:fldChar>
      </w:r>
      <w:bookmarkStart w:id="8" w:name="OSTD_CODE"/>
      <w:r>
        <w:rPr>
          <w:rFonts w:hAnsi="黑体"/>
          <w:color w:val="000000" w:themeColor="text1"/>
          <w14:textFill>
            <w14:solidFill>
              <w14:schemeClr w14:val="tx1"/>
            </w14:solidFill>
          </w14:textFill>
        </w:rPr>
        <w:instrText xml:space="preserve"> FORMTEXT </w:instrText>
      </w:r>
      <w:r>
        <w:rPr>
          <w:rFonts w:hAnsi="黑体"/>
          <w:color w:val="000000" w:themeColor="text1"/>
          <w14:textFill>
            <w14:solidFill>
              <w14:schemeClr w14:val="tx1"/>
            </w14:solidFill>
          </w14:textFill>
        </w:rPr>
        <w:fldChar w:fldCharType="separate"/>
      </w:r>
      <w:r>
        <w:rPr>
          <w:rFonts w:hAnsi="黑体"/>
          <w:color w:val="000000" w:themeColor="text1"/>
          <w14:textFill>
            <w14:solidFill>
              <w14:schemeClr w14:val="tx1"/>
            </w14:solidFill>
          </w14:textFill>
        </w:rPr>
        <w:t>     </w:t>
      </w:r>
      <w:r>
        <w:rPr>
          <w:rFonts w:hAnsi="黑体"/>
          <w:color w:val="000000" w:themeColor="text1"/>
          <w14:textFill>
            <w14:solidFill>
              <w14:schemeClr w14:val="tx1"/>
            </w14:solidFill>
          </w14:textFill>
        </w:rPr>
        <w:fldChar w:fldCharType="end"/>
      </w:r>
      <w:bookmarkEnd w:id="8"/>
    </w:p>
    <w:p w14:paraId="5B885503">
      <w:pPr>
        <w:spacing w:line="240" w:lineRule="auto"/>
        <w:rPr>
          <w:rFonts w:ascii="黑体" w:hAnsi="黑体" w:eastAsia="黑体"/>
          <w:color w:val="000000" w:themeColor="text1"/>
          <w:kern w:val="0"/>
          <w:sz w:val="10"/>
          <w:szCs w:val="10"/>
          <w14:textFill>
            <w14:solidFill>
              <w14:schemeClr w14:val="tx1"/>
            </w14:solidFill>
          </w14:textFill>
        </w:rPr>
      </w:pPr>
      <w:r>
        <w:rPr>
          <w:rFonts w:ascii="黑体" w:hAnsi="黑体" w:eastAsia="黑体"/>
          <w:color w:val="000000" w:themeColor="text1"/>
          <w:kern w:val="0"/>
          <w:sz w:val="10"/>
          <w:szCs w:val="10"/>
          <w14:textFill>
            <w14:solidFill>
              <w14:schemeClr w14:val="tx1"/>
            </w14:solidFill>
          </w14:textFill>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2700020</wp:posOffset>
                </wp:positionV>
                <wp:extent cx="6120130" cy="0"/>
                <wp:effectExtent l="0" t="0" r="1397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pt;height:0pt;width:481.9pt;mso-position-horizontal-relative:page;mso-position-vertical-relative:page;z-index:251659264;mso-width-relative:page;mso-height-relative:page;" filled="f" stroked="t" coordsize="21600,21600" o:allowoverlap="f" o:gfxdata="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iPM2AAA&#10;AAwBAAAPAAAAAAAAAAEAIAAAACIAAABkcnMvZG93bnJldi54bWxQSwECFAAUAAAACACHTuJA4fvj&#10;GOUBAACsAwAADgAAAAAAAAABACAAAAAnAQAAZHJzL2Uyb0RvYy54bWxQSwUGAAAAAAYABgBZAQAA&#10;fgUAAAAA&#10;">
                <v:fill on="f" focussize="0,0"/>
                <v:stroke color="#000000" joinstyle="round"/>
                <v:imagedata o:title=""/>
                <o:lock v:ext="edit" aspectratio="f"/>
              </v:line>
            </w:pict>
          </mc:Fallback>
        </mc:AlternateContent>
      </w:r>
    </w:p>
    <w:p w14:paraId="5B885504">
      <w:pPr>
        <w:pStyle w:val="56"/>
        <w:framePr w:w="9639" w:h="6976" w:hRule="exact" w:hSpace="0" w:vSpace="0" w:wrap="around" w:hAnchor="page" w:y="6408"/>
        <w:jc w:val="center"/>
        <w:rPr>
          <w:rFonts w:ascii="黑体" w:hAnsi="黑体" w:eastAsia="黑体"/>
          <w:b w:val="0"/>
          <w:bCs w:val="0"/>
          <w:color w:val="000000" w:themeColor="text1"/>
          <w:w w:val="100"/>
          <w14:textFill>
            <w14:solidFill>
              <w14:schemeClr w14:val="tx1"/>
            </w14:solidFill>
          </w14:textFill>
        </w:rPr>
      </w:pPr>
    </w:p>
    <w:p w14:paraId="5B885505">
      <w:pPr>
        <w:pStyle w:val="203"/>
        <w:framePr w:h="6974" w:hRule="exact" w:wrap="around" w:x="1419" w:anchorLock="1"/>
        <w:widowControl w:val="0"/>
        <w:rPr>
          <w:color w:val="000000" w:themeColor="text1"/>
          <w14:textFill>
            <w14:solidFill>
              <w14:schemeClr w14:val="tx1"/>
            </w14:solidFill>
          </w14:textFill>
        </w:rPr>
      </w:pPr>
      <w:r>
        <w:rPr>
          <w:rFonts w:hint="eastAsia"/>
          <w:color w:val="000000" w:themeColor="text1"/>
          <w14:textFill>
            <w14:solidFill>
              <w14:schemeClr w14:val="tx1"/>
            </w14:solidFill>
          </w14:textFill>
        </w:rPr>
        <w:t>低空垂直起降场站建设与运行规范</w:t>
      </w:r>
    </w:p>
    <w:p w14:paraId="5B885506">
      <w:pPr>
        <w:framePr w:w="9639" w:h="6974" w:hRule="exact" w:wrap="around" w:vAnchor="page" w:hAnchor="page" w:x="1419" w:y="6408" w:anchorLock="1"/>
        <w:ind w:left="-1418"/>
        <w:rPr>
          <w:color w:val="000000" w:themeColor="text1"/>
          <w14:textFill>
            <w14:solidFill>
              <w14:schemeClr w14:val="tx1"/>
            </w14:solidFill>
          </w14:textFill>
        </w:rPr>
      </w:pPr>
    </w:p>
    <w:p w14:paraId="5B885507">
      <w:pPr>
        <w:pStyle w:val="131"/>
        <w:framePr w:w="9639" w:h="6974" w:hRule="exact" w:wrap="around" w:vAnchor="page" w:hAnchor="page" w:x="1419" w:y="6408" w:anchorLock="1"/>
        <w:textAlignment w:val="bottom"/>
        <w:rPr>
          <w:rFonts w:ascii="黑体" w:hAnsi="黑体" w:eastAsia="黑体"/>
          <w:color w:val="000000" w:themeColor="text1"/>
          <w:szCs w:val="28"/>
          <w14:textFill>
            <w14:solidFill>
              <w14:schemeClr w14:val="tx1"/>
            </w14:solidFill>
          </w14:textFill>
        </w:rPr>
      </w:pPr>
      <w:r>
        <w:rPr>
          <w:rFonts w:ascii="黑体" w:hAnsi="黑体" w:eastAsia="黑体"/>
          <w:color w:val="000000" w:themeColor="text1"/>
          <w:szCs w:val="28"/>
          <w14:textFill>
            <w14:solidFill>
              <w14:schemeClr w14:val="tx1"/>
            </w14:solidFill>
          </w14:textFill>
        </w:rPr>
        <w:fldChar w:fldCharType="begin">
          <w:ffData>
            <w:name w:val="ESTD_NAME"/>
            <w:enabled/>
            <w:calcOnExit w:val="0"/>
            <w:textInput>
              <w:default w:val="Specifications for the construction and operation of low-altitude vertical take-off and landing ports and stops"/>
            </w:textInput>
          </w:ffData>
        </w:fldChar>
      </w:r>
      <w:bookmarkStart w:id="9" w:name="ESTD_NAME"/>
      <w:r>
        <w:rPr>
          <w:rFonts w:ascii="黑体" w:hAnsi="黑体" w:eastAsia="黑体"/>
          <w:color w:val="000000" w:themeColor="text1"/>
          <w:szCs w:val="28"/>
          <w14:textFill>
            <w14:solidFill>
              <w14:schemeClr w14:val="tx1"/>
            </w14:solidFill>
          </w14:textFill>
        </w:rPr>
        <w:instrText xml:space="preserve"> </w:instrText>
      </w:r>
      <w:r>
        <w:rPr>
          <w:rFonts w:hint="eastAsia" w:ascii="黑体" w:hAnsi="黑体" w:eastAsia="黑体"/>
          <w:color w:val="000000" w:themeColor="text1"/>
          <w:szCs w:val="28"/>
          <w14:textFill>
            <w14:solidFill>
              <w14:schemeClr w14:val="tx1"/>
            </w14:solidFill>
          </w14:textFill>
        </w:rPr>
        <w:instrText xml:space="preserve">FORMTEXT</w:instrText>
      </w:r>
      <w:r>
        <w:rPr>
          <w:rFonts w:ascii="黑体" w:hAnsi="黑体" w:eastAsia="黑体"/>
          <w:color w:val="000000" w:themeColor="text1"/>
          <w:szCs w:val="28"/>
          <w14:textFill>
            <w14:solidFill>
              <w14:schemeClr w14:val="tx1"/>
            </w14:solidFill>
          </w14:textFill>
        </w:rPr>
        <w:instrText xml:space="preserve"> </w:instrText>
      </w:r>
      <w:r>
        <w:rPr>
          <w:rFonts w:ascii="黑体" w:hAnsi="黑体" w:eastAsia="黑体"/>
          <w:color w:val="000000" w:themeColor="text1"/>
          <w:szCs w:val="28"/>
          <w14:textFill>
            <w14:solidFill>
              <w14:schemeClr w14:val="tx1"/>
            </w14:solidFill>
          </w14:textFill>
        </w:rPr>
        <w:fldChar w:fldCharType="separate"/>
      </w:r>
      <w:r>
        <w:rPr>
          <w:rFonts w:ascii="黑体" w:hAnsi="黑体" w:eastAsia="黑体"/>
          <w:color w:val="000000" w:themeColor="text1"/>
          <w:szCs w:val="28"/>
          <w14:textFill>
            <w14:solidFill>
              <w14:schemeClr w14:val="tx1"/>
            </w14:solidFill>
          </w14:textFill>
        </w:rPr>
        <w:t>Specifications for the construction and operation of low-altitude vertical take-off and landing ports and stops</w:t>
      </w:r>
      <w:r>
        <w:rPr>
          <w:rFonts w:ascii="黑体" w:hAnsi="黑体" w:eastAsia="黑体"/>
          <w:color w:val="000000" w:themeColor="text1"/>
          <w:szCs w:val="28"/>
          <w14:textFill>
            <w14:solidFill>
              <w14:schemeClr w14:val="tx1"/>
            </w14:solidFill>
          </w14:textFill>
        </w:rPr>
        <w:fldChar w:fldCharType="end"/>
      </w:r>
      <w:bookmarkEnd w:id="9"/>
    </w:p>
    <w:p w14:paraId="5B885508">
      <w:pPr>
        <w:framePr w:w="9639" w:h="6974" w:hRule="exact" w:wrap="around" w:vAnchor="page" w:hAnchor="page" w:x="1419" w:y="6408" w:anchorLock="1"/>
        <w:spacing w:line="760" w:lineRule="exact"/>
        <w:ind w:left="-1418"/>
        <w:rPr>
          <w:color w:val="000000" w:themeColor="text1"/>
          <w14:textFill>
            <w14:solidFill>
              <w14:schemeClr w14:val="tx1"/>
            </w14:solidFill>
          </w14:textFill>
        </w:rPr>
      </w:pPr>
    </w:p>
    <w:p w14:paraId="5B885509">
      <w:pPr>
        <w:pStyle w:val="131"/>
        <w:framePr w:w="9639" w:h="6974" w:hRule="exact" w:wrap="around" w:vAnchor="page" w:hAnchor="page" w:x="1419" w:y="6408" w:anchorLock="1"/>
        <w:textAlignment w:val="bottom"/>
        <w:rPr>
          <w:rFonts w:eastAsia="黑体"/>
          <w:color w:val="000000" w:themeColor="text1"/>
          <w:szCs w:val="28"/>
          <w14:textFill>
            <w14:solidFill>
              <w14:schemeClr w14:val="tx1"/>
            </w14:solidFill>
          </w14:textFill>
        </w:rPr>
      </w:pPr>
    </w:p>
    <w:p w14:paraId="5B88550A">
      <w:pPr>
        <w:pStyle w:val="131"/>
        <w:framePr w:w="9639" w:h="6974" w:hRule="exact" w:wrap="around" w:vAnchor="page" w:hAnchor="page" w:x="1419" w:y="6408" w:anchorLock="1"/>
        <w:spacing w:before="180" w:line="240" w:lineRule="atLeast"/>
        <w:textAlignment w:val="bottom"/>
        <w:rPr>
          <w:color w:val="000000" w:themeColor="text1"/>
          <w:sz w:val="21"/>
          <w:szCs w:val="28"/>
          <w14:textFill>
            <w14:solidFill>
              <w14:schemeClr w14:val="tx1"/>
            </w14:solidFill>
          </w14:textFill>
        </w:rPr>
      </w:pPr>
      <w:r>
        <w:rPr>
          <w:color w:val="000000" w:themeColor="text1"/>
          <w:sz w:val="21"/>
          <w:szCs w:val="28"/>
          <w14:textFill>
            <w14:solidFill>
              <w14:schemeClr w14:val="tx1"/>
            </w14:solidFill>
          </w14:textFill>
        </w:rPr>
        <w:fldChar w:fldCharType="begin">
          <w:ffData>
            <w:name w:val="CMPLSH_DATE"/>
            <w:enabled/>
            <w:calcOnExit w:val="0"/>
            <w:textInput>
              <w:default w:val="(征求意见稿）"/>
            </w:textInput>
          </w:ffData>
        </w:fldChar>
      </w:r>
      <w:bookmarkStart w:id="10" w:name="CMPLSH_DATE"/>
      <w:r>
        <w:rPr>
          <w:color w:val="000000" w:themeColor="text1"/>
          <w:sz w:val="21"/>
          <w:szCs w:val="28"/>
          <w14:textFill>
            <w14:solidFill>
              <w14:schemeClr w14:val="tx1"/>
            </w14:solidFill>
          </w14:textFill>
        </w:rPr>
        <w:instrText xml:space="preserve"> FORMTEXT </w:instrText>
      </w:r>
      <w:r>
        <w:rPr>
          <w:color w:val="000000" w:themeColor="text1"/>
          <w:sz w:val="21"/>
          <w:szCs w:val="28"/>
          <w14:textFill>
            <w14:solidFill>
              <w14:schemeClr w14:val="tx1"/>
            </w14:solidFill>
          </w14:textFill>
        </w:rPr>
        <w:fldChar w:fldCharType="separate"/>
      </w:r>
      <w:r>
        <w:rPr>
          <w:rFonts w:hint="eastAsia"/>
          <w:color w:val="000000" w:themeColor="text1"/>
          <w:sz w:val="21"/>
          <w:szCs w:val="28"/>
          <w14:textFill>
            <w14:solidFill>
              <w14:schemeClr w14:val="tx1"/>
            </w14:solidFill>
          </w14:textFill>
        </w:rPr>
        <w:t>(征求意见稿）</w:t>
      </w:r>
      <w:r>
        <w:rPr>
          <w:color w:val="000000" w:themeColor="text1"/>
          <w:sz w:val="21"/>
          <w:szCs w:val="28"/>
          <w14:textFill>
            <w14:solidFill>
              <w14:schemeClr w14:val="tx1"/>
            </w14:solidFill>
          </w14:textFill>
        </w:rPr>
        <w:fldChar w:fldCharType="end"/>
      </w:r>
      <w:bookmarkEnd w:id="10"/>
    </w:p>
    <w:p w14:paraId="5B88550B">
      <w:pPr>
        <w:pStyle w:val="199"/>
        <w:framePr w:wrap="around" w:y="14176"/>
        <w:widowControl w:val="0"/>
        <w:rPr>
          <w:color w:val="000000" w:themeColor="text1"/>
          <w14:textFill>
            <w14:solidFill>
              <w14:schemeClr w14:val="tx1"/>
            </w14:solidFill>
          </w14:textFill>
        </w:rPr>
      </w:pPr>
      <w:r>
        <w:rPr>
          <w:rFonts w:ascii="黑体"/>
          <w:color w:val="000000" w:themeColor="text1"/>
          <w14:textFill>
            <w14:solidFill>
              <w14:schemeClr w14:val="tx1"/>
            </w14:solidFill>
          </w14:textFill>
        </w:rPr>
        <w:fldChar w:fldCharType="begin">
          <w:ffData>
            <w:name w:val="PLSH_DATE_Y"/>
            <w:enabled/>
            <w:calcOnExit w:val="0"/>
            <w:textInput>
              <w:default w:val="XXXX"/>
              <w:maxLength w:val="4"/>
            </w:textInput>
          </w:ffData>
        </w:fldChar>
      </w:r>
      <w:bookmarkStart w:id="11" w:name="PLSH_DATE_Y"/>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XXXX</w:t>
      </w:r>
      <w:r>
        <w:rPr>
          <w:rFonts w:ascii="黑体"/>
          <w:color w:val="000000" w:themeColor="text1"/>
          <w14:textFill>
            <w14:solidFill>
              <w14:schemeClr w14:val="tx1"/>
            </w14:solidFill>
          </w14:textFill>
        </w:rPr>
        <w:fldChar w:fldCharType="end"/>
      </w:r>
      <w:bookmarkEnd w:id="11"/>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PLSH_DATE_M"/>
            <w:enabled/>
            <w:calcOnExit w:val="0"/>
            <w:textInput>
              <w:default w:val="XX"/>
              <w:maxLength w:val="2"/>
            </w:textInput>
          </w:ffData>
        </w:fldChar>
      </w:r>
      <w:bookmarkStart w:id="12" w:name="PLSH_DATE_M"/>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2"/>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PLSH_DATE_D"/>
            <w:enabled/>
            <w:calcOnExit w:val="0"/>
            <w:textInput>
              <w:default w:val="XX"/>
              <w:maxLength w:val="2"/>
            </w:textInput>
          </w:ffData>
        </w:fldChar>
      </w:r>
      <w:bookmarkStart w:id="13" w:name="PLSH_DATE_D"/>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3"/>
      <w:r>
        <w:rPr>
          <w:rFonts w:hint="eastAsia"/>
          <w:color w:val="000000" w:themeColor="text1"/>
          <w14:textFill>
            <w14:solidFill>
              <w14:schemeClr w14:val="tx1"/>
            </w14:solidFill>
          </w14:textFill>
        </w:rPr>
        <w:t>发布</w:t>
      </w:r>
    </w:p>
    <w:p w14:paraId="5B88550C">
      <w:pPr>
        <w:pStyle w:val="200"/>
        <w:framePr w:wrap="around" w:y="14176"/>
        <w:widowControl w:val="0"/>
        <w:rPr>
          <w:color w:val="000000" w:themeColor="text1"/>
          <w14:textFill>
            <w14:solidFill>
              <w14:schemeClr w14:val="tx1"/>
            </w14:solidFill>
          </w14:textFill>
        </w:rPr>
      </w:pPr>
      <w:r>
        <w:rPr>
          <w:rFonts w:ascii="黑体"/>
          <w:color w:val="000000" w:themeColor="text1"/>
          <w14:textFill>
            <w14:solidFill>
              <w14:schemeClr w14:val="tx1"/>
            </w14:solidFill>
          </w14:textFill>
        </w:rPr>
        <w:fldChar w:fldCharType="begin">
          <w:ffData>
            <w:name w:val="CROT_DATE_Y"/>
            <w:enabled/>
            <w:calcOnExit w:val="0"/>
            <w:textInput>
              <w:default w:val="XXXX"/>
              <w:maxLength w:val="4"/>
            </w:textInput>
          </w:ffData>
        </w:fldChar>
      </w:r>
      <w:bookmarkStart w:id="14" w:name="CROT_DATE_Y"/>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XXXX</w:t>
      </w:r>
      <w:r>
        <w:rPr>
          <w:rFonts w:ascii="黑体"/>
          <w:color w:val="000000" w:themeColor="text1"/>
          <w14:textFill>
            <w14:solidFill>
              <w14:schemeClr w14:val="tx1"/>
            </w14:solidFill>
          </w14:textFill>
        </w:rPr>
        <w:fldChar w:fldCharType="end"/>
      </w:r>
      <w:bookmarkEnd w:id="14"/>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CROT_DATE_M"/>
            <w:enabled/>
            <w:calcOnExit w:val="0"/>
            <w:textInput>
              <w:default w:val="XX"/>
              <w:maxLength w:val="2"/>
            </w:textInput>
          </w:ffData>
        </w:fldChar>
      </w:r>
      <w:bookmarkStart w:id="15" w:name="CROT_DATE_M"/>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5"/>
      <w:r>
        <w:rPr>
          <w:rFonts w:ascii="黑体"/>
          <w:color w:val="000000" w:themeColor="text1"/>
          <w14:textFill>
            <w14:solidFill>
              <w14:schemeClr w14:val="tx1"/>
            </w14:solidFill>
          </w14:textFill>
        </w:rPr>
        <w:t>-</w:t>
      </w:r>
      <w:r>
        <w:rPr>
          <w:rFonts w:ascii="黑体"/>
          <w:color w:val="000000" w:themeColor="text1"/>
          <w14:textFill>
            <w14:solidFill>
              <w14:schemeClr w14:val="tx1"/>
            </w14:solidFill>
          </w14:textFill>
        </w:rPr>
        <w:fldChar w:fldCharType="begin">
          <w:ffData>
            <w:name w:val="CROT_DATE_D"/>
            <w:enabled/>
            <w:calcOnExit w:val="0"/>
            <w:textInput>
              <w:default w:val="XX"/>
              <w:maxLength w:val="2"/>
            </w:textInput>
          </w:ffData>
        </w:fldChar>
      </w:r>
      <w:bookmarkStart w:id="16" w:name="CROT_DATE_D"/>
      <w:r>
        <w:rPr>
          <w:rFonts w:ascii="黑体"/>
          <w:color w:val="000000" w:themeColor="text1"/>
          <w14:textFill>
            <w14:solidFill>
              <w14:schemeClr w14:val="tx1"/>
            </w14:solidFill>
          </w14:textFill>
        </w:rPr>
        <w:instrText xml:space="preserve"> FORMTEXT </w:instrText>
      </w:r>
      <w:r>
        <w:rPr>
          <w:rFonts w:ascii="黑体"/>
          <w:color w:val="000000" w:themeColor="text1"/>
          <w14:textFill>
            <w14:solidFill>
              <w14:schemeClr w14:val="tx1"/>
            </w14:solidFill>
          </w14:textFill>
        </w:rPr>
        <w:fldChar w:fldCharType="separate"/>
      </w:r>
      <w:r>
        <w:rPr>
          <w:rFonts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fldChar w:fldCharType="end"/>
      </w:r>
      <w:bookmarkEnd w:id="16"/>
      <w:r>
        <w:rPr>
          <w:rFonts w:hint="eastAsia"/>
          <w:color w:val="000000" w:themeColor="text1"/>
          <w14:textFill>
            <w14:solidFill>
              <w14:schemeClr w14:val="tx1"/>
            </w14:solidFill>
          </w14:textFill>
        </w:rPr>
        <w:t>实施</w:t>
      </w:r>
    </w:p>
    <w:p w14:paraId="5B88550D">
      <w:pPr>
        <w:pStyle w:val="157"/>
        <w:framePr w:h="584" w:hRule="exact" w:hSpace="181" w:vSpace="181" w:wrap="around" w:y="15027"/>
        <w:widowControl w:val="0"/>
        <w:rPr>
          <w:rFonts w:hAnsi="黑体"/>
          <w:color w:val="000000" w:themeColor="text1"/>
          <w14:textFill>
            <w14:solidFill>
              <w14:schemeClr w14:val="tx1"/>
            </w14:solidFill>
          </w14:textFill>
        </w:rPr>
      </w:pPr>
      <w:r>
        <w:rPr>
          <w:rFonts w:hint="eastAsia" w:hAnsi="黑体"/>
          <w:color w:val="000000" w:themeColor="text1"/>
          <w:spacing w:val="20"/>
          <w:sz w:val="28"/>
          <w14:textFill>
            <w14:solidFill>
              <w14:schemeClr w14:val="tx1"/>
            </w14:solidFill>
          </w14:textFill>
        </w:rPr>
        <w:t>湖北省市场监督管理局</w:t>
      </w:r>
      <w:r>
        <w:rPr>
          <w:rFonts w:ascii="Times New Roman"/>
          <w:color w:val="000000" w:themeColor="text1"/>
          <w:w w:val="100"/>
          <w:sz w:val="28"/>
          <w14:textFill>
            <w14:solidFill>
              <w14:schemeClr w14:val="tx1"/>
            </w14:solidFill>
          </w14:textFill>
        </w:rPr>
        <w:t>  </w:t>
      </w:r>
      <w:r>
        <w:rPr>
          <w:rStyle w:val="235"/>
          <w:rFonts w:hint="eastAsia" w:hAnsi="黑体"/>
          <w:color w:val="000000" w:themeColor="text1"/>
          <w:position w:val="0"/>
          <w14:textFill>
            <w14:solidFill>
              <w14:schemeClr w14:val="tx1"/>
            </w14:solidFill>
          </w14:textFill>
        </w:rPr>
        <w:t>发</w:t>
      </w:r>
      <w:r>
        <w:rPr>
          <w:rStyle w:val="235"/>
          <w:rFonts w:hint="eastAsia" w:hAnsi="黑体"/>
          <w:color w:val="000000" w:themeColor="text1"/>
          <w:spacing w:val="0"/>
          <w:position w:val="0"/>
          <w14:textFill>
            <w14:solidFill>
              <w14:schemeClr w14:val="tx1"/>
            </w14:solidFill>
          </w14:textFill>
        </w:rPr>
        <w:t>布</w:t>
      </w:r>
    </w:p>
    <w:p w14:paraId="5B88550E">
      <w:pPr>
        <w:rPr>
          <w:rFonts w:ascii="宋体" w:hAnsi="宋体"/>
          <w:color w:val="000000" w:themeColor="text1"/>
          <w:sz w:val="28"/>
          <w:szCs w:val="28"/>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宋体" w:hAnsi="宋体"/>
          <w:color w:val="000000" w:themeColor="text1"/>
          <w:sz w:val="28"/>
          <w:szCs w:val="28"/>
          <w14:textFill>
            <w14:solidFill>
              <w14:schemeClr w14:val="tx1"/>
            </w14:solidFill>
          </w14:textFill>
        </w:rPr>
        <mc:AlternateContent>
          <mc:Choice Requires="wps">
            <w:drawing>
              <wp:anchor distT="0" distB="0" distL="114300" distR="114300" simplePos="0" relativeHeight="251659264" behindDoc="0" locked="1" layoutInCell="1" allowOverlap="1">
                <wp:simplePos x="0" y="0"/>
                <wp:positionH relativeFrom="page">
                  <wp:posOffset>899795</wp:posOffset>
                </wp:positionH>
                <wp:positionV relativeFrom="page">
                  <wp:posOffset>9252585</wp:posOffset>
                </wp:positionV>
                <wp:extent cx="6120130" cy="0"/>
                <wp:effectExtent l="0" t="0" r="1397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55pt;height:0pt;width:481.9pt;mso-position-horizontal-relative:page;mso-position-vertical-relative:page;z-index:251659264;mso-width-relative:page;mso-height-relative:page;" filled="f" stroked="t" coordsize="21600,21600" o:gfxdata="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5qdGL1wAAAA4B&#10;AAAPAAAAAAAAAAEAIAAAACIAAABkcnMvZG93bnJldi54bWxQSwECFAAUAAAACACHTuJAAzUM5uMB&#10;AACqAwAADgAAAAAAAAABACAAAAAmAQAAZHJzL2Uyb0RvYy54bWxQSwUGAAAAAAYABgBZAQAAewUA&#10;AAAA&#10;">
                <v:fill on="f" focussize="0,0"/>
                <v:stroke color="#000000" joinstyle="round"/>
                <v:imagedata o:title=""/>
                <o:lock v:ext="edit" aspectratio="f"/>
                <w10:anchorlock/>
              </v:line>
            </w:pict>
          </mc:Fallback>
        </mc:AlternateContent>
      </w:r>
    </w:p>
    <w:p w14:paraId="5B88550F">
      <w:pPr>
        <w:pStyle w:val="97"/>
        <w:spacing w:after="468"/>
        <w:rPr>
          <w:color w:val="000000" w:themeColor="text1"/>
          <w14:textFill>
            <w14:solidFill>
              <w14:schemeClr w14:val="tx1"/>
            </w14:solidFill>
          </w14:textFill>
        </w:rPr>
      </w:pPr>
      <w:bookmarkStart w:id="17" w:name="BookMark1"/>
      <w:r>
        <w:rPr>
          <w:rFonts w:hint="eastAsia"/>
          <w:color w:val="000000" w:themeColor="text1"/>
          <w:spacing w:val="320"/>
          <w14:textFill>
            <w14:solidFill>
              <w14:schemeClr w14:val="tx1"/>
            </w14:solidFill>
          </w14:textFill>
        </w:rPr>
        <w:t>目</w:t>
      </w:r>
      <w:r>
        <w:rPr>
          <w:rFonts w:hint="eastAsia"/>
          <w:color w:val="000000" w:themeColor="text1"/>
          <w14:textFill>
            <w14:solidFill>
              <w14:schemeClr w14:val="tx1"/>
            </w14:solidFill>
          </w14:textFill>
        </w:rPr>
        <w:t>次</w:t>
      </w:r>
    </w:p>
    <w:p w14:paraId="4683353B">
      <w:pPr>
        <w:pStyle w:val="23"/>
        <w:tabs>
          <w:tab w:val="right" w:leader="dot" w:pos="9344"/>
        </w:tabs>
        <w:rPr>
          <w:rFonts w:asciiTheme="minorHAnsi" w:hAnsiTheme="minorHAnsi" w:eastAsiaTheme="minorEastAsia" w:cstheme="minorBidi"/>
          <w:sz w:val="22"/>
          <w:szCs w:val="24"/>
          <w14:ligatures w14:val="standardContextua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"1-1" \h </w:instrText>
      </w:r>
      <w:r>
        <w:rPr>
          <w:color w:val="000000" w:themeColor="text1"/>
          <w14:textFill>
            <w14:solidFill>
              <w14:schemeClr w14:val="tx1"/>
            </w14:solidFill>
          </w14:textFill>
        </w:rPr>
        <w:fldChar w:fldCharType="separate"/>
      </w:r>
      <w:r>
        <w:fldChar w:fldCharType="begin"/>
      </w:r>
      <w:r>
        <w:instrText xml:space="preserve"> HYPERLINK \l "_Toc240387887" </w:instrText>
      </w:r>
      <w:r>
        <w:fldChar w:fldCharType="separate"/>
      </w:r>
      <w:r>
        <w:rPr>
          <w:rStyle w:val="37"/>
          <w:spacing w:val="320"/>
        </w:rPr>
        <w:t>前</w:t>
      </w:r>
      <w:r>
        <w:rPr>
          <w:rStyle w:val="37"/>
        </w:rPr>
        <w:t>言</w:t>
      </w:r>
      <w:r>
        <w:rPr>
          <w:rFonts w:hint="eastAsia"/>
        </w:rPr>
        <w:tab/>
      </w:r>
      <w:r>
        <w:rPr>
          <w:rFonts w:hint="eastAsia"/>
        </w:rPr>
        <w:fldChar w:fldCharType="begin"/>
      </w:r>
      <w:r>
        <w:rPr>
          <w:rFonts w:hint="eastAsia"/>
        </w:rPr>
        <w:instrText xml:space="preserve"> </w:instrText>
      </w:r>
      <w:r>
        <w:instrText xml:space="preserve">PAGEREF _Toc240387887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329DEE87">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"_Toc240387888" </w:instrText>
      </w:r>
      <w:r>
        <w:fldChar w:fldCharType="separate"/>
      </w:r>
      <w:r>
        <w:rPr>
          <w:rStyle w:val="37"/>
        </w:rPr>
        <w:t>1 范围</w:t>
      </w:r>
      <w:r>
        <w:rPr>
          <w:rFonts w:hint="eastAsia"/>
        </w:rPr>
        <w:tab/>
      </w:r>
      <w:r>
        <w:rPr>
          <w:rFonts w:hint="eastAsia"/>
        </w:rPr>
        <w:fldChar w:fldCharType="begin"/>
      </w:r>
      <w:r>
        <w:rPr>
          <w:rFonts w:hint="eastAsia"/>
        </w:rPr>
        <w:instrText xml:space="preserve"> </w:instrText>
      </w:r>
      <w:r>
        <w:instrText xml:space="preserve">PAGEREF _Toc240387888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FD47F91">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"_Toc240387889" </w:instrText>
      </w:r>
      <w:r>
        <w:fldChar w:fldCharType="separate"/>
      </w:r>
      <w:r>
        <w:rPr>
          <w:rStyle w:val="37"/>
        </w:rPr>
        <w:t>2 规范性引用文件</w:t>
      </w:r>
      <w:r>
        <w:rPr>
          <w:rFonts w:hint="eastAsia"/>
        </w:rPr>
        <w:tab/>
      </w:r>
      <w:r>
        <w:rPr>
          <w:rFonts w:hint="eastAsia"/>
        </w:rPr>
        <w:fldChar w:fldCharType="begin"/>
      </w:r>
      <w:r>
        <w:rPr>
          <w:rFonts w:hint="eastAsia"/>
        </w:rPr>
        <w:instrText xml:space="preserve"> </w:instrText>
      </w:r>
      <w:r>
        <w:instrText xml:space="preserve">PAGEREF _Toc240387889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62EC54D">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"_Toc240387890" </w:instrText>
      </w:r>
      <w:r>
        <w:fldChar w:fldCharType="separate"/>
      </w:r>
      <w:r>
        <w:rPr>
          <w:rStyle w:val="37"/>
        </w:rPr>
        <w:t>3 术语和定义</w:t>
      </w:r>
      <w:r>
        <w:rPr>
          <w:rFonts w:hint="eastAsia"/>
        </w:rPr>
        <w:tab/>
      </w:r>
      <w:r>
        <w:rPr>
          <w:rFonts w:hint="eastAsia"/>
        </w:rPr>
        <w:fldChar w:fldCharType="begin"/>
      </w:r>
      <w:r>
        <w:rPr>
          <w:rFonts w:hint="eastAsia"/>
        </w:rPr>
        <w:instrText xml:space="preserve"> </w:instrText>
      </w:r>
      <w:r>
        <w:instrText xml:space="preserve">PAGEREF _Toc240387890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B53FCE8">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"_Toc240387891" </w:instrText>
      </w:r>
      <w:r>
        <w:fldChar w:fldCharType="separate"/>
      </w:r>
      <w:r>
        <w:rPr>
          <w:rStyle w:val="37"/>
        </w:rPr>
        <w:t>4 缩略语</w:t>
      </w:r>
      <w:r>
        <w:rPr>
          <w:rFonts w:hint="eastAsia"/>
        </w:rPr>
        <w:tab/>
      </w:r>
      <w:r>
        <w:rPr>
          <w:rFonts w:hint="eastAsia"/>
        </w:rPr>
        <w:fldChar w:fldCharType="begin"/>
      </w:r>
      <w:r>
        <w:rPr>
          <w:rFonts w:hint="eastAsia"/>
        </w:rPr>
        <w:instrText xml:space="preserve"> </w:instrText>
      </w:r>
      <w:r>
        <w:instrText xml:space="preserve">PAGEREF _Toc240387891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301A1345">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"_Toc240387892" </w:instrText>
      </w:r>
      <w:r>
        <w:fldChar w:fldCharType="separate"/>
      </w:r>
      <w:r>
        <w:rPr>
          <w:rStyle w:val="37"/>
        </w:rPr>
        <w:t>5 基本原则</w:t>
      </w:r>
      <w:r>
        <w:rPr>
          <w:rFonts w:hint="eastAsia"/>
        </w:rPr>
        <w:tab/>
      </w:r>
      <w:r>
        <w:rPr>
          <w:rFonts w:hint="eastAsia"/>
        </w:rPr>
        <w:fldChar w:fldCharType="begin"/>
      </w:r>
      <w:r>
        <w:rPr>
          <w:rFonts w:hint="eastAsia"/>
        </w:rPr>
        <w:instrText xml:space="preserve"> </w:instrText>
      </w:r>
      <w:r>
        <w:instrText xml:space="preserve">PAGEREF _Toc240387892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73620060">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"_Toc240387893" </w:instrText>
      </w:r>
      <w:r>
        <w:fldChar w:fldCharType="separate"/>
      </w:r>
      <w:r>
        <w:rPr>
          <w:rStyle w:val="37"/>
        </w:rPr>
        <w:t>6 通用要求</w:t>
      </w:r>
      <w:r>
        <w:rPr>
          <w:rFonts w:hint="eastAsia"/>
        </w:rPr>
        <w:tab/>
      </w:r>
      <w:r>
        <w:rPr>
          <w:rFonts w:hint="eastAsia"/>
        </w:rPr>
        <w:fldChar w:fldCharType="begin"/>
      </w:r>
      <w:r>
        <w:rPr>
          <w:rFonts w:hint="eastAsia"/>
        </w:rPr>
        <w:instrText xml:space="preserve"> </w:instrText>
      </w:r>
      <w:r>
        <w:instrText xml:space="preserve">PAGEREF _Toc240387893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1B55991">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"_Toc240387894" </w:instrText>
      </w:r>
      <w:r>
        <w:fldChar w:fldCharType="separate"/>
      </w:r>
      <w:r>
        <w:rPr>
          <w:rStyle w:val="37"/>
        </w:rPr>
        <w:t>7 起降场/起降点选址要求</w:t>
      </w:r>
      <w:r>
        <w:rPr>
          <w:rFonts w:hint="eastAsia"/>
        </w:rPr>
        <w:tab/>
      </w:r>
      <w:r>
        <w:rPr>
          <w:rFonts w:hint="eastAsia"/>
        </w:rPr>
        <w:fldChar w:fldCharType="begin"/>
      </w:r>
      <w:r>
        <w:rPr>
          <w:rFonts w:hint="eastAsia"/>
        </w:rPr>
        <w:instrText xml:space="preserve"> </w:instrText>
      </w:r>
      <w:r>
        <w:instrText xml:space="preserve">PAGEREF _Toc240387894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7539B85C">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"_Toc240387895" </w:instrText>
      </w:r>
      <w:r>
        <w:fldChar w:fldCharType="separate"/>
      </w:r>
      <w:r>
        <w:rPr>
          <w:rStyle w:val="37"/>
        </w:rPr>
        <w:t>8 起降场/起降点建设要求</w:t>
      </w:r>
      <w:r>
        <w:rPr>
          <w:rFonts w:hint="eastAsia"/>
        </w:rPr>
        <w:tab/>
      </w:r>
      <w:r>
        <w:rPr>
          <w:rFonts w:hint="eastAsia"/>
        </w:rPr>
        <w:fldChar w:fldCharType="begin"/>
      </w:r>
      <w:r>
        <w:rPr>
          <w:rFonts w:hint="eastAsia"/>
        </w:rPr>
        <w:instrText xml:space="preserve"> </w:instrText>
      </w:r>
      <w:r>
        <w:instrText xml:space="preserve">PAGEREF _Toc240387895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2629377">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"_Toc240387896" </w:instrText>
      </w:r>
      <w:r>
        <w:fldChar w:fldCharType="separate"/>
      </w:r>
      <w:r>
        <w:rPr>
          <w:rStyle w:val="37"/>
        </w:rPr>
        <w:t>9 起降场/起降点运行管理要求</w:t>
      </w:r>
      <w:r>
        <w:rPr>
          <w:rFonts w:hint="eastAsia"/>
        </w:rPr>
        <w:tab/>
      </w:r>
      <w:r>
        <w:rPr>
          <w:rFonts w:hint="eastAsia"/>
        </w:rPr>
        <w:fldChar w:fldCharType="begin"/>
      </w:r>
      <w:r>
        <w:rPr>
          <w:rFonts w:hint="eastAsia"/>
        </w:rPr>
        <w:instrText xml:space="preserve"> </w:instrText>
      </w:r>
      <w:r>
        <w:instrText xml:space="preserve">PAGEREF _Toc240387896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5AC00163">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"_Toc240387897" </w:instrText>
      </w:r>
      <w:r>
        <w:fldChar w:fldCharType="separate"/>
      </w:r>
      <w:r>
        <w:rPr>
          <w:rStyle w:val="37"/>
        </w:rPr>
        <w:t>10 标准实施及评价</w:t>
      </w:r>
      <w:r>
        <w:rPr>
          <w:rFonts w:hint="eastAsia"/>
        </w:rPr>
        <w:tab/>
      </w:r>
      <w:r>
        <w:rPr>
          <w:rFonts w:hint="eastAsia"/>
        </w:rPr>
        <w:fldChar w:fldCharType="begin"/>
      </w:r>
      <w:r>
        <w:rPr>
          <w:rFonts w:hint="eastAsia"/>
        </w:rPr>
        <w:instrText xml:space="preserve"> </w:instrText>
      </w:r>
      <w:r>
        <w:instrText xml:space="preserve">PAGEREF _Toc240387897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130225E8">
      <w:pPr>
        <w:pStyle w:val="23"/>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"_Toc240387898" </w:instrText>
      </w:r>
      <w:r>
        <w:fldChar w:fldCharType="separate"/>
      </w:r>
      <w:r>
        <w:rPr>
          <w:rStyle w:val="37"/>
          <w:spacing w:val="100"/>
        </w:rPr>
        <w:t>附录A</w:t>
      </w:r>
      <w:r>
        <w:rPr>
          <w:rStyle w:val="37"/>
        </w:rPr>
        <w:t xml:space="preserve"> （资料性） 湖北省地方标准实施信息及意见反馈表</w:t>
      </w:r>
      <w:r>
        <w:rPr>
          <w:rFonts w:hint="eastAsia"/>
        </w:rPr>
        <w:tab/>
      </w:r>
      <w:r>
        <w:rPr>
          <w:rFonts w:hint="eastAsia"/>
        </w:rPr>
        <w:fldChar w:fldCharType="begin"/>
      </w:r>
      <w:r>
        <w:rPr>
          <w:rFonts w:hint="eastAsia"/>
        </w:rPr>
        <w:instrText xml:space="preserve"> </w:instrText>
      </w:r>
      <w:r>
        <w:instrText xml:space="preserve">PAGEREF _Toc240387898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5B88551F">
      <w:pPr>
        <w:pStyle w:val="97"/>
        <w:spacing w:after="468"/>
        <w:rPr>
          <w:color w:val="000000" w:themeColor="text1"/>
          <w14:textFill>
            <w14:solidFill>
              <w14:schemeClr w14:val="tx1"/>
            </w14:solidFill>
          </w14:textFill>
        </w:rPr>
        <w:sectPr>
          <w:headerReference r:id="rId11" w:type="default"/>
          <w:footerReference r:id="rId13" w:type="default"/>
          <w:headerReference r:id="rId12" w:type="even"/>
          <w:pgSz w:w="11906" w:h="16838"/>
          <w:pgMar w:top="2410" w:right="1134" w:bottom="1134" w:left="1134" w:header="1418" w:footer="1134" w:gutter="284"/>
          <w:pgNumType w:fmt="upperRoman" w:start="1"/>
          <w:cols w:space="425" w:num="1"/>
          <w:formProt w:val="0"/>
          <w:docGrid w:type="lines" w:linePitch="312" w:charSpace="0"/>
        </w:sectPr>
      </w:pPr>
      <w:r>
        <w:rPr>
          <w:color w:val="000000" w:themeColor="text1"/>
          <w14:textFill>
            <w14:solidFill>
              <w14:schemeClr w14:val="tx1"/>
            </w14:solidFill>
          </w14:textFill>
        </w:rPr>
        <w:fldChar w:fldCharType="end"/>
      </w:r>
    </w:p>
    <w:bookmarkEnd w:id="17"/>
    <w:p w14:paraId="5B885520">
      <w:pPr>
        <w:pStyle w:val="95"/>
        <w:widowControl w:val="0"/>
        <w:spacing w:after="468"/>
        <w:rPr>
          <w:color w:val="000000" w:themeColor="text1"/>
          <w14:textFill>
            <w14:solidFill>
              <w14:schemeClr w14:val="tx1"/>
            </w14:solidFill>
          </w14:textFill>
        </w:rPr>
      </w:pPr>
      <w:bookmarkStart w:id="18" w:name="_Toc240387887"/>
      <w:bookmarkStart w:id="19" w:name="BookMark2"/>
      <w:r>
        <w:rPr>
          <w:color w:val="000000" w:themeColor="text1"/>
          <w:spacing w:val="320"/>
          <w14:textFill>
            <w14:solidFill>
              <w14:schemeClr w14:val="tx1"/>
            </w14:solidFill>
          </w14:textFill>
        </w:rPr>
        <w:t>前</w:t>
      </w:r>
      <w:r>
        <w:rPr>
          <w:color w:val="000000" w:themeColor="text1"/>
          <w14:textFill>
            <w14:solidFill>
              <w14:schemeClr w14:val="tx1"/>
            </w14:solidFill>
          </w14:textFill>
        </w:rPr>
        <w:t>言</w:t>
      </w:r>
      <w:bookmarkEnd w:id="18"/>
    </w:p>
    <w:p w14:paraId="5B885521">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本文件按照GB/T 1.1—2020《标准化工作导则  第1部分：标准化文件的结构和起草规则》的规定起草。</w:t>
      </w:r>
    </w:p>
    <w:p w14:paraId="5B885522">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请注意本文件中的某些内容可能涉及专利。本文件的发布机构不负责承担识别这些专利的责任。</w:t>
      </w:r>
    </w:p>
    <w:p w14:paraId="5B885523">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本文件由湖北省低空综合服务有限责任公司提出。</w:t>
      </w:r>
    </w:p>
    <w:p w14:paraId="5B885524">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本文件由</w:t>
      </w:r>
      <w:r>
        <w:rPr>
          <w:rFonts w:hint="eastAsia" w:hAnsi="宋体"/>
          <w:color w:val="000000" w:themeColor="text1"/>
          <w:szCs w:val="21"/>
          <w14:textFill>
            <w14:solidFill>
              <w14:schemeClr w14:val="tx1"/>
            </w14:solidFill>
          </w14:textFill>
        </w:rPr>
        <w:t>湖北省发展和改革委员会</w:t>
      </w:r>
      <w:r>
        <w:rPr>
          <w:rFonts w:hint="eastAsia"/>
          <w:color w:val="000000" w:themeColor="text1"/>
          <w14:textFill>
            <w14:solidFill>
              <w14:schemeClr w14:val="tx1"/>
            </w14:solidFill>
          </w14:textFill>
        </w:rPr>
        <w:t>归口。</w:t>
      </w:r>
    </w:p>
    <w:p w14:paraId="5B885525">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本文件起草单位：湖北省低空综合服务有限责任公司、北京航空航天大学杭州创新研究院、湖北省标准化与质量研究院、</w:t>
      </w:r>
      <w:r>
        <w:rPr>
          <w:color w:val="000000" w:themeColor="text1"/>
          <w14:textFill>
            <w14:solidFill>
              <w14:schemeClr w14:val="tx1"/>
            </w14:solidFill>
          </w14:textFill>
        </w:rPr>
        <w:t>湖北邮电规划设计有限公司</w:t>
      </w:r>
      <w:r>
        <w:rPr>
          <w:rFonts w:hint="eastAsia"/>
          <w:color w:val="000000" w:themeColor="text1"/>
          <w14:textFill>
            <w14:solidFill>
              <w14:schemeClr w14:val="tx1"/>
            </w14:solidFill>
          </w14:textFill>
        </w:rPr>
        <w:t>、湖南艾翔机场设施有限公司</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普宙科技有限公司</w:t>
      </w:r>
      <w:r>
        <w:rPr>
          <w:rFonts w:hint="eastAsia"/>
          <w:color w:val="000000" w:themeColor="text1"/>
          <w14:textFill>
            <w14:solidFill>
              <w14:schemeClr w14:val="tx1"/>
            </w14:solidFill>
          </w14:textFill>
        </w:rPr>
        <w:t>。</w:t>
      </w:r>
    </w:p>
    <w:p w14:paraId="5B885526">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本文件主要起草人：</w:t>
      </w:r>
      <w:r>
        <w:rPr>
          <w:color w:val="000000" w:themeColor="text1"/>
          <w14:textFill>
            <w14:solidFill>
              <w14:schemeClr w14:val="tx1"/>
            </w14:solidFill>
          </w14:textFill>
        </w:rPr>
        <w:t>XX、XX、XX、XX、XX、XX、XX、XX、XX。</w:t>
      </w:r>
      <w:bookmarkStart w:id="738" w:name="_GoBack"/>
      <w:bookmarkEnd w:id="738"/>
    </w:p>
    <w:p w14:paraId="5B885527">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本文件实施应用中的疑问，可咨询湖北省发展和改革委员会，联系电话：027-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；或者牵头单位，联系电话：027-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。对本文件的有关修改意见建议请反馈至湖北省发展和改革委员会，联系电话：027-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；或者湖北省市场监督管理局，联系电话：027-</w:t>
      </w:r>
      <w:r>
        <w:rPr>
          <w:color w:val="000000" w:themeColor="text1"/>
          <w14:textFill>
            <w14:solidFill>
              <w14:schemeClr w14:val="tx1"/>
            </w14:solidFill>
          </w14:textFill>
        </w:rPr>
        <w:t>XXXXXXXX</w:t>
      </w:r>
      <w:r>
        <w:rPr>
          <w:rFonts w:hint="eastAsia"/>
          <w:color w:val="000000" w:themeColor="text1"/>
          <w14:textFill>
            <w14:solidFill>
              <w14:schemeClr w14:val="tx1"/>
            </w14:solidFill>
          </w14:textFill>
        </w:rPr>
        <w:t>，邮箱：X</w:t>
      </w:r>
      <w:r>
        <w:rPr>
          <w:color w:val="000000" w:themeColor="text1"/>
          <w14:textFill>
            <w14:solidFill>
              <w14:schemeClr w14:val="tx1"/>
            </w14:solidFill>
          </w14:textFill>
        </w:rPr>
        <w:t>XXXXXXXXXXXX</w:t>
      </w:r>
      <w:r>
        <w:rPr>
          <w:rFonts w:hint="eastAsia"/>
          <w:color w:val="000000" w:themeColor="text1"/>
          <w14:textFill>
            <w14:solidFill>
              <w14:schemeClr w14:val="tx1"/>
            </w14:solidFill>
          </w14:textFill>
        </w:rPr>
        <w:t>。</w:t>
      </w:r>
    </w:p>
    <w:p w14:paraId="5B885528">
      <w:pPr>
        <w:pStyle w:val="62"/>
        <w:widowControl w:val="0"/>
        <w:ind w:firstLine="420"/>
        <w:rPr>
          <w:color w:val="000000" w:themeColor="text1"/>
          <w14:textFill>
            <w14:solidFill>
              <w14:schemeClr w14:val="tx1"/>
            </w14:solidFill>
          </w14:textFill>
        </w:rPr>
        <w:sectPr>
          <w:pgSz w:w="11906" w:h="16838"/>
          <w:pgMar w:top="2410" w:right="1134" w:bottom="1134" w:left="1134" w:header="1418" w:footer="1134" w:gutter="284"/>
          <w:pgNumType w:fmt="upperRoman"/>
          <w:cols w:space="425" w:num="1"/>
          <w:formProt w:val="0"/>
          <w:docGrid w:type="lines" w:linePitch="312" w:charSpace="0"/>
        </w:sectPr>
      </w:pPr>
    </w:p>
    <w:bookmarkEnd w:id="19"/>
    <w:p w14:paraId="5B885529">
      <w:pPr>
        <w:spacing w:line="20" w:lineRule="exact"/>
        <w:jc w:val="center"/>
        <w:rPr>
          <w:rFonts w:ascii="黑体" w:hAnsi="黑体" w:eastAsia="黑体"/>
          <w:color w:val="000000" w:themeColor="text1"/>
          <w:sz w:val="32"/>
          <w:szCs w:val="32"/>
          <w14:textFill>
            <w14:solidFill>
              <w14:schemeClr w14:val="tx1"/>
            </w14:solidFill>
          </w14:textFill>
        </w:rPr>
      </w:pPr>
      <w:bookmarkStart w:id="20" w:name="BookMark4"/>
    </w:p>
    <w:p w14:paraId="5B88552A">
      <w:pPr>
        <w:spacing w:line="20" w:lineRule="exact"/>
        <w:jc w:val="center"/>
        <w:rPr>
          <w:rFonts w:ascii="黑体" w:hAnsi="黑体" w:eastAsia="黑体"/>
          <w:color w:val="000000" w:themeColor="text1"/>
          <w:sz w:val="32"/>
          <w:szCs w:val="32"/>
          <w14:textFill>
            <w14:solidFill>
              <w14:schemeClr w14:val="tx1"/>
            </w14:solidFill>
          </w14:textFill>
        </w:rPr>
      </w:pPr>
    </w:p>
    <w:sdt>
      <w:sdtPr>
        <w:rPr>
          <w:color w:val="000000" w:themeColor="text1"/>
          <w14:textFill>
            <w14:solidFill>
              <w14:schemeClr w14:val="tx1"/>
            </w14:solidFill>
          </w14:textFill>
        </w:rPr>
        <w:tag w:val="NEW_STAND_NAME"/>
        <w:id w:val="595910757"/>
        <w:lock w:val="sdtLocked"/>
        <w:placeholder>
          <w:docPart w:val="DCA9705200F54D5DA63CB215674CDF32"/>
        </w:placeholder>
      </w:sdtPr>
      <w:sdtEndPr>
        <w:rPr>
          <w:color w:val="000000" w:themeColor="text1"/>
          <w14:textFill>
            <w14:solidFill>
              <w14:schemeClr w14:val="tx1"/>
            </w14:solidFill>
          </w14:textFill>
        </w:rPr>
      </w:sdtEndPr>
      <w:sdtContent>
        <w:p w14:paraId="5B88552C">
          <w:pPr>
            <w:pStyle w:val="183"/>
            <w:widowControl w:val="0"/>
            <w:spacing w:before="3" w:beforeLines="1" w:after="686" w:afterLines="220"/>
            <w:rPr>
              <w:color w:val="000000" w:themeColor="text1"/>
              <w14:textFill>
                <w14:solidFill>
                  <w14:schemeClr w14:val="tx1"/>
                </w14:solidFill>
              </w14:textFill>
            </w:rPr>
          </w:pPr>
          <w:bookmarkStart w:id="21" w:name="NEW_STAND_NAME"/>
          <w:r>
            <w:rPr>
              <w:rFonts w:hint="eastAsia"/>
              <w:color w:val="000000" w:themeColor="text1"/>
              <w14:textFill>
                <w14:solidFill>
                  <w14:schemeClr w14:val="tx1"/>
                </w14:solidFill>
              </w14:textFill>
            </w:rPr>
            <w:t>低空垂直起降场站建设与运行规范</w:t>
          </w:r>
        </w:p>
      </w:sdtContent>
    </w:sdt>
    <w:bookmarkEnd w:id="21"/>
    <w:p w14:paraId="5B88552D">
      <w:pPr>
        <w:pStyle w:val="110"/>
        <w:widowControl w:val="0"/>
        <w:spacing w:before="312" w:after="312"/>
        <w:ind w:left="0"/>
        <w:rPr>
          <w:color w:val="000000" w:themeColor="text1"/>
          <w14:textFill>
            <w14:solidFill>
              <w14:schemeClr w14:val="tx1"/>
            </w14:solidFill>
          </w14:textFill>
        </w:rPr>
      </w:pPr>
      <w:bookmarkStart w:id="22" w:name="_Toc24884211"/>
      <w:bookmarkStart w:id="23" w:name="_Toc17233325"/>
      <w:bookmarkStart w:id="24" w:name="_Toc26986771"/>
      <w:bookmarkStart w:id="25" w:name="_Toc26648465"/>
      <w:bookmarkStart w:id="26" w:name="_Toc17233333"/>
      <w:bookmarkStart w:id="27" w:name="_Toc26718930"/>
      <w:bookmarkStart w:id="28" w:name="_Toc240387888"/>
      <w:bookmarkStart w:id="29" w:name="_Toc24884218"/>
      <w:bookmarkStart w:id="30" w:name="_Toc26986530"/>
      <w:r>
        <w:rPr>
          <w:rFonts w:hint="eastAsia"/>
          <w:color w:val="000000" w:themeColor="text1"/>
          <w14:textFill>
            <w14:solidFill>
              <w14:schemeClr w14:val="tx1"/>
            </w14:solidFill>
          </w14:textFill>
        </w:rPr>
        <w:t>范围</w:t>
      </w:r>
      <w:bookmarkEnd w:id="22"/>
      <w:bookmarkEnd w:id="23"/>
      <w:bookmarkEnd w:id="24"/>
      <w:bookmarkEnd w:id="25"/>
      <w:bookmarkEnd w:id="26"/>
      <w:bookmarkEnd w:id="27"/>
      <w:bookmarkEnd w:id="28"/>
      <w:bookmarkEnd w:id="29"/>
      <w:bookmarkEnd w:id="30"/>
    </w:p>
    <w:p w14:paraId="5B88552E">
      <w:pPr>
        <w:pStyle w:val="62"/>
        <w:widowControl w:val="0"/>
        <w:ind w:firstLine="420"/>
        <w:rPr>
          <w:color w:val="000000" w:themeColor="text1"/>
          <w14:textFill>
            <w14:solidFill>
              <w14:schemeClr w14:val="tx1"/>
            </w14:solidFill>
          </w14:textFill>
        </w:rPr>
      </w:pPr>
      <w:bookmarkStart w:id="31" w:name="_Toc24884219"/>
      <w:bookmarkStart w:id="32" w:name="_Toc26648466"/>
      <w:bookmarkStart w:id="33" w:name="_Toc17233326"/>
      <w:bookmarkStart w:id="34" w:name="_Toc24884212"/>
      <w:bookmarkStart w:id="35" w:name="_Toc17233334"/>
      <w:r>
        <w:rPr>
          <w:color w:val="000000" w:themeColor="text1"/>
          <w14:textFill>
            <w14:solidFill>
              <w14:schemeClr w14:val="tx1"/>
            </w14:solidFill>
          </w14:textFill>
        </w:rPr>
        <w:t>本文件规定了低空垂直起降场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点的分类分级，建设与运行的基本原则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通用要求</w:t>
      </w:r>
      <w:r>
        <w:rPr>
          <w:rFonts w:hint="eastAsia"/>
          <w:color w:val="000000" w:themeColor="text1"/>
          <w14:textFill>
            <w14:solidFill>
              <w14:schemeClr w14:val="tx1"/>
            </w14:solidFill>
          </w14:textFill>
        </w:rPr>
        <w:t>，以及</w:t>
      </w:r>
      <w:r>
        <w:rPr>
          <w:color w:val="000000" w:themeColor="text1"/>
          <w14:textFill>
            <w14:solidFill>
              <w14:schemeClr w14:val="tx1"/>
            </w14:solidFill>
          </w14:textFill>
        </w:rPr>
        <w:t>选址、建设</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运行管理</w:t>
      </w:r>
      <w:r>
        <w:rPr>
          <w:rFonts w:hint="eastAsia"/>
          <w:color w:val="000000" w:themeColor="text1"/>
          <w14:textFill>
            <w14:solidFill>
              <w14:schemeClr w14:val="tx1"/>
            </w14:solidFill>
          </w14:textFill>
        </w:rPr>
        <w:t>等方面的</w:t>
      </w:r>
      <w:r>
        <w:rPr>
          <w:color w:val="000000" w:themeColor="text1"/>
          <w14:textFill>
            <w14:solidFill>
              <w14:schemeClr w14:val="tx1"/>
            </w14:solidFill>
          </w14:textFill>
        </w:rPr>
        <w:t>内容。</w:t>
      </w:r>
    </w:p>
    <w:p w14:paraId="5C844EFB">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本文件适用于湖北省</w:t>
      </w:r>
      <w:r>
        <w:rPr>
          <w:rFonts w:hint="eastAsia"/>
          <w:color w:val="000000" w:themeColor="text1"/>
          <w14:textFill>
            <w14:solidFill>
              <w14:schemeClr w14:val="tx1"/>
            </w14:solidFill>
          </w14:textFill>
        </w:rPr>
        <w:t>内具备无地效悬停能力的低空垂直起降航空器</w:t>
      </w:r>
      <w:r>
        <w:rPr>
          <w:color w:val="000000" w:themeColor="text1"/>
          <w14:textFill>
            <w14:solidFill>
              <w14:schemeClr w14:val="tx1"/>
            </w14:solidFill>
          </w14:textFill>
        </w:rPr>
        <w:t>所使用的固定式起降场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的建设与运行。</w:t>
      </w:r>
    </w:p>
    <w:p w14:paraId="43D494A6">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本文件</w:t>
      </w:r>
      <w:r>
        <w:rPr>
          <w:rFonts w:hint="eastAsia"/>
          <w:color w:val="000000" w:themeColor="text1"/>
          <w14:textFill>
            <w14:solidFill>
              <w14:schemeClr w14:val="tx1"/>
            </w14:solidFill>
          </w14:textFill>
        </w:rPr>
        <w:t>不适用于车辆、船舶等移动平台上的</w:t>
      </w:r>
      <w:r>
        <w:rPr>
          <w:color w:val="000000" w:themeColor="text1"/>
          <w14:textFill>
            <w14:solidFill>
              <w14:schemeClr w14:val="tx1"/>
            </w14:solidFill>
          </w14:textFill>
        </w:rPr>
        <w:t>垂直起降</w:t>
      </w:r>
      <w:r>
        <w:rPr>
          <w:rFonts w:hint="eastAsia"/>
          <w:color w:val="000000" w:themeColor="text1"/>
          <w14:textFill>
            <w14:solidFill>
              <w14:schemeClr w14:val="tx1"/>
            </w14:solidFill>
          </w14:textFill>
        </w:rPr>
        <w:t>场/起降点以及</w:t>
      </w:r>
      <w:r>
        <w:rPr>
          <w:color w:val="000000" w:themeColor="text1"/>
          <w14:textFill>
            <w14:solidFill>
              <w14:schemeClr w14:val="tx1"/>
            </w14:solidFill>
          </w14:textFill>
        </w:rPr>
        <w:t>直升机场。</w:t>
      </w:r>
    </w:p>
    <w:p w14:paraId="5B885530">
      <w:pPr>
        <w:pStyle w:val="110"/>
        <w:widowControl w:val="0"/>
        <w:spacing w:before="312" w:after="312"/>
        <w:ind w:left="0"/>
        <w:rPr>
          <w:color w:val="000000" w:themeColor="text1"/>
          <w14:textFill>
            <w14:solidFill>
              <w14:schemeClr w14:val="tx1"/>
            </w14:solidFill>
          </w14:textFill>
        </w:rPr>
      </w:pPr>
      <w:bookmarkStart w:id="36" w:name="_Toc234855271"/>
      <w:bookmarkEnd w:id="36"/>
      <w:bookmarkStart w:id="37" w:name="_Toc234855668"/>
      <w:bookmarkEnd w:id="37"/>
      <w:bookmarkStart w:id="38" w:name="_Toc234855385"/>
      <w:bookmarkEnd w:id="38"/>
      <w:bookmarkStart w:id="39" w:name="_Toc234424765"/>
      <w:bookmarkEnd w:id="39"/>
      <w:bookmarkStart w:id="40" w:name="_Toc234856456"/>
      <w:bookmarkEnd w:id="40"/>
      <w:bookmarkStart w:id="41" w:name="_Toc26986772"/>
      <w:bookmarkStart w:id="42" w:name="_Toc26718931"/>
      <w:bookmarkStart w:id="43" w:name="_Toc240387889"/>
      <w:bookmarkStart w:id="44" w:name="_Toc26986531"/>
      <w:r>
        <w:rPr>
          <w:rFonts w:hint="eastAsia"/>
          <w:color w:val="000000" w:themeColor="text1"/>
          <w14:textFill>
            <w14:solidFill>
              <w14:schemeClr w14:val="tx1"/>
            </w14:solidFill>
          </w14:textFill>
        </w:rPr>
        <w:t>规范性引用文件</w:t>
      </w:r>
      <w:bookmarkEnd w:id="31"/>
      <w:bookmarkEnd w:id="32"/>
      <w:bookmarkEnd w:id="33"/>
      <w:bookmarkEnd w:id="34"/>
      <w:bookmarkEnd w:id="35"/>
      <w:bookmarkEnd w:id="41"/>
      <w:bookmarkEnd w:id="42"/>
      <w:bookmarkEnd w:id="43"/>
      <w:bookmarkEnd w:id="44"/>
    </w:p>
    <w:sdt>
      <w:sdtPr>
        <w:rPr>
          <w:rFonts w:hint="eastAsia"/>
          <w:color w:val="000000" w:themeColor="text1"/>
          <w14:textFill>
            <w14:solidFill>
              <w14:schemeClr w14:val="tx1"/>
            </w14:solidFill>
          </w14:textFill>
        </w:rPr>
        <w:id w:val="715848253"/>
        <w:placeholder>
          <w:docPart w:val="A78AD1C4A6FE4F85BA56B7411691F9B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000000" w:themeColor="text1"/>
          <w14:textFill>
            <w14:solidFill>
              <w14:schemeClr w14:val="tx1"/>
            </w14:solidFill>
          </w14:textFill>
        </w:rPr>
      </w:sdtEndPr>
      <w:sdtContent>
        <w:p w14:paraId="5B885531">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66955B7">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GB 5725 </w:t>
      </w:r>
      <w:r>
        <w:rPr>
          <w:rFonts w:hint="eastAsia"/>
          <w:color w:val="000000" w:themeColor="text1"/>
          <w14:textFill>
            <w14:solidFill>
              <w14:schemeClr w14:val="tx1"/>
            </w14:solidFill>
          </w14:textFill>
        </w:rPr>
        <w:t>坠落防护</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安全网</w:t>
      </w:r>
    </w:p>
    <w:p w14:paraId="55B15D89">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GB 13495.3</w:t>
      </w:r>
      <w:r>
        <w:rPr>
          <w:rFonts w:hint="eastAsia"/>
          <w:color w:val="000000" w:themeColor="text1"/>
          <w14:textFill>
            <w14:solidFill>
              <w14:schemeClr w14:val="tx1"/>
            </w14:solidFill>
          </w14:textFill>
        </w:rPr>
        <w:t xml:space="preserve"> 消防安全标志</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第3部分：设置要求</w:t>
      </w:r>
    </w:p>
    <w:p w14:paraId="3CE3B043">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GB 17945 </w:t>
      </w:r>
      <w:r>
        <w:rPr>
          <w:rFonts w:hint="eastAsia"/>
          <w:color w:val="000000" w:themeColor="text1"/>
          <w14:textFill>
            <w14:solidFill>
              <w14:schemeClr w14:val="tx1"/>
            </w14:solidFill>
          </w14:textFill>
        </w:rPr>
        <w:t>消防应急照明和疏散指示系统</w:t>
      </w:r>
    </w:p>
    <w:p w14:paraId="71190CDB">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GB/T 38121</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雷电防护 雷暴预警系统</w:t>
      </w:r>
    </w:p>
    <w:p w14:paraId="2FBC54DB">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GB 50009 </w:t>
      </w:r>
      <w:r>
        <w:rPr>
          <w:rFonts w:hint="eastAsia"/>
          <w:color w:val="000000" w:themeColor="text1"/>
          <w14:textFill>
            <w14:solidFill>
              <w14:schemeClr w14:val="tx1"/>
            </w14:solidFill>
          </w14:textFill>
        </w:rPr>
        <w:t>建筑结构荷载规范</w:t>
      </w:r>
    </w:p>
    <w:p w14:paraId="4F8EE563">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GB 50014</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室外排水设计标准</w:t>
      </w:r>
    </w:p>
    <w:p w14:paraId="6015C5E5">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GB 50016 </w:t>
      </w:r>
      <w:r>
        <w:rPr>
          <w:rFonts w:hint="eastAsia"/>
          <w:color w:val="000000" w:themeColor="text1"/>
          <w14:textFill>
            <w14:solidFill>
              <w14:schemeClr w14:val="tx1"/>
            </w14:solidFill>
          </w14:textFill>
        </w:rPr>
        <w:t>建筑设计防火规范</w:t>
      </w:r>
    </w:p>
    <w:p w14:paraId="7FFCEF60">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GB 50057</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建筑物防雷设计规范</w:t>
      </w:r>
    </w:p>
    <w:p w14:paraId="2CEECF7C">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GB 50116 </w:t>
      </w:r>
      <w:r>
        <w:rPr>
          <w:rFonts w:hint="eastAsia"/>
          <w:color w:val="000000" w:themeColor="text1"/>
          <w14:textFill>
            <w14:solidFill>
              <w14:schemeClr w14:val="tx1"/>
            </w14:solidFill>
          </w14:textFill>
        </w:rPr>
        <w:t>火灾自动报警系统设计规范</w:t>
      </w:r>
    </w:p>
    <w:p w14:paraId="7D409EF6">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 50140 建筑灭火器配置设计规范</w:t>
      </w:r>
    </w:p>
    <w:p w14:paraId="19D8F5D9">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 xml:space="preserve">GB 55036 </w:t>
      </w:r>
      <w:r>
        <w:rPr>
          <w:rFonts w:hint="eastAsia"/>
          <w:color w:val="000000" w:themeColor="text1"/>
          <w14:textFill>
            <w14:solidFill>
              <w14:schemeClr w14:val="tx1"/>
            </w14:solidFill>
          </w14:textFill>
        </w:rPr>
        <w:t>消防设施通用规范</w:t>
      </w:r>
    </w:p>
    <w:p w14:paraId="59E32FD2">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GB 55037 建筑防火通用规范</w:t>
      </w:r>
    </w:p>
    <w:p w14:paraId="5B885532">
      <w:pPr>
        <w:pStyle w:val="110"/>
        <w:widowControl w:val="0"/>
        <w:spacing w:before="312" w:after="312"/>
        <w:ind w:left="0"/>
        <w:rPr>
          <w:color w:val="000000" w:themeColor="text1"/>
          <w:szCs w:val="21"/>
          <w14:textFill>
            <w14:solidFill>
              <w14:schemeClr w14:val="tx1"/>
            </w14:solidFill>
          </w14:textFill>
        </w:rPr>
      </w:pPr>
      <w:bookmarkStart w:id="45" w:name="_Toc239434169"/>
      <w:bookmarkEnd w:id="45"/>
      <w:bookmarkStart w:id="46" w:name="_Toc240381290"/>
      <w:bookmarkEnd w:id="46"/>
      <w:bookmarkStart w:id="47" w:name="_Toc240381251"/>
      <w:bookmarkEnd w:id="47"/>
      <w:bookmarkStart w:id="48" w:name="_Toc240381254"/>
      <w:bookmarkEnd w:id="48"/>
      <w:bookmarkStart w:id="49" w:name="_Toc240381255"/>
      <w:bookmarkEnd w:id="49"/>
      <w:bookmarkStart w:id="50" w:name="_Toc240381291"/>
      <w:bookmarkEnd w:id="50"/>
      <w:bookmarkStart w:id="51" w:name="_Toc240381256"/>
      <w:bookmarkEnd w:id="51"/>
      <w:bookmarkStart w:id="52" w:name="_Toc240381294"/>
      <w:bookmarkEnd w:id="52"/>
      <w:bookmarkStart w:id="53" w:name="_Toc239434174"/>
      <w:bookmarkEnd w:id="53"/>
      <w:bookmarkStart w:id="54" w:name="_Toc240381293"/>
      <w:bookmarkEnd w:id="54"/>
      <w:bookmarkStart w:id="55" w:name="_Toc239434172"/>
      <w:bookmarkEnd w:id="55"/>
      <w:bookmarkStart w:id="56" w:name="_Toc240381252"/>
      <w:bookmarkEnd w:id="56"/>
      <w:bookmarkStart w:id="57" w:name="_Toc239434170"/>
      <w:bookmarkEnd w:id="57"/>
      <w:bookmarkStart w:id="58" w:name="_Toc240381295"/>
      <w:bookmarkEnd w:id="58"/>
      <w:bookmarkStart w:id="59" w:name="_Toc239434173"/>
      <w:bookmarkEnd w:id="59"/>
      <w:bookmarkStart w:id="60" w:name="_Toc240387890"/>
      <w:r>
        <w:rPr>
          <w:rFonts w:hint="eastAsia"/>
          <w:color w:val="000000" w:themeColor="text1"/>
          <w:szCs w:val="21"/>
          <w14:textFill>
            <w14:solidFill>
              <w14:schemeClr w14:val="tx1"/>
            </w14:solidFill>
          </w14:textFill>
        </w:rPr>
        <w:t>术语和定义</w:t>
      </w:r>
      <w:bookmarkEnd w:id="60"/>
    </w:p>
    <w:sdt>
      <w:sdtPr>
        <w:rPr>
          <w:rFonts w:hint="eastAsia"/>
          <w:color w:val="000000" w:themeColor="text1"/>
          <w14:textFill>
            <w14:solidFill>
              <w14:schemeClr w14:val="tx1"/>
            </w14:solidFill>
          </w14:textFill>
        </w:rPr>
        <w:id w:val="-1909835108"/>
        <w:placeholder>
          <w:docPart w:val="85EDC9AD9BB14E2D8D4D102E2FF5556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color w:val="000000" w:themeColor="text1"/>
          <w14:textFill>
            <w14:solidFill>
              <w14:schemeClr w14:val="tx1"/>
            </w14:solidFill>
          </w14:textFill>
        </w:rPr>
      </w:sdtEndPr>
      <w:sdtContent>
        <w:p w14:paraId="5B885533">
          <w:pPr>
            <w:pStyle w:val="62"/>
            <w:widowControl w:val="0"/>
            <w:ind w:firstLine="420"/>
            <w:rPr>
              <w:color w:val="000000" w:themeColor="text1"/>
              <w14:textFill>
                <w14:solidFill>
                  <w14:schemeClr w14:val="tx1"/>
                </w14:solidFill>
              </w14:textFill>
            </w:rPr>
          </w:pPr>
          <w:bookmarkStart w:id="61" w:name="_Toc26986532"/>
          <w:bookmarkEnd w:id="61"/>
          <w:r>
            <w:rPr>
              <w:rFonts w:hint="eastAsia"/>
              <w:color w:val="000000" w:themeColor="text1"/>
              <w14:textFill>
                <w14:solidFill>
                  <w14:schemeClr w14:val="tx1"/>
                </w14:solidFill>
              </w14:textFill>
            </w:rPr>
            <w:t>下列术语和定义适用于本文件。</w:t>
          </w:r>
        </w:p>
      </w:sdtContent>
    </w:sdt>
    <w:p w14:paraId="5B885534">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低空垂直起降单元  low-altitude vertical takeoff and landing unit</w:t>
      </w:r>
    </w:p>
    <w:p w14:paraId="5B885535">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供单架低空垂直起降航空器起飞和降落使用的地面及空中划定区域，具有明确的边界和满足适配机型承载要求的物理条件，由接地和离地区、安全区、障碍物限制面及相应的标志标识构成，是起降场</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起降点的基本功能单元。</w:t>
      </w:r>
    </w:p>
    <w:p w14:paraId="6463F232">
      <w:pPr>
        <w:pStyle w:val="62"/>
        <w:widowControl w:val="0"/>
        <w:ind w:firstLine="360"/>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注：</w:t>
      </w:r>
      <w:r>
        <w:rPr>
          <w:rFonts w:hint="eastAsia"/>
          <w:color w:val="000000" w:themeColor="text1"/>
          <w:sz w:val="18"/>
          <w:szCs w:val="18"/>
          <w14:textFill>
            <w14:solidFill>
              <w14:schemeClr w14:val="tx1"/>
            </w14:solidFill>
          </w14:textFill>
        </w:rPr>
        <w:t>本文件中简称“起降单元”。</w:t>
      </w:r>
    </w:p>
    <w:p w14:paraId="5B885536">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低空垂直起降点</w:t>
      </w:r>
      <w:r>
        <w:rPr>
          <w:rFonts w:ascii="黑体" w:hAnsi="黑体" w:eastAsia="黑体"/>
          <w:color w:val="000000" w:themeColor="text1"/>
          <w14:textFill>
            <w14:solidFill>
              <w14:schemeClr w14:val="tx1"/>
            </w14:solidFill>
          </w14:textFill>
        </w:rPr>
        <w:t xml:space="preserve"> </w:t>
      </w:r>
      <w:r>
        <w:rPr>
          <w:rFonts w:hint="eastAsia" w:ascii="黑体" w:hAnsi="黑体" w:eastAsia="黑体"/>
          <w:color w:val="000000" w:themeColor="text1"/>
          <w14:textFill>
            <w14:solidFill>
              <w14:schemeClr w14:val="tx1"/>
            </w14:solidFill>
          </w14:textFill>
        </w:rPr>
        <w:t xml:space="preserve"> low-altitude vertical take-off and landing stop</w:t>
      </w:r>
    </w:p>
    <w:p w14:paraId="5B885537">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供低空垂直起降航空器起飞、降落、临时停放、短途中转、充/换电（补给）以及其他活动使用的地面及空中划定区域，包含1个满足适配机型承载要求的起降单元，由起降单元、专用设施设备及配套功能区构成。</w:t>
      </w:r>
    </w:p>
    <w:p w14:paraId="77EB393E">
      <w:pPr>
        <w:pStyle w:val="62"/>
        <w:widowControl w:val="0"/>
        <w:ind w:firstLine="360"/>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注：</w:t>
      </w:r>
      <w:r>
        <w:rPr>
          <w:rFonts w:hint="eastAsia"/>
          <w:color w:val="000000" w:themeColor="text1"/>
          <w:sz w:val="18"/>
          <w:szCs w:val="18"/>
          <w14:textFill>
            <w14:solidFill>
              <w14:schemeClr w14:val="tx1"/>
            </w14:solidFill>
          </w14:textFill>
        </w:rPr>
        <w:t>本文件中简称“起降点”。</w:t>
      </w:r>
    </w:p>
    <w:p w14:paraId="5B885538">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起降场  low-altitude vertical take-off and landing port</w:t>
      </w:r>
    </w:p>
    <w:p w14:paraId="5B885539">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供低空垂直起降航空器起飞、降落、固定停放、中长途中转、充</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换电（补给）、保养、维修以及其他活动使用的地面及空中划定区域，包含2个（含）以上满足适配机型承载要求的起降单元，由起降单元、专用设施设备及配套功能区构成。</w:t>
      </w:r>
    </w:p>
    <w:p w14:paraId="19932F5D">
      <w:pPr>
        <w:pStyle w:val="62"/>
        <w:widowControl w:val="0"/>
        <w:ind w:firstLine="360"/>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注：</w:t>
      </w:r>
      <w:r>
        <w:rPr>
          <w:rFonts w:hint="eastAsia"/>
          <w:color w:val="000000" w:themeColor="text1"/>
          <w:sz w:val="18"/>
          <w:szCs w:val="18"/>
          <w14:textFill>
            <w14:solidFill>
              <w14:schemeClr w14:val="tx1"/>
            </w14:solidFill>
          </w14:textFill>
        </w:rPr>
        <w:t>本文件中简称“起降场”。</w:t>
      </w:r>
    </w:p>
    <w:p w14:paraId="5B88553A">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一级低空垂直起降设施  level-1 low-altitude vertical take-off </w:t>
      </w:r>
      <w:r>
        <w:rPr>
          <w:rFonts w:ascii="黑体" w:hAnsi="黑体" w:eastAsia="黑体"/>
          <w:color w:val="000000" w:themeColor="text1"/>
          <w14:textFill>
            <w14:solidFill>
              <w14:schemeClr w14:val="tx1"/>
            </w14:solidFill>
          </w14:textFill>
        </w:rPr>
        <w:t>an</w:t>
      </w:r>
      <w:r>
        <w:rPr>
          <w:rFonts w:hint="eastAsia" w:ascii="黑体" w:hAnsi="黑体" w:eastAsia="黑体"/>
          <w:color w:val="000000" w:themeColor="text1"/>
          <w14:textFill>
            <w14:solidFill>
              <w14:schemeClr w14:val="tx1"/>
            </w14:solidFill>
          </w14:textFill>
        </w:rPr>
        <w:t>d landing facility</w:t>
      </w:r>
    </w:p>
    <w:p w14:paraId="5B88553B">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是区域级枢纽低空垂直起降设施，包含不少于4个起降单元的起降场，承担跨市域、跨省域的综合保障、运营服务和枢纽调度功能。</w:t>
      </w:r>
    </w:p>
    <w:p w14:paraId="5B88553C">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二级低空垂直起降设施  level-2 low-altitude vertical take-off </w:t>
      </w:r>
      <w:r>
        <w:rPr>
          <w:rFonts w:ascii="黑体" w:hAnsi="黑体" w:eastAsia="黑体"/>
          <w:color w:val="000000" w:themeColor="text1"/>
          <w14:textFill>
            <w14:solidFill>
              <w14:schemeClr w14:val="tx1"/>
            </w14:solidFill>
          </w14:textFill>
        </w:rPr>
        <w:t>an</w:t>
      </w:r>
      <w:r>
        <w:rPr>
          <w:rFonts w:hint="eastAsia" w:ascii="黑体" w:hAnsi="黑体" w:eastAsia="黑体"/>
          <w:color w:val="000000" w:themeColor="text1"/>
          <w14:textFill>
            <w14:solidFill>
              <w14:schemeClr w14:val="tx1"/>
            </w14:solidFill>
          </w14:textFill>
        </w:rPr>
        <w:t>d landing facility</w:t>
      </w:r>
    </w:p>
    <w:p w14:paraId="5B88553D">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是城市级节点低空垂直起降设施，包含2至3个起降单元的起降场，承担市域内公共低空交通运输业务。</w:t>
      </w:r>
    </w:p>
    <w:p w14:paraId="5B88553E">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三级低空垂直起降设施  level-3 low-altitude vertical take-off </w:t>
      </w:r>
      <w:r>
        <w:rPr>
          <w:rFonts w:ascii="黑体" w:hAnsi="黑体" w:eastAsia="黑体"/>
          <w:color w:val="000000" w:themeColor="text1"/>
          <w14:textFill>
            <w14:solidFill>
              <w14:schemeClr w14:val="tx1"/>
            </w14:solidFill>
          </w14:textFill>
        </w:rPr>
        <w:t>an</w:t>
      </w:r>
      <w:r>
        <w:rPr>
          <w:rFonts w:hint="eastAsia" w:ascii="黑体" w:hAnsi="黑体" w:eastAsia="黑体"/>
          <w:color w:val="000000" w:themeColor="text1"/>
          <w14:textFill>
            <w14:solidFill>
              <w14:schemeClr w14:val="tx1"/>
            </w14:solidFill>
          </w14:textFill>
        </w:rPr>
        <w:t>d landing facility</w:t>
      </w:r>
    </w:p>
    <w:p w14:paraId="5B88553F">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是末端节点低空垂直起降设施，三级低空垂直起降设施即起降点。</w:t>
      </w:r>
    </w:p>
    <w:p w14:paraId="5B885540">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垂直起降航空器全尺寸  dimension of vertical take-off and landing aircraft</w:t>
      </w:r>
    </w:p>
    <w:p w14:paraId="5B885541">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低空垂直起降航空器折叠结构全部展开、旋翼转动时，能够有效覆盖机身的最小外接圆直径。</w:t>
      </w:r>
    </w:p>
    <w:p w14:paraId="66AA9134">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接地和离地区  touchdown and lift-off area</w:t>
      </w:r>
    </w:p>
    <w:p w14:paraId="38915FD1">
      <w:pPr>
        <w:pStyle w:val="62"/>
        <w:widowControl w:val="0"/>
        <w:ind w:firstLine="420"/>
        <w:rPr>
          <w:color w:val="000000" w:themeColor="text1"/>
          <w14:textFill>
            <w14:solidFill>
              <w14:schemeClr w14:val="tx1"/>
            </w14:solidFill>
          </w14:textFill>
        </w:rPr>
      </w:pPr>
      <w:r>
        <w:t>供</w:t>
      </w:r>
      <w:r>
        <w:rPr>
          <w:rFonts w:hint="eastAsia"/>
        </w:rPr>
        <w:t>低空</w:t>
      </w:r>
      <w:r>
        <w:t>垂直起降航空器接地或离地的一块承载区</w:t>
      </w:r>
      <w:r>
        <w:rPr>
          <w:rFonts w:hint="eastAsia"/>
          <w:color w:val="000000" w:themeColor="text1"/>
          <w14:textFill>
            <w14:solidFill>
              <w14:schemeClr w14:val="tx1"/>
            </w14:solidFill>
          </w14:textFill>
        </w:rPr>
        <w:t>。</w:t>
      </w:r>
    </w:p>
    <w:p w14:paraId="5B885546">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安全区  safety area</w:t>
      </w:r>
    </w:p>
    <w:p w14:paraId="5B885547">
      <w:pPr>
        <w:pStyle w:val="62"/>
        <w:widowControl w:val="0"/>
        <w:ind w:firstLine="420"/>
        <w:rPr>
          <w:color w:val="000000" w:themeColor="text1"/>
          <w14:textFill>
            <w14:solidFill>
              <w14:schemeClr w14:val="tx1"/>
            </w14:solidFill>
          </w14:textFill>
        </w:rPr>
      </w:pPr>
      <w:r>
        <w:t>位于</w:t>
      </w:r>
      <w:r>
        <w:rPr>
          <w:rFonts w:hint="eastAsia"/>
        </w:rPr>
        <w:t>接地和离地区</w:t>
      </w:r>
      <w:r>
        <w:t>周围的、用于减少</w:t>
      </w:r>
      <w:r>
        <w:rPr>
          <w:rFonts w:hint="eastAsia"/>
        </w:rPr>
        <w:t>低空</w:t>
      </w:r>
      <w:r>
        <w:t>垂直起降航空器偶然偏离</w:t>
      </w:r>
      <w:r>
        <w:rPr>
          <w:rFonts w:hint="eastAsia"/>
        </w:rPr>
        <w:t>接地和离地区</w:t>
      </w:r>
      <w:r>
        <w:t>而造成危险的特定区域，该区域除航行所必需的设施</w:t>
      </w:r>
      <w:r>
        <w:rPr>
          <w:rFonts w:hint="eastAsia"/>
        </w:rPr>
        <w:t>设备和</w:t>
      </w:r>
      <w:r>
        <w:t>装置外</w:t>
      </w:r>
      <w:r>
        <w:rPr>
          <w:rFonts w:hint="eastAsia"/>
        </w:rPr>
        <w:t>，</w:t>
      </w:r>
      <w:r>
        <w:t>无其他障碍物</w:t>
      </w:r>
      <w:r>
        <w:rPr>
          <w:rFonts w:hint="eastAsia"/>
          <w:color w:val="000000" w:themeColor="text1"/>
          <w14:textFill>
            <w14:solidFill>
              <w14:schemeClr w14:val="tx1"/>
            </w14:solidFill>
          </w14:textFill>
        </w:rPr>
        <w:t>。</w:t>
      </w:r>
    </w:p>
    <w:p w14:paraId="5A4B7B83">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障碍物限制面  obstacle limitation surface</w:t>
      </w:r>
    </w:p>
    <w:p w14:paraId="65589D07">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由安全区外沿起、向上向外延伸形成的三维表面，用于限制起降场/起降点及其周围区域物体的高度、保护起降场/起降点净空环境并保障航空器的起降安全。</w:t>
      </w:r>
    </w:p>
    <w:p w14:paraId="408949F0">
      <w:pPr>
        <w:pStyle w:val="229"/>
        <w:widowControl w:val="0"/>
        <w:ind w:left="420" w:hanging="420" w:hangingChars="200"/>
        <w:outlineLvl w:val="1"/>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悬停高度  landing hover height</w:t>
      </w:r>
    </w:p>
    <w:p w14:paraId="6DE6647C">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用于低空垂直起降航空器在起飞、着陆和向巡航飞行过渡的阶段进行姿态调整时悬停保持的高度。</w:t>
      </w:r>
    </w:p>
    <w:p w14:paraId="5B885558">
      <w:pPr>
        <w:pStyle w:val="110"/>
        <w:widowControl w:val="0"/>
        <w:spacing w:before="312" w:after="312"/>
        <w:ind w:left="0"/>
        <w:rPr>
          <w:color w:val="000000" w:themeColor="text1"/>
          <w14:textFill>
            <w14:solidFill>
              <w14:schemeClr w14:val="tx1"/>
            </w14:solidFill>
          </w14:textFill>
        </w:rPr>
      </w:pPr>
      <w:bookmarkStart w:id="62" w:name="_Toc234855686"/>
      <w:bookmarkEnd w:id="62"/>
      <w:bookmarkStart w:id="63" w:name="_Toc234855288"/>
      <w:bookmarkEnd w:id="63"/>
      <w:bookmarkStart w:id="64" w:name="_Toc234856474"/>
      <w:bookmarkEnd w:id="64"/>
      <w:bookmarkStart w:id="65" w:name="_Toc234424782"/>
      <w:bookmarkEnd w:id="65"/>
      <w:bookmarkStart w:id="66" w:name="_Toc234856070"/>
      <w:bookmarkEnd w:id="66"/>
      <w:bookmarkStart w:id="67" w:name="_Toc234424776"/>
      <w:bookmarkEnd w:id="67"/>
      <w:bookmarkStart w:id="68" w:name="_Toc234856071"/>
      <w:bookmarkEnd w:id="68"/>
      <w:bookmarkStart w:id="69" w:name="_Toc234856069"/>
      <w:bookmarkEnd w:id="69"/>
      <w:bookmarkStart w:id="70" w:name="_Toc234424781"/>
      <w:bookmarkEnd w:id="70"/>
      <w:bookmarkStart w:id="71" w:name="_Toc234856467"/>
      <w:bookmarkEnd w:id="71"/>
      <w:bookmarkStart w:id="72" w:name="_Toc234856466"/>
      <w:bookmarkEnd w:id="72"/>
      <w:bookmarkStart w:id="73" w:name="_Toc234855289"/>
      <w:bookmarkEnd w:id="73"/>
      <w:bookmarkStart w:id="74" w:name="_Toc234855286"/>
      <w:bookmarkEnd w:id="74"/>
      <w:bookmarkStart w:id="75" w:name="_Toc234855680"/>
      <w:bookmarkEnd w:id="75"/>
      <w:bookmarkStart w:id="76" w:name="_Toc234855685"/>
      <w:bookmarkEnd w:id="76"/>
      <w:bookmarkStart w:id="77" w:name="_Toc234856473"/>
      <w:bookmarkEnd w:id="77"/>
      <w:bookmarkStart w:id="78" w:name="_Toc234856075"/>
      <w:bookmarkEnd w:id="78"/>
      <w:bookmarkStart w:id="79" w:name="_Toc234856468"/>
      <w:bookmarkEnd w:id="79"/>
      <w:bookmarkStart w:id="80" w:name="_Toc234856076"/>
      <w:bookmarkEnd w:id="80"/>
      <w:bookmarkStart w:id="81" w:name="_Toc239434176"/>
      <w:bookmarkEnd w:id="81"/>
      <w:bookmarkStart w:id="82" w:name="_Toc239434179"/>
      <w:bookmarkEnd w:id="82"/>
      <w:bookmarkStart w:id="83" w:name="_Toc240381259"/>
      <w:bookmarkEnd w:id="83"/>
      <w:bookmarkStart w:id="84" w:name="_Toc239434178"/>
      <w:bookmarkEnd w:id="84"/>
      <w:bookmarkStart w:id="85" w:name="_Toc240381298"/>
      <w:bookmarkEnd w:id="85"/>
      <w:bookmarkStart w:id="86" w:name="_Toc240381260"/>
      <w:bookmarkEnd w:id="86"/>
      <w:bookmarkStart w:id="87" w:name="_Toc240381299"/>
      <w:bookmarkEnd w:id="87"/>
      <w:bookmarkStart w:id="88" w:name="_Toc239434177"/>
      <w:bookmarkEnd w:id="88"/>
      <w:bookmarkStart w:id="89" w:name="_Toc240381258"/>
      <w:bookmarkEnd w:id="89"/>
      <w:bookmarkStart w:id="90" w:name="_Toc240381297"/>
      <w:bookmarkEnd w:id="90"/>
      <w:bookmarkStart w:id="91" w:name="_Toc234856461"/>
      <w:bookmarkEnd w:id="91"/>
      <w:bookmarkStart w:id="92" w:name="_Toc234856067"/>
      <w:bookmarkEnd w:id="92"/>
      <w:bookmarkStart w:id="93" w:name="_Toc234424771"/>
      <w:bookmarkEnd w:id="93"/>
      <w:bookmarkStart w:id="94" w:name="_Toc234855675"/>
      <w:bookmarkEnd w:id="94"/>
      <w:bookmarkStart w:id="95" w:name="_Toc234856464"/>
      <w:bookmarkEnd w:id="95"/>
      <w:bookmarkStart w:id="96" w:name="_Toc234856462"/>
      <w:bookmarkEnd w:id="96"/>
      <w:bookmarkStart w:id="97" w:name="_Toc234424770"/>
      <w:bookmarkEnd w:id="97"/>
      <w:bookmarkStart w:id="98" w:name="_Toc234856068"/>
      <w:bookmarkEnd w:id="98"/>
      <w:bookmarkStart w:id="99" w:name="_Toc234855674"/>
      <w:bookmarkEnd w:id="99"/>
      <w:bookmarkStart w:id="100" w:name="_Toc234424768"/>
      <w:bookmarkEnd w:id="100"/>
      <w:bookmarkStart w:id="101" w:name="_Toc234855673"/>
      <w:bookmarkEnd w:id="101"/>
      <w:bookmarkStart w:id="102" w:name="_Toc234856065"/>
      <w:bookmarkEnd w:id="102"/>
      <w:bookmarkStart w:id="103" w:name="_Toc234856463"/>
      <w:bookmarkEnd w:id="103"/>
      <w:bookmarkStart w:id="104" w:name="_Toc234855676"/>
      <w:bookmarkEnd w:id="104"/>
      <w:bookmarkStart w:id="105" w:name="_Toc234424772"/>
      <w:bookmarkEnd w:id="105"/>
      <w:bookmarkStart w:id="106" w:name="_Toc234856465"/>
      <w:bookmarkEnd w:id="106"/>
      <w:bookmarkStart w:id="107" w:name="_Toc234855279"/>
      <w:bookmarkEnd w:id="107"/>
      <w:bookmarkStart w:id="108" w:name="_Toc234424774"/>
      <w:bookmarkEnd w:id="108"/>
      <w:bookmarkStart w:id="109" w:name="_Toc234855278"/>
      <w:bookmarkEnd w:id="109"/>
      <w:bookmarkStart w:id="110" w:name="_Toc234855677"/>
      <w:bookmarkEnd w:id="110"/>
      <w:bookmarkStart w:id="111" w:name="_Toc234855281"/>
      <w:bookmarkEnd w:id="111"/>
      <w:bookmarkStart w:id="112" w:name="_Toc234855275"/>
      <w:bookmarkEnd w:id="112"/>
      <w:bookmarkStart w:id="113" w:name="_Toc240381261"/>
      <w:bookmarkEnd w:id="113"/>
      <w:bookmarkStart w:id="114" w:name="_Toc240381300"/>
      <w:bookmarkEnd w:id="114"/>
      <w:bookmarkStart w:id="115" w:name="_Toc234855280"/>
      <w:bookmarkEnd w:id="115"/>
      <w:bookmarkStart w:id="116" w:name="_Toc234855276"/>
      <w:bookmarkEnd w:id="116"/>
      <w:bookmarkStart w:id="117" w:name="_Toc234855672"/>
      <w:bookmarkEnd w:id="117"/>
      <w:bookmarkStart w:id="118" w:name="_Toc234855678"/>
      <w:bookmarkEnd w:id="118"/>
      <w:bookmarkStart w:id="119" w:name="_Toc234855277"/>
      <w:bookmarkEnd w:id="119"/>
      <w:bookmarkStart w:id="120" w:name="_Toc234856063"/>
      <w:bookmarkEnd w:id="120"/>
      <w:bookmarkStart w:id="121" w:name="_Toc234855665"/>
      <w:bookmarkEnd w:id="121"/>
      <w:bookmarkStart w:id="122" w:name="_Toc234856460"/>
      <w:bookmarkEnd w:id="122"/>
      <w:bookmarkStart w:id="123" w:name="_Toc234855282"/>
      <w:bookmarkEnd w:id="123"/>
      <w:bookmarkStart w:id="124" w:name="_Toc234856470"/>
      <w:bookmarkEnd w:id="124"/>
      <w:bookmarkStart w:id="125" w:name="_Toc234856073"/>
      <w:bookmarkEnd w:id="125"/>
      <w:bookmarkStart w:id="126" w:name="_Toc234855683"/>
      <w:bookmarkEnd w:id="126"/>
      <w:bookmarkStart w:id="127" w:name="_Toc234856472"/>
      <w:bookmarkEnd w:id="127"/>
      <w:bookmarkStart w:id="128" w:name="_Toc234424780"/>
      <w:bookmarkEnd w:id="128"/>
      <w:bookmarkStart w:id="129" w:name="_Toc234424775"/>
      <w:bookmarkEnd w:id="129"/>
      <w:bookmarkStart w:id="130" w:name="_Toc234856074"/>
      <w:bookmarkEnd w:id="130"/>
      <w:bookmarkStart w:id="131" w:name="_Toc234424773"/>
      <w:bookmarkEnd w:id="131"/>
      <w:bookmarkStart w:id="132" w:name="_Toc234855682"/>
      <w:bookmarkEnd w:id="132"/>
      <w:bookmarkStart w:id="133" w:name="_Toc234856064"/>
      <w:bookmarkEnd w:id="133"/>
      <w:bookmarkStart w:id="134" w:name="_Toc234855679"/>
      <w:bookmarkEnd w:id="134"/>
      <w:bookmarkStart w:id="135" w:name="_Toc234855285"/>
      <w:bookmarkEnd w:id="135"/>
      <w:bookmarkStart w:id="136" w:name="_Toc234856066"/>
      <w:bookmarkEnd w:id="136"/>
      <w:bookmarkStart w:id="137" w:name="_Toc234855283"/>
      <w:bookmarkEnd w:id="137"/>
      <w:bookmarkStart w:id="138" w:name="_Toc234855287"/>
      <w:bookmarkEnd w:id="138"/>
      <w:bookmarkStart w:id="139" w:name="_Toc234424769"/>
      <w:bookmarkEnd w:id="139"/>
      <w:bookmarkStart w:id="140" w:name="_Toc234856471"/>
      <w:bookmarkEnd w:id="140"/>
      <w:bookmarkStart w:id="141" w:name="_Toc234855284"/>
      <w:bookmarkEnd w:id="141"/>
      <w:bookmarkStart w:id="142" w:name="_Toc234424778"/>
      <w:bookmarkEnd w:id="142"/>
      <w:bookmarkStart w:id="143" w:name="_Toc234855684"/>
      <w:bookmarkEnd w:id="143"/>
      <w:bookmarkStart w:id="144" w:name="_Toc234855681"/>
      <w:bookmarkEnd w:id="144"/>
      <w:bookmarkStart w:id="145" w:name="_Toc234424777"/>
      <w:bookmarkEnd w:id="145"/>
      <w:bookmarkStart w:id="146" w:name="_Toc234424779"/>
      <w:bookmarkEnd w:id="146"/>
      <w:bookmarkStart w:id="147" w:name="_Toc234856072"/>
      <w:bookmarkEnd w:id="147"/>
      <w:bookmarkStart w:id="148" w:name="_Toc234856469"/>
      <w:bookmarkEnd w:id="148"/>
      <w:bookmarkStart w:id="149" w:name="_Toc240387891"/>
      <w:r>
        <w:rPr>
          <w:rFonts w:hint="eastAsia"/>
          <w:color w:val="000000" w:themeColor="text1"/>
          <w14:textFill>
            <w14:solidFill>
              <w14:schemeClr w14:val="tx1"/>
            </w14:solidFill>
          </w14:textFill>
        </w:rPr>
        <w:t>缩略语</w:t>
      </w:r>
      <w:bookmarkEnd w:id="149"/>
    </w:p>
    <w:p w14:paraId="5B885559">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下列缩略语适用于本文件。</w:t>
      </w:r>
    </w:p>
    <w:p w14:paraId="5B88555B">
      <w:pPr>
        <w:pStyle w:val="62"/>
        <w:widowControl w:val="0"/>
        <w:ind w:firstLine="420"/>
        <w:rPr>
          <w:color w:val="000000" w:themeColor="text1"/>
          <w14:textFill>
            <w14:solidFill>
              <w14:schemeClr w14:val="tx1"/>
            </w14:solidFill>
          </w14:textFill>
        </w:rPr>
      </w:pPr>
      <w:r>
        <w:t>CGCS2000：2000国家大地坐标系（China Geodetic Coordinate System 2000）</w:t>
      </w:r>
    </w:p>
    <w:p w14:paraId="308A2F1D">
      <w:pPr>
        <w:pStyle w:val="62"/>
        <w:widowControl w:val="0"/>
        <w:ind w:firstLine="420"/>
      </w:pPr>
      <w:r>
        <w:t>D：垂直起降航空器全尺寸</w:t>
      </w:r>
      <w:r>
        <w:rPr>
          <w:rFonts w:hint="eastAsia"/>
        </w:rPr>
        <w:t>（D</w:t>
      </w:r>
      <w:r>
        <w:t xml:space="preserve">imension of </w:t>
      </w:r>
      <w:r>
        <w:rPr>
          <w:rFonts w:hint="eastAsia"/>
        </w:rPr>
        <w:t>v</w:t>
      </w:r>
      <w:r>
        <w:t>ertical take-</w:t>
      </w:r>
      <w:r>
        <w:rPr>
          <w:rFonts w:hint="eastAsia"/>
        </w:rPr>
        <w:t>O</w:t>
      </w:r>
      <w:r>
        <w:t>ff and landing aircraft</w:t>
      </w:r>
      <w:r>
        <w:rPr>
          <w:rFonts w:hint="eastAsia"/>
        </w:rPr>
        <w:t>）</w:t>
      </w:r>
    </w:p>
    <w:p w14:paraId="7380DEA8">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OL</w:t>
      </w:r>
      <w:r>
        <w:rPr>
          <w:color w:val="000000" w:themeColor="text1"/>
          <w14:textFill>
            <w14:solidFill>
              <w14:schemeClr w14:val="tx1"/>
            </w14:solidFill>
          </w14:textFill>
        </w:rPr>
        <w:t>S：</w:t>
      </w:r>
      <w:r>
        <w:rPr>
          <w:rFonts w:hint="eastAsia"/>
          <w:color w:val="000000" w:themeColor="text1"/>
          <w14:textFill>
            <w14:solidFill>
              <w14:schemeClr w14:val="tx1"/>
            </w14:solidFill>
          </w14:textFill>
        </w:rPr>
        <w:t>障碍物限制面</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Obstacle Limitation Surface</w:t>
      </w:r>
      <w:r>
        <w:rPr>
          <w:color w:val="000000" w:themeColor="text1"/>
          <w14:textFill>
            <w14:solidFill>
              <w14:schemeClr w14:val="tx1"/>
            </w14:solidFill>
          </w14:textFill>
        </w:rPr>
        <w:t>）</w:t>
      </w:r>
    </w:p>
    <w:p w14:paraId="208F86BD">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SA：安全区（Safety Area）</w:t>
      </w:r>
    </w:p>
    <w:p w14:paraId="7EB69D13">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t>TLOF：接地和离地区（Touchdown and Lift-off Area）</w:t>
      </w:r>
    </w:p>
    <w:p w14:paraId="5B88555C">
      <w:pPr>
        <w:pStyle w:val="110"/>
        <w:widowControl w:val="0"/>
        <w:spacing w:before="312" w:after="312"/>
        <w:ind w:left="0"/>
        <w:rPr>
          <w:color w:val="000000" w:themeColor="text1"/>
          <w14:textFill>
            <w14:solidFill>
              <w14:schemeClr w14:val="tx1"/>
            </w14:solidFill>
          </w14:textFill>
        </w:rPr>
      </w:pPr>
      <w:bookmarkStart w:id="150" w:name="_Toc240387892"/>
      <w:r>
        <w:rPr>
          <w:rFonts w:hint="eastAsia"/>
          <w:color w:val="000000" w:themeColor="text1"/>
          <w14:textFill>
            <w14:solidFill>
              <w14:schemeClr w14:val="tx1"/>
            </w14:solidFill>
          </w14:textFill>
        </w:rPr>
        <w:t>基本原则</w:t>
      </w:r>
      <w:bookmarkEnd w:id="150"/>
    </w:p>
    <w:p w14:paraId="5B88555D">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安全第一</w:t>
      </w:r>
    </w:p>
    <w:p w14:paraId="5B88555E">
      <w:pPr>
        <w:pStyle w:val="62"/>
        <w:widowControl w:val="0"/>
        <w:ind w:firstLine="420"/>
        <w:rPr>
          <w:color w:val="000000" w:themeColor="text1"/>
          <w14:textFill>
            <w14:solidFill>
              <w14:schemeClr w14:val="tx1"/>
            </w14:solidFill>
          </w14:textFill>
        </w:rPr>
      </w:pPr>
      <w:r>
        <w:t>以确保起降场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建设与运行安全为根本前提，保障航空器、人员及地面</w:t>
      </w:r>
      <w:r>
        <w:rPr>
          <w:rFonts w:hint="eastAsia"/>
        </w:rPr>
        <w:t>设施设备</w:t>
      </w:r>
      <w:r>
        <w:t>三方安全。建设阶段应严格遵循工程建设和质量管控要求，确保</w:t>
      </w:r>
      <w:r>
        <w:rPr>
          <w:rFonts w:hint="eastAsia"/>
        </w:rPr>
        <w:t>起降</w:t>
      </w:r>
      <w:r>
        <w:t>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设施设备满足设计标准；运行阶段应建立健全安全管理体系，实施风险闭环管控，保障航空器起降全过程安全</w:t>
      </w:r>
      <w:r>
        <w:rPr>
          <w:rFonts w:hint="eastAsia"/>
          <w:color w:val="000000" w:themeColor="text1"/>
          <w14:textFill>
            <w14:solidFill>
              <w14:schemeClr w14:val="tx1"/>
            </w14:solidFill>
          </w14:textFill>
        </w:rPr>
        <w:t>。</w:t>
      </w:r>
    </w:p>
    <w:p w14:paraId="5B88555F">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需求导向</w:t>
      </w:r>
    </w:p>
    <w:p w14:paraId="5B885560">
      <w:pPr>
        <w:pStyle w:val="62"/>
        <w:widowControl w:val="0"/>
        <w:ind w:firstLine="420"/>
        <w:rPr>
          <w:color w:val="000000" w:themeColor="text1"/>
          <w14:textFill>
            <w14:solidFill>
              <w14:schemeClr w14:val="tx1"/>
            </w14:solidFill>
          </w14:textFill>
        </w:rPr>
      </w:pPr>
      <w:r>
        <w:t>以市场需求为导向，合理确定起降场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功能定位，适当超前布局。应结合</w:t>
      </w:r>
      <w:r>
        <w:rPr>
          <w:rFonts w:hint="eastAsia"/>
        </w:rPr>
        <w:t>农林作业、巡检作业/测绘勘察、低空物流、城市治理/应急救援、低空交通出行、文旅消费、航空运动</w:t>
      </w:r>
      <w:r>
        <w:t>等实际需求，科学规划</w:t>
      </w:r>
      <w:r>
        <w:rPr>
          <w:rFonts w:hint="eastAsia"/>
        </w:rP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选址与建设时序，避免盲目建设和资源浪费</w:t>
      </w:r>
      <w:r>
        <w:rPr>
          <w:rFonts w:hint="eastAsia"/>
          <w:color w:val="000000" w:themeColor="text1"/>
          <w14:textFill>
            <w14:solidFill>
              <w14:schemeClr w14:val="tx1"/>
            </w14:solidFill>
          </w14:textFill>
        </w:rPr>
        <w:t>。</w:t>
      </w:r>
    </w:p>
    <w:p w14:paraId="5B885561">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科学适用</w:t>
      </w:r>
    </w:p>
    <w:p w14:paraId="5B885562">
      <w:pPr>
        <w:pStyle w:val="62"/>
        <w:widowControl w:val="0"/>
        <w:ind w:firstLine="420"/>
        <w:rPr>
          <w:color w:val="000000" w:themeColor="text1"/>
          <w14:textFill>
            <w14:solidFill>
              <w14:schemeClr w14:val="tx1"/>
            </w14:solidFill>
          </w14:textFill>
        </w:rPr>
      </w:pPr>
      <w:r>
        <w:t>应根据</w:t>
      </w:r>
      <w:r>
        <w:rPr>
          <w:rFonts w:hint="eastAsia"/>
        </w:rP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等级和机型性能确定建设与运行标准，实施差异化配置、闭环式管理。不同等级起降设施应按照其功能定位和服务能力要求，配置相适应的设施设备和管理制度</w:t>
      </w:r>
      <w:r>
        <w:rPr>
          <w:rFonts w:hint="eastAsia"/>
          <w:color w:val="000000" w:themeColor="text1"/>
          <w14:textFill>
            <w14:solidFill>
              <w14:schemeClr w14:val="tx1"/>
            </w14:solidFill>
          </w14:textFill>
        </w:rPr>
        <w:t>。</w:t>
      </w:r>
    </w:p>
    <w:p w14:paraId="5B885563">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因地制宜</w:t>
      </w:r>
    </w:p>
    <w:p w14:paraId="5B885564">
      <w:pPr>
        <w:pStyle w:val="62"/>
        <w:widowControl w:val="0"/>
        <w:ind w:firstLine="420"/>
        <w:rPr>
          <w:color w:val="000000" w:themeColor="text1"/>
          <w14:textFill>
            <w14:solidFill>
              <w14:schemeClr w14:val="tx1"/>
            </w14:solidFill>
          </w14:textFill>
        </w:rPr>
      </w:pPr>
      <w:r>
        <w:t>结合地理环境面貌和社会经济发展实际，充分考虑所在地的地理环境、气象条件、</w:t>
      </w:r>
      <w:r>
        <w:rPr>
          <w:rFonts w:hint="eastAsia"/>
        </w:rPr>
        <w:t>人文</w:t>
      </w:r>
      <w:r>
        <w:t>条件等因素，合理确定建设方案与运维模式</w:t>
      </w:r>
      <w:r>
        <w:rPr>
          <w:rFonts w:hint="eastAsia"/>
          <w:color w:val="000000" w:themeColor="text1"/>
          <w14:textFill>
            <w14:solidFill>
              <w14:schemeClr w14:val="tx1"/>
            </w14:solidFill>
          </w14:textFill>
        </w:rPr>
        <w:t>。</w:t>
      </w:r>
    </w:p>
    <w:p w14:paraId="5B885565">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集约节约</w:t>
      </w:r>
    </w:p>
    <w:p w14:paraId="5B885566">
      <w:pPr>
        <w:pStyle w:val="62"/>
        <w:widowControl w:val="0"/>
        <w:ind w:firstLine="420"/>
        <w:rPr>
          <w:color w:val="000000" w:themeColor="text1"/>
          <w14:textFill>
            <w14:solidFill>
              <w14:schemeClr w14:val="tx1"/>
            </w14:solidFill>
          </w14:textFill>
        </w:rPr>
      </w:pPr>
      <w:r>
        <w:t>节约投资、降低运行成本，集约利用土地和公共资源。尤其应与起降场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的等级分类相</w:t>
      </w:r>
      <w:r>
        <w:rPr>
          <w:rFonts w:hint="eastAsia"/>
        </w:rPr>
        <w:t>协调</w:t>
      </w:r>
      <w:r>
        <w:t>，避免高等级设施的低效利用和低等级设施的过度建设</w:t>
      </w:r>
      <w:r>
        <w:rPr>
          <w:rFonts w:hint="eastAsia"/>
          <w:color w:val="000000" w:themeColor="text1"/>
          <w14:textFill>
            <w14:solidFill>
              <w14:schemeClr w14:val="tx1"/>
            </w14:solidFill>
          </w14:textFill>
        </w:rPr>
        <w:t>。</w:t>
      </w:r>
    </w:p>
    <w:p w14:paraId="5B885567">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绿色环保</w:t>
      </w:r>
    </w:p>
    <w:p w14:paraId="5B885568">
      <w:pPr>
        <w:pStyle w:val="62"/>
        <w:widowControl w:val="0"/>
        <w:ind w:firstLine="420"/>
        <w:rPr>
          <w:color w:val="000000" w:themeColor="text1"/>
          <w14:textFill>
            <w14:solidFill>
              <w14:schemeClr w14:val="tx1"/>
            </w14:solidFill>
          </w14:textFill>
        </w:rPr>
      </w:pPr>
      <w:r>
        <w:t>建设与运行引入新技术、新手段实现节能、减排、降噪。应优先采用清洁能源供电、低噪声起降程序、生态友好型建设材料，降低对周边环境的影响</w:t>
      </w:r>
      <w:r>
        <w:rPr>
          <w:rFonts w:hint="eastAsia"/>
          <w:color w:val="000000" w:themeColor="text1"/>
          <w14:textFill>
            <w14:solidFill>
              <w14:schemeClr w14:val="tx1"/>
            </w14:solidFill>
          </w14:textFill>
        </w:rPr>
        <w:t>。</w:t>
      </w:r>
    </w:p>
    <w:p w14:paraId="5B885569">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统筹协调</w:t>
      </w:r>
    </w:p>
    <w:p w14:paraId="5B88556A">
      <w:pPr>
        <w:pStyle w:val="62"/>
        <w:widowControl w:val="0"/>
        <w:ind w:firstLine="420"/>
        <w:rPr>
          <w:color w:val="000000" w:themeColor="text1"/>
          <w14:textFill>
            <w14:solidFill>
              <w14:schemeClr w14:val="tx1"/>
            </w14:solidFill>
          </w14:textFill>
        </w:rPr>
      </w:pPr>
      <w:r>
        <w:rPr>
          <w:rFonts w:hint="eastAsia"/>
        </w:rPr>
        <w:t>应与</w:t>
      </w:r>
      <w:r>
        <w:t>上级国土空间总体规划</w:t>
      </w:r>
      <w:r>
        <w:rPr>
          <w:rFonts w:hint="eastAsia"/>
        </w:rPr>
        <w:t>、</w:t>
      </w:r>
      <w:r>
        <w:t>综合交通规划</w:t>
      </w:r>
      <w:r>
        <w:rPr>
          <w:rFonts w:hint="eastAsia"/>
        </w:rPr>
        <w:t>以及</w:t>
      </w:r>
      <w:r>
        <w:t>区域经济社会发展相协调。起降场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规划应纳入低空基础设施专项规划，与城市交通枢纽、公共服务设施实现有效衔接</w:t>
      </w:r>
      <w:r>
        <w:rPr>
          <w:rFonts w:hint="eastAsia"/>
          <w:color w:val="000000" w:themeColor="text1"/>
          <w14:textFill>
            <w14:solidFill>
              <w14:schemeClr w14:val="tx1"/>
            </w14:solidFill>
          </w14:textFill>
        </w:rPr>
        <w:t>。</w:t>
      </w:r>
    </w:p>
    <w:p w14:paraId="2C931009">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闭环管理</w:t>
      </w:r>
    </w:p>
    <w:p w14:paraId="20DAE66A">
      <w:pPr>
        <w:pStyle w:val="62"/>
        <w:widowControl w:val="0"/>
        <w:ind w:firstLine="420"/>
      </w:pPr>
      <w:r>
        <w:rPr>
          <w:rFonts w:hint="eastAsia"/>
        </w:rPr>
        <w:t>投入运行后应形成全过程闭环管理，覆盖日常运营、数据信息、设施设备、人员和应急处置环节，实现预先计划、实时监控、定期复盘、持续改进。</w:t>
      </w:r>
    </w:p>
    <w:p w14:paraId="5B88556B">
      <w:pPr>
        <w:pStyle w:val="110"/>
        <w:widowControl w:val="0"/>
        <w:spacing w:before="312" w:after="312"/>
        <w:ind w:left="0"/>
        <w:rPr>
          <w:color w:val="000000" w:themeColor="text1"/>
          <w14:textFill>
            <w14:solidFill>
              <w14:schemeClr w14:val="tx1"/>
            </w14:solidFill>
          </w14:textFill>
        </w:rPr>
      </w:pPr>
      <w:bookmarkStart w:id="151" w:name="_Toc239434182"/>
      <w:bookmarkEnd w:id="151"/>
      <w:bookmarkStart w:id="152" w:name="_Toc240381303"/>
      <w:bookmarkEnd w:id="152"/>
      <w:bookmarkStart w:id="153" w:name="_Toc240381264"/>
      <w:bookmarkEnd w:id="153"/>
      <w:bookmarkStart w:id="154" w:name="_Toc240387893"/>
      <w:r>
        <w:rPr>
          <w:rFonts w:hint="eastAsia"/>
          <w:color w:val="000000" w:themeColor="text1"/>
          <w14:textFill>
            <w14:solidFill>
              <w14:schemeClr w14:val="tx1"/>
            </w14:solidFill>
          </w14:textFill>
        </w:rPr>
        <w:t>通用要求</w:t>
      </w:r>
      <w:bookmarkEnd w:id="154"/>
    </w:p>
    <w:p w14:paraId="5B88556C">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分级建设要求</w:t>
      </w:r>
    </w:p>
    <w:p w14:paraId="4B01F31F">
      <w:pPr>
        <w:pStyle w:val="71"/>
        <w:spacing w:before="156" w:after="156"/>
        <w:ind w:left="0"/>
        <w:rPr>
          <w:rFonts w:hAnsi="黑体"/>
          <w:color w:val="000000" w:themeColor="text1"/>
          <w14:textFill>
            <w14:solidFill>
              <w14:schemeClr w14:val="tx1"/>
            </w14:solidFill>
          </w14:textFill>
        </w:rPr>
      </w:pPr>
      <w:r>
        <w:rPr>
          <w:rFonts w:hint="eastAsia" w:hAnsi="黑体"/>
        </w:rPr>
        <w:t>等级划分因素</w:t>
      </w:r>
    </w:p>
    <w:p w14:paraId="5F4BD37B">
      <w:pPr>
        <w:pStyle w:val="71"/>
        <w:numPr>
          <w:ilvl w:val="0"/>
          <w:numId w:val="0"/>
        </w:numPr>
        <w:spacing w:beforeLines="0" w:afterLines="0"/>
        <w:ind w:firstLine="420" w:firstLineChars="200"/>
        <w:outlineLvl w:val="9"/>
        <w:rPr>
          <w:rFonts w:hAnsi="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起降场/起降点的等级划分应综合考虑以下因素</w:t>
      </w:r>
      <w:r>
        <w:rPr>
          <w:rFonts w:ascii="宋体" w:hAnsi="宋体" w:eastAsia="宋体"/>
          <w:color w:val="000000" w:themeColor="text1"/>
          <w14:textFill>
            <w14:solidFill>
              <w14:schemeClr w14:val="tx1"/>
            </w14:solidFill>
          </w14:textFill>
        </w:rPr>
        <w:t>：</w:t>
      </w:r>
    </w:p>
    <w:p w14:paraId="7773BCE9">
      <w:pPr>
        <w:pStyle w:val="180"/>
        <w:widowControl w:val="0"/>
        <w:rPr>
          <w:color w:val="000000" w:themeColor="text1"/>
          <w14:textFill>
            <w14:solidFill>
              <w14:schemeClr w14:val="tx1"/>
            </w14:solidFill>
          </w14:textFill>
        </w:rPr>
      </w:pPr>
      <w:r>
        <w:rPr>
          <w:color w:val="000000" w:themeColor="text1"/>
          <w14:textFill>
            <w14:solidFill>
              <w14:schemeClr w14:val="tx1"/>
            </w14:solidFill>
          </w14:textFill>
        </w:rPr>
        <w:t>服务范围：根据起降场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设计</w:t>
      </w:r>
      <w:r>
        <w:rPr>
          <w:color w:val="000000" w:themeColor="text1"/>
          <w14:textFill>
            <w14:solidFill>
              <w14:schemeClr w14:val="tx1"/>
            </w14:solidFill>
          </w14:textFill>
        </w:rPr>
        <w:t>服务的空间范围（跨省/跨市、市域内、局部区域）确定其等级；</w:t>
      </w:r>
    </w:p>
    <w:p w14:paraId="2398DD92">
      <w:pPr>
        <w:pStyle w:val="180"/>
        <w:widowControl w:val="0"/>
        <w:rPr>
          <w:color w:val="000000" w:themeColor="text1"/>
          <w14:textFill>
            <w14:solidFill>
              <w14:schemeClr w14:val="tx1"/>
            </w14:solidFill>
          </w14:textFill>
        </w:rPr>
      </w:pPr>
      <w:r>
        <w:rPr>
          <w:color w:val="000000" w:themeColor="text1"/>
          <w14:textFill>
            <w14:solidFill>
              <w14:schemeClr w14:val="tx1"/>
            </w14:solidFill>
          </w14:textFill>
        </w:rPr>
        <w:t>运行规模：根据</w:t>
      </w:r>
      <w:r>
        <w:rPr>
          <w:rFonts w:hint="eastAsia"/>
          <w:color w:val="000000" w:themeColor="text1"/>
          <w14:textFill>
            <w14:solidFill>
              <w14:schemeClr w14:val="tx1"/>
            </w14:solidFill>
          </w14:textFill>
        </w:rPr>
        <w:t>设计运行</w:t>
      </w:r>
      <w:r>
        <w:rPr>
          <w:color w:val="000000" w:themeColor="text1"/>
          <w14:textFill>
            <w14:solidFill>
              <w14:schemeClr w14:val="tx1"/>
            </w14:solidFill>
          </w14:textFill>
        </w:rPr>
        <w:t>的航空器起降架次、同时</w:t>
      </w:r>
      <w:r>
        <w:rPr>
          <w:rFonts w:hint="eastAsia"/>
          <w:color w:val="000000" w:themeColor="text1"/>
          <w14:textFill>
            <w14:solidFill>
              <w14:schemeClr w14:val="tx1"/>
            </w14:solidFill>
          </w14:textFill>
        </w:rPr>
        <w:t>运行</w:t>
      </w:r>
      <w:r>
        <w:rPr>
          <w:color w:val="000000" w:themeColor="text1"/>
          <w14:textFill>
            <w14:solidFill>
              <w14:schemeClr w14:val="tx1"/>
            </w14:solidFill>
          </w14:textFill>
        </w:rPr>
        <w:t>的航空器数量确定其等级；</w:t>
      </w:r>
    </w:p>
    <w:p w14:paraId="30DC58E4">
      <w:pPr>
        <w:pStyle w:val="180"/>
        <w:widowControl w:val="0"/>
        <w:rPr>
          <w:color w:val="000000" w:themeColor="text1"/>
          <w14:textFill>
            <w14:solidFill>
              <w14:schemeClr w14:val="tx1"/>
            </w14:solidFill>
          </w14:textFill>
        </w:rPr>
      </w:pPr>
      <w:r>
        <w:rPr>
          <w:color w:val="000000" w:themeColor="text1"/>
          <w14:textFill>
            <w14:solidFill>
              <w14:schemeClr w14:val="tx1"/>
            </w14:solidFill>
          </w14:textFill>
        </w:rPr>
        <w:t>保障能力：根据起降场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点可提供的服务类型（仅起降、起降</w:t>
      </w:r>
      <w:r>
        <w:rPr>
          <w:rFonts w:hint="eastAsia"/>
          <w:color w:val="000000" w:themeColor="text1"/>
          <w14:textFill>
            <w14:solidFill>
              <w14:schemeClr w14:val="tx1"/>
            </w14:solidFill>
          </w14:textFill>
        </w:rPr>
        <w:t>且</w:t>
      </w:r>
      <w:r>
        <w:rPr>
          <w:color w:val="000000" w:themeColor="text1"/>
          <w14:textFill>
            <w14:solidFill>
              <w14:schemeClr w14:val="tx1"/>
            </w14:solidFill>
          </w14:textFill>
        </w:rPr>
        <w:t>充</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换电、起降</w:t>
      </w:r>
      <w:r>
        <w:rPr>
          <w:rFonts w:hint="eastAsia"/>
          <w:color w:val="000000" w:themeColor="text1"/>
          <w14:textFill>
            <w14:solidFill>
              <w14:schemeClr w14:val="tx1"/>
            </w14:solidFill>
          </w14:textFill>
        </w:rPr>
        <w:t>且</w:t>
      </w:r>
      <w:r>
        <w:rPr>
          <w:color w:val="000000" w:themeColor="text1"/>
          <w14:textFill>
            <w14:solidFill>
              <w14:schemeClr w14:val="tx1"/>
            </w14:solidFill>
          </w14:textFill>
        </w:rPr>
        <w:t>充</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换电</w:t>
      </w:r>
      <w:r>
        <w:rPr>
          <w:rFonts w:hint="eastAsia"/>
          <w:color w:val="000000" w:themeColor="text1"/>
          <w14:textFill>
            <w14:solidFill>
              <w14:schemeClr w14:val="tx1"/>
            </w14:solidFill>
          </w14:textFill>
        </w:rPr>
        <w:t>且</w:t>
      </w:r>
      <w:r>
        <w:rPr>
          <w:color w:val="000000" w:themeColor="text1"/>
          <w14:textFill>
            <w14:solidFill>
              <w14:schemeClr w14:val="tx1"/>
            </w14:solidFill>
          </w14:textFill>
        </w:rPr>
        <w:t>维修保养</w:t>
      </w:r>
      <w:r>
        <w:rPr>
          <w:rFonts w:hint="eastAsia"/>
          <w:color w:val="000000" w:themeColor="text1"/>
          <w14:textFill>
            <w14:solidFill>
              <w14:schemeClr w14:val="tx1"/>
            </w14:solidFill>
          </w14:textFill>
        </w:rPr>
        <w:t>且</w:t>
      </w:r>
      <w:r>
        <w:rPr>
          <w:color w:val="000000" w:themeColor="text1"/>
          <w14:textFill>
            <w14:solidFill>
              <w14:schemeClr w14:val="tx1"/>
            </w14:solidFill>
          </w14:textFill>
        </w:rPr>
        <w:t>客货服务等）确定其等级。</w:t>
      </w:r>
    </w:p>
    <w:p w14:paraId="5D54EAF2">
      <w:pPr>
        <w:pStyle w:val="71"/>
        <w:spacing w:before="156" w:after="156"/>
        <w:ind w:left="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各等级适用场景</w:t>
      </w:r>
    </w:p>
    <w:p w14:paraId="26A955F2">
      <w:pPr>
        <w:pStyle w:val="71"/>
        <w:numPr>
          <w:ilvl w:val="0"/>
          <w:numId w:val="0"/>
        </w:numPr>
        <w:spacing w:beforeLines="0" w:afterLines="0"/>
        <w:ind w:firstLine="420" w:firstLineChars="200"/>
        <w:outlineLvl w:val="9"/>
        <w:rPr>
          <w:rFonts w:hAnsi="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各等级起降设施的适用场景</w:t>
      </w:r>
      <w:r>
        <w:rPr>
          <w:rFonts w:hint="eastAsia" w:ascii="宋体" w:hAnsi="宋体" w:eastAsia="宋体"/>
          <w:color w:val="000000" w:themeColor="text1"/>
          <w14:textFill>
            <w14:solidFill>
              <w14:schemeClr w14:val="tx1"/>
            </w14:solidFill>
          </w14:textFill>
        </w:rPr>
        <w:t>按以下规则确定</w:t>
      </w:r>
      <w:r>
        <w:rPr>
          <w:rFonts w:ascii="宋体" w:hAnsi="宋体" w:eastAsia="宋体"/>
          <w:color w:val="000000" w:themeColor="text1"/>
          <w14:textFill>
            <w14:solidFill>
              <w14:schemeClr w14:val="tx1"/>
            </w14:solidFill>
          </w14:textFill>
        </w:rPr>
        <w:t>：</w:t>
      </w:r>
    </w:p>
    <w:p w14:paraId="14A0E082">
      <w:pPr>
        <w:pStyle w:val="180"/>
        <w:widowControl w:val="0"/>
        <w:numPr>
          <w:ilvl w:val="0"/>
          <w:numId w:val="34"/>
        </w:numPr>
        <w:rPr>
          <w:color w:val="000000" w:themeColor="text1"/>
          <w14:textFill>
            <w14:solidFill>
              <w14:schemeClr w14:val="tx1"/>
            </w14:solidFill>
          </w14:textFill>
        </w:rPr>
      </w:pPr>
      <w:r>
        <w:rPr>
          <w:color w:val="000000" w:themeColor="text1"/>
          <w14:textFill>
            <w14:solidFill>
              <w14:schemeClr w14:val="tx1"/>
            </w14:solidFill>
          </w14:textFill>
        </w:rPr>
        <w:t>一级低空垂直起降设施：作为低空起降设施网络的骨干节点，布局于跨省域/跨市域的交通枢纽、航空产业园区等具有较强综合交通转换能力和产业集聚效应的区域，</w:t>
      </w:r>
      <w:r>
        <w:rPr>
          <w:rFonts w:hint="eastAsia"/>
          <w:color w:val="000000" w:themeColor="text1"/>
          <w14:textFill>
            <w14:solidFill>
              <w14:schemeClr w14:val="tx1"/>
            </w14:solidFill>
          </w14:textFill>
        </w:rPr>
        <w:t>应</w:t>
      </w:r>
      <w:r>
        <w:rPr>
          <w:color w:val="000000" w:themeColor="text1"/>
          <w14:textFill>
            <w14:solidFill>
              <w14:schemeClr w14:val="tx1"/>
            </w14:solidFill>
          </w14:textFill>
        </w:rPr>
        <w:t>配置独立的专用设施设备（8.2）和配套功能区（8.3）和不少于</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条的进离场航线；</w:t>
      </w:r>
    </w:p>
    <w:p w14:paraId="00248595">
      <w:pPr>
        <w:pStyle w:val="180"/>
        <w:widowControl w:val="0"/>
        <w:numPr>
          <w:ilvl w:val="0"/>
          <w:numId w:val="34"/>
        </w:numPr>
        <w:rPr>
          <w:color w:val="000000" w:themeColor="text1"/>
          <w14:textFill>
            <w14:solidFill>
              <w14:schemeClr w14:val="tx1"/>
            </w14:solidFill>
          </w14:textFill>
        </w:rPr>
      </w:pPr>
      <w:r>
        <w:rPr>
          <w:color w:val="000000" w:themeColor="text1"/>
          <w14:textFill>
            <w14:solidFill>
              <w14:schemeClr w14:val="tx1"/>
            </w14:solidFill>
          </w14:textFill>
        </w:rPr>
        <w:t>二级低空垂直起降设施：作为低空起降设施网络的重要节点，布局于中心城区、大型产业园区、大型公共设施等客货流密集区域，</w:t>
      </w:r>
      <w:r>
        <w:rPr>
          <w:rFonts w:hint="eastAsia"/>
          <w:color w:val="000000" w:themeColor="text1"/>
          <w14:textFill>
            <w14:solidFill>
              <w14:schemeClr w14:val="tx1"/>
            </w14:solidFill>
          </w14:textFill>
        </w:rPr>
        <w:t>应</w:t>
      </w:r>
      <w:r>
        <w:rPr>
          <w:color w:val="000000" w:themeColor="text1"/>
          <w14:textFill>
            <w14:solidFill>
              <w14:schemeClr w14:val="tx1"/>
            </w14:solidFill>
          </w14:textFill>
        </w:rPr>
        <w:t>配置满足基础运行需要的专用设施设备（8.2）和配套功能区（8.3）；</w:t>
      </w:r>
    </w:p>
    <w:p w14:paraId="4DBA8637">
      <w:pPr>
        <w:pStyle w:val="180"/>
        <w:widowControl w:val="0"/>
        <w:numPr>
          <w:ilvl w:val="0"/>
          <w:numId w:val="34"/>
        </w:numPr>
        <w:rPr>
          <w:color w:val="000000" w:themeColor="text1"/>
          <w14:textFill>
            <w14:solidFill>
              <w14:schemeClr w14:val="tx1"/>
            </w14:solidFill>
          </w14:textFill>
        </w:rPr>
      </w:pPr>
      <w:r>
        <w:rPr>
          <w:color w:val="000000" w:themeColor="text1"/>
          <w14:textFill>
            <w14:solidFill>
              <w14:schemeClr w14:val="tx1"/>
            </w14:solidFill>
          </w14:textFill>
        </w:rPr>
        <w:t>三级低空垂直起降设施：作为低空起降设施网络的末端节点，可依托科研院所、医院、物流网点、社区、景区等灵活布局，</w:t>
      </w:r>
      <w:r>
        <w:rPr>
          <w:rFonts w:hint="eastAsia"/>
          <w:color w:val="000000" w:themeColor="text1"/>
          <w14:textFill>
            <w14:solidFill>
              <w14:schemeClr w14:val="tx1"/>
            </w14:solidFill>
          </w14:textFill>
        </w:rPr>
        <w:t>可</w:t>
      </w:r>
      <w:r>
        <w:rPr>
          <w:color w:val="000000" w:themeColor="text1"/>
          <w14:textFill>
            <w14:solidFill>
              <w14:schemeClr w14:val="tx1"/>
            </w14:solidFill>
          </w14:textFill>
        </w:rPr>
        <w:t>依托</w:t>
      </w:r>
      <w:r>
        <w:rPr>
          <w:rFonts w:hint="eastAsia"/>
          <w:color w:val="000000" w:themeColor="text1"/>
          <w14:textFill>
            <w14:solidFill>
              <w14:schemeClr w14:val="tx1"/>
            </w14:solidFill>
          </w14:textFill>
        </w:rPr>
        <w:t>附近的</w:t>
      </w:r>
      <w:r>
        <w:rPr>
          <w:color w:val="000000" w:themeColor="text1"/>
          <w14:textFill>
            <w14:solidFill>
              <w14:schemeClr w14:val="tx1"/>
            </w14:solidFill>
          </w14:textFill>
        </w:rPr>
        <w:t>起降场共享配套保障</w:t>
      </w:r>
      <w:r>
        <w:rPr>
          <w:rFonts w:hint="eastAsia"/>
          <w:color w:val="000000" w:themeColor="text1"/>
          <w14:textFill>
            <w14:solidFill>
              <w14:schemeClr w14:val="tx1"/>
            </w14:solidFill>
          </w14:textFill>
        </w:rPr>
        <w:t>设施设备</w:t>
      </w:r>
      <w:r>
        <w:rPr>
          <w:color w:val="000000" w:themeColor="text1"/>
          <w14:textFill>
            <w14:solidFill>
              <w14:schemeClr w14:val="tx1"/>
            </w14:solidFill>
          </w14:textFill>
        </w:rPr>
        <w:t>资源。</w:t>
      </w:r>
    </w:p>
    <w:p w14:paraId="057F2099">
      <w:pPr>
        <w:pStyle w:val="71"/>
        <w:spacing w:before="156" w:after="156"/>
        <w:ind w:left="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等级划分动态管理</w:t>
      </w:r>
    </w:p>
    <w:p w14:paraId="44C0BB01">
      <w:pPr>
        <w:pStyle w:val="71"/>
        <w:numPr>
          <w:ilvl w:val="0"/>
          <w:numId w:val="0"/>
        </w:numPr>
        <w:spacing w:beforeLines="0" w:afterLines="0"/>
        <w:ind w:firstLine="420" w:firstLineChars="200"/>
        <w:outlineLvl w:val="9"/>
        <w:rPr>
          <w:rFonts w:hAnsi="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起降场/起降点建成后，应根据实际保障能力和业务规模，实行动态管理，必要时实施改扩建并重新核定等级。</w:t>
      </w:r>
    </w:p>
    <w:p w14:paraId="5B885581">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基础数据要求</w:t>
      </w:r>
    </w:p>
    <w:p w14:paraId="5B885582">
      <w:pPr>
        <w:pStyle w:val="71"/>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数据内容</w:t>
      </w:r>
    </w:p>
    <w:p w14:paraId="3C32E603">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建设与运行起降场/起降点时，应至少采集以下数据：</w:t>
      </w:r>
    </w:p>
    <w:p w14:paraId="76F23610">
      <w:pPr>
        <w:pStyle w:val="180"/>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所含各起降单元的基准点数据，起降单元基准点即TLOF的几何中心，包含经度、纬度和高度，用于航空器起降时的定位参考；</w:t>
      </w:r>
    </w:p>
    <w:p w14:paraId="15677F07">
      <w:pPr>
        <w:pStyle w:val="180"/>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起降场/起降点中心点数据，包含经度、纬度和高度，用于在较大比例尺地图上标注起降场/起降点，起降点的中心点即其起降单元的基准点，起降场的中心点宜设置为多个起降单元基准点相连形成的多边形的几何中心；若起降场/起降点与民用运输机场或通用航空机场共用场地，可使用民航运输机场或通用航空机场的基准点作为中心点；</w:t>
      </w:r>
    </w:p>
    <w:p w14:paraId="0B493E20">
      <w:pPr>
        <w:pStyle w:val="180"/>
        <w:widowControl w:val="0"/>
        <w:numPr>
          <w:ilvl w:val="0"/>
          <w:numId w:val="35"/>
        </w:numPr>
        <w:rPr>
          <w:color w:val="000000" w:themeColor="text1"/>
          <w14:textFill>
            <w14:solidFill>
              <w14:schemeClr w14:val="tx1"/>
            </w14:solidFill>
          </w14:textFill>
        </w:rPr>
      </w:pPr>
      <w:r>
        <w:rPr>
          <w:rFonts w:hint="eastAsia"/>
          <w:color w:val="000000" w:themeColor="text1"/>
          <w14:textFill>
            <w14:solidFill>
              <w14:schemeClr w14:val="tx1"/>
            </w14:solidFill>
          </w14:textFill>
        </w:rPr>
        <w:t>起降场/起降点周边障碍物数据，至少包含各障碍物的经度、纬度和高度。</w:t>
      </w:r>
    </w:p>
    <w:p w14:paraId="24C2DF38">
      <w:pPr>
        <w:pStyle w:val="71"/>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空间基准</w:t>
      </w:r>
    </w:p>
    <w:p w14:paraId="350A1277">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采集数据应使用以下空间基准：</w:t>
      </w:r>
    </w:p>
    <w:p w14:paraId="6DD0F4D1">
      <w:pPr>
        <w:pStyle w:val="180"/>
        <w:widowControl w:val="0"/>
        <w:numPr>
          <w:ilvl w:val="0"/>
          <w:numId w:val="36"/>
        </w:numPr>
        <w:rPr>
          <w:color w:val="000000" w:themeColor="text1"/>
          <w14:textFill>
            <w14:solidFill>
              <w14:schemeClr w14:val="tx1"/>
            </w14:solidFill>
          </w14:textFill>
        </w:rPr>
      </w:pPr>
      <w:r>
        <w:rPr>
          <w:color w:val="000000" w:themeColor="text1"/>
          <w14:textFill>
            <w14:solidFill>
              <w14:schemeClr w14:val="tx1"/>
            </w14:solidFill>
          </w14:textFill>
        </w:rPr>
        <w:t>水平大地基准统一采用CGCS2000</w:t>
      </w:r>
      <w:r>
        <w:rPr>
          <w:rFonts w:hint="eastAsia"/>
          <w:color w:val="000000" w:themeColor="text1"/>
          <w14:textFill>
            <w14:solidFill>
              <w14:schemeClr w14:val="tx1"/>
            </w14:solidFill>
          </w14:textFill>
        </w:rPr>
        <w:t>；</w:t>
      </w:r>
    </w:p>
    <w:p w14:paraId="08D23A60">
      <w:pPr>
        <w:pStyle w:val="180"/>
        <w:widowControl w:val="0"/>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高度基准以地球参考椭球面为基准面测定高度；</w:t>
      </w:r>
    </w:p>
    <w:p w14:paraId="08B49E85">
      <w:pPr>
        <w:pStyle w:val="180"/>
        <w:widowControl w:val="0"/>
        <w:rPr>
          <w:color w:val="000000" w:themeColor="text1"/>
          <w14:textFill>
            <w14:solidFill>
              <w14:schemeClr w14:val="tx1"/>
            </w14:solidFill>
          </w14:textFill>
        </w:rPr>
      </w:pPr>
      <w:r>
        <w:rPr>
          <w:color w:val="000000" w:themeColor="text1"/>
          <w14:textFill>
            <w14:solidFill>
              <w14:schemeClr w14:val="tx1"/>
            </w14:solidFill>
          </w14:textFill>
        </w:rPr>
        <w:t>起降场</w:t>
      </w:r>
      <w:r>
        <w:rPr>
          <w:rFonts w:hint="eastAsia"/>
          <w:color w:val="000000" w:themeColor="text1"/>
          <w14:textFill>
            <w14:solidFill>
              <w14:schemeClr w14:val="tx1"/>
            </w14:solidFill>
          </w14:textFill>
        </w:rPr>
        <w:t>中心点的高度</w:t>
      </w:r>
      <w:r>
        <w:rPr>
          <w:color w:val="000000" w:themeColor="text1"/>
          <w14:textFill>
            <w14:solidFill>
              <w14:schemeClr w14:val="tx1"/>
            </w14:solidFill>
          </w14:textFill>
        </w:rPr>
        <w:t>采用所有起降单元</w:t>
      </w:r>
      <w:r>
        <w:rPr>
          <w:rFonts w:hint="eastAsia"/>
          <w:color w:val="000000" w:themeColor="text1"/>
          <w14:textFill>
            <w14:solidFill>
              <w14:schemeClr w14:val="tx1"/>
            </w14:solidFill>
          </w14:textFill>
        </w:rPr>
        <w:t>基准点高度</w:t>
      </w:r>
      <w:r>
        <w:rPr>
          <w:color w:val="000000" w:themeColor="text1"/>
          <w14:textFill>
            <w14:solidFill>
              <w14:schemeClr w14:val="tx1"/>
            </w14:solidFill>
          </w14:textFill>
        </w:rPr>
        <w:t>的最大值</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若起降场</w:t>
      </w:r>
      <w:r>
        <w:rPr>
          <w:rFonts w:hint="eastAsia"/>
          <w:color w:val="000000" w:themeColor="text1"/>
          <w14:textFill>
            <w14:solidFill>
              <w14:schemeClr w14:val="tx1"/>
            </w14:solidFill>
          </w14:textFill>
        </w:rPr>
        <w:t>/起降点</w:t>
      </w:r>
      <w:r>
        <w:rPr>
          <w:color w:val="000000" w:themeColor="text1"/>
          <w14:textFill>
            <w14:solidFill>
              <w14:schemeClr w14:val="tx1"/>
            </w14:solidFill>
          </w14:textFill>
        </w:rPr>
        <w:t>与民用运输机场或通用航空机场共用场地，起降场</w:t>
      </w:r>
      <w:r>
        <w:rPr>
          <w:rFonts w:hint="eastAsia"/>
          <w:color w:val="000000" w:themeColor="text1"/>
          <w14:textFill>
            <w14:solidFill>
              <w14:schemeClr w14:val="tx1"/>
            </w14:solidFill>
          </w14:textFill>
        </w:rPr>
        <w:t>/起降点中心点的高度</w:t>
      </w:r>
      <w:r>
        <w:rPr>
          <w:color w:val="000000" w:themeColor="text1"/>
          <w14:textFill>
            <w14:solidFill>
              <w14:schemeClr w14:val="tx1"/>
            </w14:solidFill>
          </w14:textFill>
        </w:rPr>
        <w:t>可直接沿用</w:t>
      </w:r>
      <w:r>
        <w:rPr>
          <w:rFonts w:hint="eastAsia"/>
          <w:color w:val="000000" w:themeColor="text1"/>
          <w14:textFill>
            <w14:solidFill>
              <w14:schemeClr w14:val="tx1"/>
            </w14:solidFill>
          </w14:textFill>
        </w:rPr>
        <w:t>民航运输机场或通用航空机场</w:t>
      </w:r>
      <w:r>
        <w:rPr>
          <w:color w:val="000000" w:themeColor="text1"/>
          <w14:textFill>
            <w14:solidFill>
              <w14:schemeClr w14:val="tx1"/>
            </w14:solidFill>
          </w14:textFill>
        </w:rPr>
        <w:t>公开的标高数据</w:t>
      </w:r>
      <w:r>
        <w:rPr>
          <w:rFonts w:hint="eastAsia"/>
          <w:color w:val="000000" w:themeColor="text1"/>
          <w14:textFill>
            <w14:solidFill>
              <w14:schemeClr w14:val="tx1"/>
            </w14:solidFill>
          </w14:textFill>
        </w:rPr>
        <w:t>（必要时应作高度基准转换）</w:t>
      </w:r>
      <w:r>
        <w:rPr>
          <w:color w:val="000000" w:themeColor="text1"/>
          <w14:textFill>
            <w14:solidFill>
              <w14:schemeClr w14:val="tx1"/>
            </w14:solidFill>
          </w14:textFill>
        </w:rPr>
        <w:t>。</w:t>
      </w:r>
    </w:p>
    <w:p w14:paraId="1CA6329E">
      <w:pPr>
        <w:pStyle w:val="71"/>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数据精度</w:t>
      </w:r>
    </w:p>
    <w:p w14:paraId="7F45F807">
      <w:pPr>
        <w:pStyle w:val="62"/>
        <w:widowControl w:val="0"/>
        <w:ind w:firstLine="420"/>
      </w:pPr>
      <w:r>
        <w:rPr>
          <w:rFonts w:hint="eastAsia"/>
        </w:rPr>
        <w:t>采集数据应具备以下精度：</w:t>
      </w:r>
    </w:p>
    <w:p w14:paraId="3478A0EB">
      <w:pPr>
        <w:pStyle w:val="180"/>
        <w:widowControl w:val="0"/>
        <w:numPr>
          <w:ilvl w:val="0"/>
          <w:numId w:val="37"/>
        </w:numPr>
      </w:pPr>
      <w:r>
        <w:rPr>
          <w:rFonts w:hint="eastAsia"/>
        </w:rPr>
        <w:t>经度和纬度精度应小于等于0.5米（测量值）；</w:t>
      </w:r>
    </w:p>
    <w:p w14:paraId="21EF7E70">
      <w:pPr>
        <w:pStyle w:val="180"/>
        <w:widowControl w:val="0"/>
      </w:pPr>
      <w:r>
        <w:rPr>
          <w:rFonts w:hint="eastAsia"/>
        </w:rPr>
        <w:t>标高精度应小于等于0.5米（测量值）。</w:t>
      </w:r>
    </w:p>
    <w:p w14:paraId="5B88559D">
      <w:pPr>
        <w:pStyle w:val="110"/>
        <w:widowControl w:val="0"/>
        <w:spacing w:before="312" w:after="312"/>
        <w:ind w:left="0"/>
        <w:rPr>
          <w:color w:val="000000" w:themeColor="text1"/>
          <w14:textFill>
            <w14:solidFill>
              <w14:schemeClr w14:val="tx1"/>
            </w14:solidFill>
          </w14:textFill>
        </w:rPr>
      </w:pPr>
      <w:bookmarkStart w:id="155" w:name="_Toc240381274"/>
      <w:bookmarkEnd w:id="155"/>
      <w:bookmarkStart w:id="156" w:name="_Toc240381273"/>
      <w:bookmarkEnd w:id="156"/>
      <w:bookmarkStart w:id="157" w:name="_Toc234855298"/>
      <w:bookmarkEnd w:id="157"/>
      <w:bookmarkStart w:id="158" w:name="_Toc234424789"/>
      <w:bookmarkEnd w:id="158"/>
      <w:bookmarkStart w:id="159" w:name="_Toc234855294"/>
      <w:bookmarkEnd w:id="159"/>
      <w:bookmarkStart w:id="160" w:name="_Toc240381275"/>
      <w:bookmarkEnd w:id="160"/>
      <w:bookmarkStart w:id="161" w:name="_Toc234424792"/>
      <w:bookmarkEnd w:id="161"/>
      <w:bookmarkStart w:id="162" w:name="_Toc234855299"/>
      <w:bookmarkEnd w:id="162"/>
      <w:bookmarkStart w:id="163" w:name="_Toc234856084"/>
      <w:bookmarkEnd w:id="163"/>
      <w:bookmarkStart w:id="164" w:name="_Toc234855692"/>
      <w:bookmarkEnd w:id="164"/>
      <w:bookmarkStart w:id="165" w:name="_Toc234855693"/>
      <w:bookmarkEnd w:id="165"/>
      <w:bookmarkStart w:id="166" w:name="_Toc240381312"/>
      <w:bookmarkEnd w:id="166"/>
      <w:bookmarkStart w:id="167" w:name="_Toc234855696"/>
      <w:bookmarkEnd w:id="167"/>
      <w:bookmarkStart w:id="168" w:name="_Toc239434192"/>
      <w:bookmarkEnd w:id="168"/>
      <w:bookmarkStart w:id="169" w:name="_Toc234855295"/>
      <w:bookmarkEnd w:id="169"/>
      <w:bookmarkStart w:id="170" w:name="_Toc234856085"/>
      <w:bookmarkEnd w:id="170"/>
      <w:bookmarkStart w:id="171" w:name="_Toc239434191"/>
      <w:bookmarkEnd w:id="171"/>
      <w:bookmarkStart w:id="172" w:name="_Toc234856482"/>
      <w:bookmarkEnd w:id="172"/>
      <w:bookmarkStart w:id="173" w:name="_Toc234855691"/>
      <w:bookmarkEnd w:id="173"/>
      <w:bookmarkStart w:id="174" w:name="_Toc234424787"/>
      <w:bookmarkEnd w:id="174"/>
      <w:bookmarkStart w:id="175" w:name="_Toc239434193"/>
      <w:bookmarkEnd w:id="175"/>
      <w:bookmarkStart w:id="176" w:name="_Toc240381314"/>
      <w:bookmarkEnd w:id="176"/>
      <w:bookmarkStart w:id="177" w:name="_Toc234856081"/>
      <w:bookmarkEnd w:id="177"/>
      <w:bookmarkStart w:id="178" w:name="_Toc234856483"/>
      <w:bookmarkEnd w:id="178"/>
      <w:bookmarkStart w:id="179" w:name="_Toc240381313"/>
      <w:bookmarkEnd w:id="179"/>
      <w:bookmarkStart w:id="180" w:name="_Toc234856478"/>
      <w:bookmarkEnd w:id="180"/>
      <w:bookmarkStart w:id="181" w:name="_Toc234855296"/>
      <w:bookmarkEnd w:id="181"/>
      <w:bookmarkStart w:id="182" w:name="_Toc234424790"/>
      <w:bookmarkEnd w:id="182"/>
      <w:bookmarkStart w:id="183" w:name="_Toc234856480"/>
      <w:bookmarkEnd w:id="183"/>
      <w:bookmarkStart w:id="184" w:name="_Toc234856082"/>
      <w:bookmarkEnd w:id="184"/>
      <w:bookmarkStart w:id="185" w:name="_Toc234424788"/>
      <w:bookmarkEnd w:id="185"/>
      <w:bookmarkStart w:id="186" w:name="_Toc240381311"/>
      <w:bookmarkEnd w:id="186"/>
      <w:bookmarkStart w:id="187" w:name="_Toc234856485"/>
      <w:bookmarkEnd w:id="187"/>
      <w:bookmarkStart w:id="188" w:name="_Toc234855297"/>
      <w:bookmarkEnd w:id="188"/>
      <w:bookmarkStart w:id="189" w:name="_Toc234855306"/>
      <w:bookmarkEnd w:id="189"/>
      <w:bookmarkStart w:id="190" w:name="_Toc234856486"/>
      <w:bookmarkEnd w:id="190"/>
      <w:bookmarkStart w:id="191" w:name="_Toc234855305"/>
      <w:bookmarkEnd w:id="191"/>
      <w:bookmarkStart w:id="192" w:name="_Toc234856484"/>
      <w:bookmarkEnd w:id="192"/>
      <w:bookmarkStart w:id="193" w:name="_Toc234856488"/>
      <w:bookmarkEnd w:id="193"/>
      <w:bookmarkStart w:id="194" w:name="_Toc234856487"/>
      <w:bookmarkEnd w:id="194"/>
      <w:bookmarkStart w:id="195" w:name="_Toc234856092"/>
      <w:bookmarkEnd w:id="195"/>
      <w:bookmarkStart w:id="196" w:name="_Toc234856091"/>
      <w:bookmarkEnd w:id="196"/>
      <w:bookmarkStart w:id="197" w:name="_Toc234856479"/>
      <w:bookmarkEnd w:id="197"/>
      <w:bookmarkStart w:id="198" w:name="_Toc234856481"/>
      <w:bookmarkEnd w:id="198"/>
      <w:bookmarkStart w:id="199" w:name="_Toc234856083"/>
      <w:bookmarkEnd w:id="199"/>
      <w:bookmarkStart w:id="200" w:name="_Toc234855694"/>
      <w:bookmarkEnd w:id="200"/>
      <w:bookmarkStart w:id="201" w:name="_Toc234855695"/>
      <w:bookmarkEnd w:id="201"/>
      <w:bookmarkStart w:id="202" w:name="_Toc234856490"/>
      <w:bookmarkEnd w:id="202"/>
      <w:bookmarkStart w:id="203" w:name="_Toc234855304"/>
      <w:bookmarkEnd w:id="203"/>
      <w:bookmarkStart w:id="204" w:name="_Toc234855302"/>
      <w:bookmarkEnd w:id="204"/>
      <w:bookmarkStart w:id="205" w:name="_Toc234855701"/>
      <w:bookmarkEnd w:id="205"/>
      <w:bookmarkStart w:id="206" w:name="_Toc234855702"/>
      <w:bookmarkEnd w:id="206"/>
      <w:bookmarkStart w:id="207" w:name="_Toc234856086"/>
      <w:bookmarkEnd w:id="207"/>
      <w:bookmarkStart w:id="208" w:name="_Toc234856088"/>
      <w:bookmarkEnd w:id="208"/>
      <w:bookmarkStart w:id="209" w:name="_Toc234855300"/>
      <w:bookmarkEnd w:id="209"/>
      <w:bookmarkStart w:id="210" w:name="_Toc234856090"/>
      <w:bookmarkEnd w:id="210"/>
      <w:bookmarkStart w:id="211" w:name="_Toc234424791"/>
      <w:bookmarkEnd w:id="211"/>
      <w:bookmarkStart w:id="212" w:name="_Toc234855699"/>
      <w:bookmarkEnd w:id="212"/>
      <w:bookmarkStart w:id="213" w:name="_Toc234856089"/>
      <w:bookmarkEnd w:id="213"/>
      <w:bookmarkStart w:id="214" w:name="_Toc234424798"/>
      <w:bookmarkEnd w:id="214"/>
      <w:bookmarkStart w:id="215" w:name="_Toc234424796"/>
      <w:bookmarkEnd w:id="215"/>
      <w:bookmarkStart w:id="216" w:name="_Toc234856489"/>
      <w:bookmarkEnd w:id="216"/>
      <w:bookmarkStart w:id="217" w:name="_Toc234424795"/>
      <w:bookmarkEnd w:id="217"/>
      <w:bookmarkStart w:id="218" w:name="_Toc234424794"/>
      <w:bookmarkEnd w:id="218"/>
      <w:bookmarkStart w:id="219" w:name="_Toc234855301"/>
      <w:bookmarkEnd w:id="219"/>
      <w:bookmarkStart w:id="220" w:name="_Toc234424793"/>
      <w:bookmarkEnd w:id="220"/>
      <w:bookmarkStart w:id="221" w:name="_Toc234856087"/>
      <w:bookmarkEnd w:id="221"/>
      <w:bookmarkStart w:id="222" w:name="_Toc234855700"/>
      <w:bookmarkEnd w:id="222"/>
      <w:bookmarkStart w:id="223" w:name="_Toc234856094"/>
      <w:bookmarkEnd w:id="223"/>
      <w:bookmarkStart w:id="224" w:name="_Toc234856093"/>
      <w:bookmarkEnd w:id="224"/>
      <w:bookmarkStart w:id="225" w:name="_Toc234855698"/>
      <w:bookmarkEnd w:id="225"/>
      <w:bookmarkStart w:id="226" w:name="_Toc234855303"/>
      <w:bookmarkEnd w:id="226"/>
      <w:bookmarkStart w:id="227" w:name="_Toc234424800"/>
      <w:bookmarkEnd w:id="227"/>
      <w:bookmarkStart w:id="228" w:name="_Toc234855704"/>
      <w:bookmarkEnd w:id="228"/>
      <w:bookmarkStart w:id="229" w:name="_Toc234855697"/>
      <w:bookmarkEnd w:id="229"/>
      <w:bookmarkStart w:id="230" w:name="_Toc234855307"/>
      <w:bookmarkEnd w:id="230"/>
      <w:bookmarkStart w:id="231" w:name="_Toc234424799"/>
      <w:bookmarkEnd w:id="231"/>
      <w:bookmarkStart w:id="232" w:name="_Toc234424797"/>
      <w:bookmarkEnd w:id="232"/>
      <w:bookmarkStart w:id="233" w:name="_Toc234856491"/>
      <w:bookmarkEnd w:id="233"/>
      <w:bookmarkStart w:id="234" w:name="_Toc234855703"/>
      <w:bookmarkEnd w:id="234"/>
      <w:bookmarkStart w:id="235" w:name="_Toc240381309"/>
      <w:bookmarkEnd w:id="235"/>
      <w:bookmarkStart w:id="236" w:name="_Toc240381306"/>
      <w:bookmarkEnd w:id="236"/>
      <w:bookmarkStart w:id="237" w:name="_Toc239434186"/>
      <w:bookmarkEnd w:id="237"/>
      <w:bookmarkStart w:id="238" w:name="_Toc239434184"/>
      <w:bookmarkEnd w:id="238"/>
      <w:bookmarkStart w:id="239" w:name="_Toc240381305"/>
      <w:bookmarkEnd w:id="239"/>
      <w:bookmarkStart w:id="240" w:name="_Toc239434185"/>
      <w:bookmarkEnd w:id="240"/>
      <w:bookmarkStart w:id="241" w:name="_Toc240381267"/>
      <w:bookmarkEnd w:id="241"/>
      <w:bookmarkStart w:id="242" w:name="_Toc240381307"/>
      <w:bookmarkEnd w:id="242"/>
      <w:bookmarkStart w:id="243" w:name="_Toc239434189"/>
      <w:bookmarkEnd w:id="243"/>
      <w:bookmarkStart w:id="244" w:name="_Toc240381310"/>
      <w:bookmarkEnd w:id="244"/>
      <w:bookmarkStart w:id="245" w:name="_Toc239434190"/>
      <w:bookmarkEnd w:id="245"/>
      <w:bookmarkStart w:id="246" w:name="_Toc240381268"/>
      <w:bookmarkEnd w:id="246"/>
      <w:bookmarkStart w:id="247" w:name="_Toc240381308"/>
      <w:bookmarkEnd w:id="247"/>
      <w:bookmarkStart w:id="248" w:name="_Toc240381269"/>
      <w:bookmarkEnd w:id="248"/>
      <w:bookmarkStart w:id="249" w:name="_Toc239434188"/>
      <w:bookmarkEnd w:id="249"/>
      <w:bookmarkStart w:id="250" w:name="_Toc240381270"/>
      <w:bookmarkEnd w:id="250"/>
      <w:bookmarkStart w:id="251" w:name="_Toc239434187"/>
      <w:bookmarkEnd w:id="251"/>
      <w:bookmarkStart w:id="252" w:name="_Toc240381271"/>
      <w:bookmarkEnd w:id="252"/>
      <w:bookmarkStart w:id="253" w:name="_Toc240381272"/>
      <w:bookmarkEnd w:id="253"/>
      <w:bookmarkStart w:id="254" w:name="_Toc240381266"/>
      <w:bookmarkEnd w:id="254"/>
      <w:bookmarkStart w:id="255" w:name="_Toc240387894"/>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选址要求</w:t>
      </w:r>
      <w:bookmarkEnd w:id="255"/>
    </w:p>
    <w:p w14:paraId="5B88559E">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空域条件</w:t>
      </w:r>
    </w:p>
    <w:p w14:paraId="5B8855A0">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选址时应满足以下空域条件：</w:t>
      </w:r>
    </w:p>
    <w:p w14:paraId="715FF66A">
      <w:pPr>
        <w:pStyle w:val="180"/>
        <w:widowControl w:val="0"/>
        <w:numPr>
          <w:ilvl w:val="0"/>
          <w:numId w:val="38"/>
        </w:numPr>
        <w:rPr>
          <w:color w:val="000000" w:themeColor="text1"/>
          <w14:textFill>
            <w14:solidFill>
              <w14:schemeClr w14:val="tx1"/>
            </w14:solidFill>
          </w14:textFill>
        </w:rPr>
      </w:pPr>
      <w:r>
        <w:rPr>
          <w:rFonts w:hint="eastAsia"/>
          <w:color w:val="000000" w:themeColor="text1"/>
          <w14:textFill>
            <w14:solidFill>
              <w14:schemeClr w14:val="tx1"/>
            </w14:solidFill>
          </w14:textFill>
        </w:rPr>
        <w:t>统筹空域安全，</w:t>
      </w:r>
      <w:r>
        <w:t>符合国家空域管理规定，最大限度规避空域冲突，协调化解运行限制</w:t>
      </w:r>
      <w:r>
        <w:rPr>
          <w:rFonts w:hint="eastAsia"/>
          <w:color w:val="000000" w:themeColor="text1"/>
          <w14:textFill>
            <w14:solidFill>
              <w14:schemeClr w14:val="tx1"/>
            </w14:solidFill>
          </w14:textFill>
        </w:rPr>
        <w:t>；</w:t>
      </w:r>
    </w:p>
    <w:p w14:paraId="6A3A6DCB">
      <w:pPr>
        <w:pStyle w:val="180"/>
        <w:widowControl w:val="0"/>
        <w:rPr>
          <w:color w:val="000000" w:themeColor="text1"/>
          <w14:textFill>
            <w14:solidFill>
              <w14:schemeClr w14:val="tx1"/>
            </w14:solidFill>
          </w14:textFill>
        </w:rPr>
      </w:pPr>
      <w:r>
        <w:t>严禁在</w:t>
      </w:r>
      <w:r>
        <w:rPr>
          <w:rFonts w:hint="eastAsia"/>
        </w:rPr>
        <w:t>空中禁区</w:t>
      </w:r>
      <w:r>
        <w:t>、危险区内选址，避开</w:t>
      </w:r>
      <w:r>
        <w:rPr>
          <w:rFonts w:hint="eastAsia"/>
        </w:rPr>
        <w:t>空中</w:t>
      </w:r>
      <w:r>
        <w:t>限制区</w:t>
      </w:r>
      <w:r>
        <w:rPr>
          <w:rFonts w:hint="eastAsia"/>
        </w:rPr>
        <w:t>；</w:t>
      </w:r>
    </w:p>
    <w:p w14:paraId="510855C9">
      <w:pPr>
        <w:pStyle w:val="180"/>
        <w:widowControl w:val="0"/>
        <w:rPr>
          <w:color w:val="000000" w:themeColor="text1"/>
          <w14:textFill>
            <w14:solidFill>
              <w14:schemeClr w14:val="tx1"/>
            </w14:solidFill>
          </w14:textFill>
        </w:rPr>
      </w:pPr>
      <w:r>
        <w:t>与空域协同管理部门充分沟通，评估</w:t>
      </w:r>
      <w:r>
        <w:rPr>
          <w:rFonts w:hint="eastAsia"/>
        </w:rPr>
        <w:t>选址</w:t>
      </w:r>
      <w:r>
        <w:t>对低空航路/航线网络布局的影响</w:t>
      </w:r>
      <w:r>
        <w:rPr>
          <w:rFonts w:hint="eastAsia"/>
        </w:rPr>
        <w:t>；</w:t>
      </w:r>
    </w:p>
    <w:p w14:paraId="78F9809E">
      <w:pPr>
        <w:pStyle w:val="180"/>
        <w:widowControl w:val="0"/>
        <w:rPr>
          <w:color w:val="000000" w:themeColor="text1"/>
          <w14:textFill>
            <w14:solidFill>
              <w14:schemeClr w14:val="tx1"/>
            </w14:solidFill>
          </w14:textFill>
        </w:rPr>
      </w:pPr>
      <w:r>
        <w:t>临近管制空域的</w:t>
      </w:r>
      <w:r>
        <w:rPr>
          <w:rFonts w:hint="eastAsia"/>
        </w:rP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，需全面评估</w:t>
      </w:r>
      <w:r>
        <w:rPr>
          <w:rFonts w:hint="eastAsia"/>
        </w:rPr>
        <w:t>低空垂直起降航空器</w:t>
      </w:r>
      <w:r>
        <w:t>闯入</w:t>
      </w:r>
      <w:r>
        <w:rPr>
          <w:rFonts w:hint="eastAsia"/>
        </w:rPr>
        <w:t>管制空域的</w:t>
      </w:r>
      <w:r>
        <w:t>风险，预留充足安全</w:t>
      </w:r>
      <w:r>
        <w:rPr>
          <w:rFonts w:hint="eastAsia"/>
        </w:rPr>
        <w:t>距离</w:t>
      </w:r>
      <w:r>
        <w:t>。</w:t>
      </w:r>
    </w:p>
    <w:p w14:paraId="5B8855A3">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净空条件</w:t>
      </w:r>
    </w:p>
    <w:p w14:paraId="5B8855A5">
      <w:pPr>
        <w:pStyle w:val="180"/>
        <w:widowControl w:val="0"/>
        <w:numPr>
          <w:ilvl w:val="0"/>
          <w:numId w:val="0"/>
        </w:numPr>
        <w:tabs>
          <w:tab w:val="clear" w:pos="852"/>
        </w:tabs>
        <w:ind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选址时应满足以下净空条件：</w:t>
      </w:r>
    </w:p>
    <w:p w14:paraId="5B8855A9">
      <w:pPr>
        <w:pStyle w:val="180"/>
        <w:widowControl w:val="0"/>
        <w:numPr>
          <w:ilvl w:val="0"/>
          <w:numId w:val="39"/>
        </w:numPr>
      </w:pPr>
      <w:r>
        <w:t>优先</w:t>
      </w:r>
      <w:r>
        <w:rPr>
          <w:rFonts w:hint="eastAsia"/>
        </w:rPr>
        <w:t>考虑空间</w:t>
      </w:r>
      <w:r>
        <w:t>开阔、障碍物稀少、净空条件优良的场地，保障</w:t>
      </w:r>
      <w:r>
        <w:rPr>
          <w:rFonts w:hint="eastAsia"/>
        </w:rPr>
        <w:t>低空垂直起降</w:t>
      </w:r>
      <w:r>
        <w:t>航空器安全</w:t>
      </w:r>
      <w:r>
        <w:rPr>
          <w:rFonts w:hint="eastAsia"/>
        </w:rPr>
        <w:t>运行</w:t>
      </w:r>
      <w:r>
        <w:rPr>
          <w:rFonts w:hint="eastAsia"/>
          <w:color w:val="000000" w:themeColor="text1"/>
          <w14:textFill>
            <w14:solidFill>
              <w14:schemeClr w14:val="tx1"/>
            </w14:solidFill>
          </w14:textFill>
        </w:rPr>
        <w:t>；</w:t>
      </w:r>
    </w:p>
    <w:p w14:paraId="374238FC">
      <w:pPr>
        <w:pStyle w:val="180"/>
        <w:widowControl w:val="0"/>
        <w:numPr>
          <w:ilvl w:val="0"/>
          <w:numId w:val="39"/>
        </w:numPr>
      </w:pPr>
      <w:r>
        <w:t>避开110</w:t>
      </w:r>
      <w:r>
        <w:rPr>
          <w:rFonts w:hint="eastAsia"/>
        </w:rPr>
        <w:t>千伏</w:t>
      </w:r>
      <w:r>
        <w:t>及以上高压输电线路、烟囱、桥梁、风电风机、通信塔、高层建筑等固定建筑物/构筑物</w:t>
      </w:r>
      <w:r>
        <w:rPr>
          <w:rFonts w:hint="eastAsia"/>
        </w:rPr>
        <w:t>；</w:t>
      </w:r>
    </w:p>
    <w:p w14:paraId="378F59B9">
      <w:pPr>
        <w:pStyle w:val="180"/>
        <w:widowControl w:val="0"/>
        <w:numPr>
          <w:ilvl w:val="0"/>
          <w:numId w:val="39"/>
        </w:numPr>
      </w:pPr>
      <w:r>
        <w:t>识别并标定</w:t>
      </w:r>
      <w:r>
        <w:rPr>
          <w:rFonts w:hint="eastAsia"/>
        </w:rP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rPr>
        <w:t>选址</w:t>
      </w:r>
      <w:r>
        <w:t>周边障碍物，评估障碍物对起降</w:t>
      </w:r>
      <w:r>
        <w:rPr>
          <w:rFonts w:hint="eastAsia"/>
        </w:rPr>
        <w:t>运行</w:t>
      </w:r>
      <w:r>
        <w:t>的影响，尽可能避免或减少障碍物处理</w:t>
      </w:r>
      <w:r>
        <w:rPr>
          <w:rFonts w:hint="eastAsia"/>
        </w:rPr>
        <w:t>的</w:t>
      </w:r>
      <w:r>
        <w:t>工程量</w:t>
      </w:r>
      <w:r>
        <w:rPr>
          <w:rFonts w:hint="eastAsia"/>
        </w:rPr>
        <w:t>；</w:t>
      </w:r>
    </w:p>
    <w:p w14:paraId="143693A0">
      <w:pPr>
        <w:pStyle w:val="180"/>
        <w:widowControl w:val="0"/>
        <w:numPr>
          <w:ilvl w:val="0"/>
          <w:numId w:val="39"/>
        </w:numPr>
      </w:pPr>
      <w:r>
        <w:t>保障</w:t>
      </w:r>
      <w:r>
        <w:rPr>
          <w:rFonts w:hint="eastAsia"/>
        </w:rP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rPr>
        <w:t>的OLS不被任何障碍物穿透。</w:t>
      </w:r>
    </w:p>
    <w:p w14:paraId="20E19A1F">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地理条件</w:t>
      </w:r>
    </w:p>
    <w:p w14:paraId="09E25575">
      <w:pPr>
        <w:pStyle w:val="180"/>
        <w:widowControl w:val="0"/>
        <w:numPr>
          <w:ilvl w:val="0"/>
          <w:numId w:val="0"/>
        </w:numPr>
        <w:tabs>
          <w:tab w:val="clear" w:pos="852"/>
        </w:tabs>
        <w:ind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选址时应满足以下地理条件：</w:t>
      </w:r>
    </w:p>
    <w:p w14:paraId="72B07E84">
      <w:pPr>
        <w:pStyle w:val="180"/>
        <w:widowControl w:val="0"/>
        <w:numPr>
          <w:ilvl w:val="0"/>
          <w:numId w:val="40"/>
        </w:numPr>
      </w:pPr>
      <w:r>
        <w:t>符合国土空间规划，严禁占用永久基本农田、</w:t>
      </w:r>
      <w:r>
        <w:rPr>
          <w:rFonts w:hint="eastAsia"/>
        </w:rPr>
        <w:t>生态及文化</w:t>
      </w:r>
      <w:r>
        <w:t>保护区域、</w:t>
      </w:r>
      <w:r>
        <w:rPr>
          <w:rFonts w:hint="eastAsia"/>
        </w:rPr>
        <w:t>采矿挖掘</w:t>
      </w:r>
      <w:r>
        <w:t>核心区，鼓励利用荒地、滩涂等闲置土地</w:t>
      </w:r>
      <w:r>
        <w:rPr>
          <w:rFonts w:hint="eastAsia"/>
        </w:rPr>
        <w:t>；</w:t>
      </w:r>
    </w:p>
    <w:p w14:paraId="07ACBAC8">
      <w:pPr>
        <w:pStyle w:val="180"/>
        <w:widowControl w:val="0"/>
        <w:numPr>
          <w:ilvl w:val="0"/>
          <w:numId w:val="40"/>
        </w:numPr>
      </w:pPr>
      <w:r>
        <w:rPr>
          <w:rFonts w:hint="eastAsia"/>
        </w:rPr>
        <w:t>避开</w:t>
      </w:r>
      <w:r>
        <w:t>军事</w:t>
      </w:r>
      <w:r>
        <w:rPr>
          <w:rFonts w:hint="eastAsia"/>
        </w:rPr>
        <w:t>阵地、靶场等军事区域，与核电、易燃易爆场所等</w:t>
      </w:r>
      <w:r>
        <w:t>高危</w:t>
      </w:r>
      <w:r>
        <w:rPr>
          <w:rFonts w:hint="eastAsia"/>
        </w:rPr>
        <w:t>区域</w:t>
      </w:r>
      <w:r>
        <w:t>保持合规安全距离</w:t>
      </w:r>
      <w:r>
        <w:rPr>
          <w:rFonts w:hint="eastAsia"/>
        </w:rPr>
        <w:t>，</w:t>
      </w:r>
      <w:r>
        <w:t>远离强电磁干扰</w:t>
      </w:r>
      <w:r>
        <w:rPr>
          <w:rFonts w:hint="eastAsia"/>
        </w:rPr>
        <w:t>区和</w:t>
      </w:r>
      <w:r>
        <w:t>噪声敏感区</w:t>
      </w:r>
      <w:r>
        <w:rPr>
          <w:rFonts w:hint="eastAsia"/>
        </w:rPr>
        <w:t>（至少保持水平距离500米以上）；</w:t>
      </w:r>
    </w:p>
    <w:p w14:paraId="0D874FD1">
      <w:pPr>
        <w:pStyle w:val="180"/>
        <w:widowControl w:val="0"/>
        <w:numPr>
          <w:ilvl w:val="0"/>
          <w:numId w:val="39"/>
        </w:numPr>
      </w:pPr>
      <w:r>
        <w:t>全面收集气象数据，评估风场、能见度、雷电、大雾等气象</w:t>
      </w:r>
      <w:r>
        <w:rPr>
          <w:rFonts w:hint="eastAsia"/>
        </w:rPr>
        <w:t>条件</w:t>
      </w:r>
      <w:r>
        <w:t>，规避恶劣气象高发区域</w:t>
      </w:r>
      <w:r>
        <w:rPr>
          <w:rFonts w:hint="eastAsia"/>
        </w:rPr>
        <w:t>；</w:t>
      </w:r>
    </w:p>
    <w:p w14:paraId="7684F4F5">
      <w:pPr>
        <w:pStyle w:val="180"/>
        <w:widowControl w:val="0"/>
        <w:numPr>
          <w:ilvl w:val="0"/>
          <w:numId w:val="39"/>
        </w:numPr>
      </w:pPr>
      <w:r>
        <w:rPr>
          <w:rFonts w:hint="eastAsia"/>
        </w:rPr>
        <w:t>针对</w:t>
      </w:r>
      <w:r>
        <w:t>一</w:t>
      </w:r>
      <w:r>
        <w:rPr>
          <w:rFonts w:hint="eastAsia"/>
        </w:rPr>
        <w:t>级和</w:t>
      </w:r>
      <w:r>
        <w:t>二级起降</w:t>
      </w:r>
      <w:r>
        <w:rPr>
          <w:rFonts w:hint="eastAsia"/>
        </w:rPr>
        <w:t>设施</w:t>
      </w:r>
      <w:r>
        <w:t>开展工程地质、水文条件、地震烈度、防洪能力勘察，杜绝积水、内涝、浸泡风险，保障长期稳定运行</w:t>
      </w:r>
      <w:r>
        <w:rPr>
          <w:rFonts w:hint="eastAsia"/>
        </w:rPr>
        <w:t>。</w:t>
      </w:r>
    </w:p>
    <w:p w14:paraId="6B3B73BA">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交通和公共设施引接条件</w:t>
      </w:r>
    </w:p>
    <w:p w14:paraId="62D39F21">
      <w:pPr>
        <w:pStyle w:val="180"/>
        <w:widowControl w:val="0"/>
        <w:numPr>
          <w:ilvl w:val="0"/>
          <w:numId w:val="0"/>
        </w:numPr>
        <w:tabs>
          <w:tab w:val="clear" w:pos="852"/>
        </w:tabs>
        <w:ind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选址时应满足以下交通和公共设施引接条件：</w:t>
      </w:r>
    </w:p>
    <w:p w14:paraId="0607074A">
      <w:pPr>
        <w:pStyle w:val="180"/>
        <w:widowControl w:val="0"/>
        <w:numPr>
          <w:ilvl w:val="0"/>
          <w:numId w:val="41"/>
        </w:numPr>
        <w:tabs>
          <w:tab w:val="clear" w:pos="852"/>
        </w:tabs>
      </w:pPr>
      <w:r>
        <w:rPr>
          <w:rFonts w:hint="eastAsia"/>
        </w:rPr>
        <w:t>应</w:t>
      </w:r>
      <w:r>
        <w:t>配套外部引接道路</w:t>
      </w:r>
      <w:r>
        <w:rPr>
          <w:rFonts w:hint="eastAsia"/>
        </w:rPr>
        <w:t>；</w:t>
      </w:r>
    </w:p>
    <w:p w14:paraId="5A6A610C">
      <w:pPr>
        <w:pStyle w:val="180"/>
        <w:widowControl w:val="0"/>
        <w:numPr>
          <w:ilvl w:val="0"/>
          <w:numId w:val="41"/>
        </w:numPr>
      </w:pPr>
      <w:r>
        <w:t>一</w:t>
      </w:r>
      <w:r>
        <w:rPr>
          <w:rFonts w:hint="eastAsia"/>
        </w:rPr>
        <w:t>级和</w:t>
      </w:r>
      <w:r>
        <w:t>二级起降</w:t>
      </w:r>
      <w:r>
        <w:rPr>
          <w:rFonts w:hint="eastAsia"/>
        </w:rPr>
        <w:t>设施</w:t>
      </w:r>
      <w:r>
        <w:t>完善多模式交通接驳体系，满足客货中转、人员换乘、物资转运</w:t>
      </w:r>
      <w:r>
        <w:rPr>
          <w:rFonts w:hint="eastAsia"/>
        </w:rPr>
        <w:t>等</w:t>
      </w:r>
      <w:r>
        <w:t>需求</w:t>
      </w:r>
      <w:r>
        <w:rPr>
          <w:rFonts w:hint="eastAsia"/>
        </w:rPr>
        <w:t>，</w:t>
      </w:r>
      <w:r>
        <w:t>外部道路满足吊车、挂车等大型车辆通行、停靠、作业要求</w:t>
      </w:r>
      <w:r>
        <w:rPr>
          <w:rFonts w:hint="eastAsia"/>
        </w:rPr>
        <w:t>；</w:t>
      </w:r>
    </w:p>
    <w:p w14:paraId="1ABB98F8">
      <w:pPr>
        <w:pStyle w:val="180"/>
        <w:widowControl w:val="0"/>
        <w:numPr>
          <w:ilvl w:val="0"/>
          <w:numId w:val="41"/>
        </w:numPr>
        <w:tabs>
          <w:tab w:val="clear" w:pos="852"/>
        </w:tabs>
      </w:pPr>
      <w:r>
        <w:t>具备道路、供水、排水、供电、通信等</w:t>
      </w:r>
      <w:r>
        <w:rPr>
          <w:rFonts w:hint="eastAsia"/>
        </w:rPr>
        <w:t>公共</w:t>
      </w:r>
      <w:r>
        <w:t>设施引接、布设条件，满足运行、维保、办公需求</w:t>
      </w:r>
    </w:p>
    <w:p w14:paraId="597D8BDA">
      <w:pPr>
        <w:pStyle w:val="180"/>
        <w:widowControl w:val="0"/>
        <w:numPr>
          <w:ilvl w:val="0"/>
          <w:numId w:val="41"/>
        </w:numPr>
        <w:tabs>
          <w:tab w:val="clear" w:pos="852"/>
        </w:tabs>
      </w:pPr>
      <w:r>
        <w:t>仅在三级末端小型起降点场景可根据实际情况豁免</w:t>
      </w:r>
      <w:r>
        <w:rPr>
          <w:rFonts w:hint="eastAsia"/>
        </w:rPr>
        <w:t>。</w:t>
      </w:r>
    </w:p>
    <w:p w14:paraId="5B8855C2">
      <w:pPr>
        <w:pStyle w:val="110"/>
        <w:widowControl w:val="0"/>
        <w:spacing w:before="312" w:after="312"/>
        <w:ind w:left="0"/>
        <w:rPr>
          <w:color w:val="000000" w:themeColor="text1"/>
          <w14:textFill>
            <w14:solidFill>
              <w14:schemeClr w14:val="tx1"/>
            </w14:solidFill>
          </w14:textFill>
        </w:rPr>
      </w:pPr>
      <w:bookmarkStart w:id="256" w:name="_Toc239434198"/>
      <w:bookmarkEnd w:id="256"/>
      <w:bookmarkStart w:id="257" w:name="_Toc239434196"/>
      <w:bookmarkEnd w:id="257"/>
      <w:bookmarkStart w:id="258" w:name="_Toc234856098"/>
      <w:bookmarkEnd w:id="258"/>
      <w:bookmarkStart w:id="259" w:name="_Toc239434195"/>
      <w:bookmarkEnd w:id="259"/>
      <w:bookmarkStart w:id="260" w:name="_Toc234856522"/>
      <w:bookmarkEnd w:id="260"/>
      <w:bookmarkStart w:id="261" w:name="_Toc240381278"/>
      <w:bookmarkEnd w:id="261"/>
      <w:bookmarkStart w:id="262" w:name="_Toc234855736"/>
      <w:bookmarkEnd w:id="262"/>
      <w:bookmarkStart w:id="263" w:name="_Toc240381317"/>
      <w:bookmarkEnd w:id="263"/>
      <w:bookmarkStart w:id="264" w:name="_Toc234856523"/>
      <w:bookmarkEnd w:id="264"/>
      <w:bookmarkStart w:id="265" w:name="_Toc234856125"/>
      <w:bookmarkEnd w:id="265"/>
      <w:bookmarkStart w:id="266" w:name="_Toc240381277"/>
      <w:bookmarkEnd w:id="266"/>
      <w:bookmarkStart w:id="267" w:name="_Toc240381279"/>
      <w:bookmarkEnd w:id="267"/>
      <w:bookmarkStart w:id="268" w:name="_Toc240381318"/>
      <w:bookmarkEnd w:id="268"/>
      <w:bookmarkStart w:id="269" w:name="_Toc234855339"/>
      <w:bookmarkEnd w:id="269"/>
      <w:bookmarkStart w:id="270" w:name="_Toc234856493"/>
      <w:bookmarkEnd w:id="270"/>
      <w:bookmarkStart w:id="271" w:name="_Toc234855707"/>
      <w:bookmarkEnd w:id="271"/>
      <w:bookmarkStart w:id="272" w:name="_Toc234424832"/>
      <w:bookmarkEnd w:id="272"/>
      <w:bookmarkStart w:id="273" w:name="_Toc234856495"/>
      <w:bookmarkEnd w:id="273"/>
      <w:bookmarkStart w:id="274" w:name="_Toc239434197"/>
      <w:bookmarkEnd w:id="274"/>
      <w:bookmarkStart w:id="275" w:name="_Toc240381280"/>
      <w:bookmarkEnd w:id="275"/>
      <w:bookmarkStart w:id="276" w:name="_Toc240381316"/>
      <w:bookmarkEnd w:id="276"/>
      <w:bookmarkStart w:id="277" w:name="_Toc240381319"/>
      <w:bookmarkEnd w:id="277"/>
      <w:bookmarkStart w:id="278" w:name="_Toc234855309"/>
      <w:bookmarkEnd w:id="278"/>
      <w:bookmarkStart w:id="279" w:name="_Toc234856096"/>
      <w:bookmarkEnd w:id="279"/>
      <w:bookmarkStart w:id="280" w:name="_Toc234424803"/>
      <w:bookmarkEnd w:id="280"/>
      <w:bookmarkStart w:id="281" w:name="_Toc234855706"/>
      <w:bookmarkEnd w:id="281"/>
      <w:bookmarkStart w:id="282" w:name="_Toc234855708"/>
      <w:bookmarkEnd w:id="282"/>
      <w:bookmarkStart w:id="283" w:name="_Toc234855711"/>
      <w:bookmarkEnd w:id="283"/>
      <w:bookmarkStart w:id="284" w:name="_Toc234855311"/>
      <w:bookmarkEnd w:id="284"/>
      <w:bookmarkStart w:id="285" w:name="_Toc234856104"/>
      <w:bookmarkEnd w:id="285"/>
      <w:bookmarkStart w:id="286" w:name="_Toc234856498"/>
      <w:bookmarkEnd w:id="286"/>
      <w:bookmarkStart w:id="287" w:name="_Toc234424806"/>
      <w:bookmarkEnd w:id="287"/>
      <w:bookmarkStart w:id="288" w:name="_Toc234424802"/>
      <w:bookmarkEnd w:id="288"/>
      <w:bookmarkStart w:id="289" w:name="_Toc234856097"/>
      <w:bookmarkEnd w:id="289"/>
      <w:bookmarkStart w:id="290" w:name="_Toc234424807"/>
      <w:bookmarkEnd w:id="290"/>
      <w:bookmarkStart w:id="291" w:name="_Toc234855316"/>
      <w:bookmarkEnd w:id="291"/>
      <w:bookmarkStart w:id="292" w:name="_Toc234855318"/>
      <w:bookmarkEnd w:id="292"/>
      <w:bookmarkStart w:id="293" w:name="_Toc234424811"/>
      <w:bookmarkEnd w:id="293"/>
      <w:bookmarkStart w:id="294" w:name="_Toc234856100"/>
      <w:bookmarkEnd w:id="294"/>
      <w:bookmarkStart w:id="295" w:name="_Toc234424805"/>
      <w:bookmarkEnd w:id="295"/>
      <w:bookmarkStart w:id="296" w:name="_Toc234856499"/>
      <w:bookmarkEnd w:id="296"/>
      <w:bookmarkStart w:id="297" w:name="_Toc234855315"/>
      <w:bookmarkEnd w:id="297"/>
      <w:bookmarkStart w:id="298" w:name="_Toc234855712"/>
      <w:bookmarkEnd w:id="298"/>
      <w:bookmarkStart w:id="299" w:name="_Toc234856103"/>
      <w:bookmarkEnd w:id="299"/>
      <w:bookmarkStart w:id="300" w:name="_Toc234856102"/>
      <w:bookmarkEnd w:id="300"/>
      <w:bookmarkStart w:id="301" w:name="_Toc234424804"/>
      <w:bookmarkEnd w:id="301"/>
      <w:bookmarkStart w:id="302" w:name="_Toc234855310"/>
      <w:bookmarkEnd w:id="302"/>
      <w:bookmarkStart w:id="303" w:name="_Toc234855713"/>
      <w:bookmarkEnd w:id="303"/>
      <w:bookmarkStart w:id="304" w:name="_Toc234424808"/>
      <w:bookmarkEnd w:id="304"/>
      <w:bookmarkStart w:id="305" w:name="_Toc234855314"/>
      <w:bookmarkEnd w:id="305"/>
      <w:bookmarkStart w:id="306" w:name="_Toc234856494"/>
      <w:bookmarkEnd w:id="306"/>
      <w:bookmarkStart w:id="307" w:name="_Toc234424809"/>
      <w:bookmarkEnd w:id="307"/>
      <w:bookmarkStart w:id="308" w:name="_Toc234855714"/>
      <w:bookmarkEnd w:id="308"/>
      <w:bookmarkStart w:id="309" w:name="_Toc234855313"/>
      <w:bookmarkEnd w:id="309"/>
      <w:bookmarkStart w:id="310" w:name="_Toc234855319"/>
      <w:bookmarkEnd w:id="310"/>
      <w:bookmarkStart w:id="311" w:name="_Toc234855320"/>
      <w:bookmarkEnd w:id="311"/>
      <w:bookmarkStart w:id="312" w:name="_Toc234856505"/>
      <w:bookmarkEnd w:id="312"/>
      <w:bookmarkStart w:id="313" w:name="_Toc234856108"/>
      <w:bookmarkEnd w:id="313"/>
      <w:bookmarkStart w:id="314" w:name="_Toc234424815"/>
      <w:bookmarkEnd w:id="314"/>
      <w:bookmarkStart w:id="315" w:name="_Toc234856506"/>
      <w:bookmarkEnd w:id="315"/>
      <w:bookmarkStart w:id="316" w:name="_Toc234855710"/>
      <w:bookmarkEnd w:id="316"/>
      <w:bookmarkStart w:id="317" w:name="_Toc234855312"/>
      <w:bookmarkEnd w:id="317"/>
      <w:bookmarkStart w:id="318" w:name="_Toc234424817"/>
      <w:bookmarkEnd w:id="318"/>
      <w:bookmarkStart w:id="319" w:name="_Toc234855717"/>
      <w:bookmarkEnd w:id="319"/>
      <w:bookmarkStart w:id="320" w:name="_Toc234855720"/>
      <w:bookmarkEnd w:id="320"/>
      <w:bookmarkStart w:id="321" w:name="_Toc234424810"/>
      <w:bookmarkEnd w:id="321"/>
      <w:bookmarkStart w:id="322" w:name="_Toc234856496"/>
      <w:bookmarkEnd w:id="322"/>
      <w:bookmarkStart w:id="323" w:name="_Toc234855709"/>
      <w:bookmarkEnd w:id="323"/>
      <w:bookmarkStart w:id="324" w:name="_Toc234855716"/>
      <w:bookmarkEnd w:id="324"/>
      <w:bookmarkStart w:id="325" w:name="_Toc234856508"/>
      <w:bookmarkEnd w:id="325"/>
      <w:bookmarkStart w:id="326" w:name="_Toc234424813"/>
      <w:bookmarkEnd w:id="326"/>
      <w:bookmarkStart w:id="327" w:name="_Toc234856099"/>
      <w:bookmarkEnd w:id="327"/>
      <w:bookmarkStart w:id="328" w:name="_Toc234855317"/>
      <w:bookmarkEnd w:id="328"/>
      <w:bookmarkStart w:id="329" w:name="_Toc234856101"/>
      <w:bookmarkEnd w:id="329"/>
      <w:bookmarkStart w:id="330" w:name="_Toc234856497"/>
      <w:bookmarkEnd w:id="330"/>
      <w:bookmarkStart w:id="331" w:name="_Toc234856107"/>
      <w:bookmarkEnd w:id="331"/>
      <w:bookmarkStart w:id="332" w:name="_Toc234424816"/>
      <w:bookmarkEnd w:id="332"/>
      <w:bookmarkStart w:id="333" w:name="_Toc234856507"/>
      <w:bookmarkEnd w:id="333"/>
      <w:bookmarkStart w:id="334" w:name="_Toc234855715"/>
      <w:bookmarkEnd w:id="334"/>
      <w:bookmarkStart w:id="335" w:name="_Toc234856503"/>
      <w:bookmarkEnd w:id="335"/>
      <w:bookmarkStart w:id="336" w:name="_Toc234856106"/>
      <w:bookmarkEnd w:id="336"/>
      <w:bookmarkStart w:id="337" w:name="_Toc234856105"/>
      <w:bookmarkEnd w:id="337"/>
      <w:bookmarkStart w:id="338" w:name="_Toc234856500"/>
      <w:bookmarkEnd w:id="338"/>
      <w:bookmarkStart w:id="339" w:name="_Toc234856504"/>
      <w:bookmarkEnd w:id="339"/>
      <w:bookmarkStart w:id="340" w:name="_Toc234856501"/>
      <w:bookmarkEnd w:id="340"/>
      <w:bookmarkStart w:id="341" w:name="_Toc234855324"/>
      <w:bookmarkEnd w:id="341"/>
      <w:bookmarkStart w:id="342" w:name="_Toc234855722"/>
      <w:bookmarkEnd w:id="342"/>
      <w:bookmarkStart w:id="343" w:name="_Toc234855727"/>
      <w:bookmarkEnd w:id="343"/>
      <w:bookmarkStart w:id="344" w:name="_Toc234856113"/>
      <w:bookmarkEnd w:id="344"/>
      <w:bookmarkStart w:id="345" w:name="_Toc234856110"/>
      <w:bookmarkEnd w:id="345"/>
      <w:bookmarkStart w:id="346" w:name="_Toc234856109"/>
      <w:bookmarkEnd w:id="346"/>
      <w:bookmarkStart w:id="347" w:name="_Toc234424812"/>
      <w:bookmarkEnd w:id="347"/>
      <w:bookmarkStart w:id="348" w:name="_Toc234855330"/>
      <w:bookmarkEnd w:id="348"/>
      <w:bookmarkStart w:id="349" w:name="_Toc234856511"/>
      <w:bookmarkEnd w:id="349"/>
      <w:bookmarkStart w:id="350" w:name="_Toc234856512"/>
      <w:bookmarkEnd w:id="350"/>
      <w:bookmarkStart w:id="351" w:name="_Toc234424822"/>
      <w:bookmarkEnd w:id="351"/>
      <w:bookmarkStart w:id="352" w:name="_Toc234424819"/>
      <w:bookmarkEnd w:id="352"/>
      <w:bookmarkStart w:id="353" w:name="_Toc234856514"/>
      <w:bookmarkEnd w:id="353"/>
      <w:bookmarkStart w:id="354" w:name="_Toc234855719"/>
      <w:bookmarkEnd w:id="354"/>
      <w:bookmarkStart w:id="355" w:name="_Toc234856509"/>
      <w:bookmarkEnd w:id="355"/>
      <w:bookmarkStart w:id="356" w:name="_Toc234424818"/>
      <w:bookmarkEnd w:id="356"/>
      <w:bookmarkStart w:id="357" w:name="_Toc234856115"/>
      <w:bookmarkEnd w:id="357"/>
      <w:bookmarkStart w:id="358" w:name="_Toc234856112"/>
      <w:bookmarkEnd w:id="358"/>
      <w:bookmarkStart w:id="359" w:name="_Toc234855726"/>
      <w:bookmarkEnd w:id="359"/>
      <w:bookmarkStart w:id="360" w:name="_Toc234855328"/>
      <w:bookmarkEnd w:id="360"/>
      <w:bookmarkStart w:id="361" w:name="_Toc234856117"/>
      <w:bookmarkEnd w:id="361"/>
      <w:bookmarkStart w:id="362" w:name="_Toc234856510"/>
      <w:bookmarkEnd w:id="362"/>
      <w:bookmarkStart w:id="363" w:name="_Toc234855723"/>
      <w:bookmarkEnd w:id="363"/>
      <w:bookmarkStart w:id="364" w:name="_Toc234424823"/>
      <w:bookmarkEnd w:id="364"/>
      <w:bookmarkStart w:id="365" w:name="_Toc234855323"/>
      <w:bookmarkEnd w:id="365"/>
      <w:bookmarkStart w:id="366" w:name="_Toc234855718"/>
      <w:bookmarkEnd w:id="366"/>
      <w:bookmarkStart w:id="367" w:name="_Toc234424814"/>
      <w:bookmarkEnd w:id="367"/>
      <w:bookmarkStart w:id="368" w:name="_Toc234855321"/>
      <w:bookmarkEnd w:id="368"/>
      <w:bookmarkStart w:id="369" w:name="_Toc234855721"/>
      <w:bookmarkEnd w:id="369"/>
      <w:bookmarkStart w:id="370" w:name="_Toc234855725"/>
      <w:bookmarkEnd w:id="370"/>
      <w:bookmarkStart w:id="371" w:name="_Toc234856111"/>
      <w:bookmarkEnd w:id="371"/>
      <w:bookmarkStart w:id="372" w:name="_Toc234855322"/>
      <w:bookmarkEnd w:id="372"/>
      <w:bookmarkStart w:id="373" w:name="_Toc234856502"/>
      <w:bookmarkEnd w:id="373"/>
      <w:bookmarkStart w:id="374" w:name="_Toc234856521"/>
      <w:bookmarkEnd w:id="374"/>
      <w:bookmarkStart w:id="375" w:name="_Toc234424831"/>
      <w:bookmarkEnd w:id="375"/>
      <w:bookmarkStart w:id="376" w:name="_Toc234856116"/>
      <w:bookmarkEnd w:id="376"/>
      <w:bookmarkStart w:id="377" w:name="_Toc234856516"/>
      <w:bookmarkEnd w:id="377"/>
      <w:bookmarkStart w:id="378" w:name="_Toc234856114"/>
      <w:bookmarkEnd w:id="378"/>
      <w:bookmarkStart w:id="379" w:name="_Toc234855327"/>
      <w:bookmarkEnd w:id="379"/>
      <w:bookmarkStart w:id="380" w:name="_Toc234424820"/>
      <w:bookmarkEnd w:id="380"/>
      <w:bookmarkStart w:id="381" w:name="_Toc234855329"/>
      <w:bookmarkEnd w:id="381"/>
      <w:bookmarkStart w:id="382" w:name="_Toc234424830"/>
      <w:bookmarkEnd w:id="382"/>
      <w:bookmarkStart w:id="383" w:name="_Toc234855732"/>
      <w:bookmarkEnd w:id="383"/>
      <w:bookmarkStart w:id="384" w:name="_Toc234856118"/>
      <w:bookmarkEnd w:id="384"/>
      <w:bookmarkStart w:id="385" w:name="_Toc234855724"/>
      <w:bookmarkEnd w:id="385"/>
      <w:bookmarkStart w:id="386" w:name="_Toc234424821"/>
      <w:bookmarkEnd w:id="386"/>
      <w:bookmarkStart w:id="387" w:name="_Toc234855331"/>
      <w:bookmarkEnd w:id="387"/>
      <w:bookmarkStart w:id="388" w:name="_Toc234424827"/>
      <w:bookmarkEnd w:id="388"/>
      <w:bookmarkStart w:id="389" w:name="_Toc234424828"/>
      <w:bookmarkEnd w:id="389"/>
      <w:bookmarkStart w:id="390" w:name="_Toc234424826"/>
      <w:bookmarkEnd w:id="390"/>
      <w:bookmarkStart w:id="391" w:name="_Toc234855731"/>
      <w:bookmarkEnd w:id="391"/>
      <w:bookmarkStart w:id="392" w:name="_Toc234856122"/>
      <w:bookmarkEnd w:id="392"/>
      <w:bookmarkStart w:id="393" w:name="_Toc234856120"/>
      <w:bookmarkEnd w:id="393"/>
      <w:bookmarkStart w:id="394" w:name="_Toc234856520"/>
      <w:bookmarkEnd w:id="394"/>
      <w:bookmarkStart w:id="395" w:name="_Toc234856119"/>
      <w:bookmarkEnd w:id="395"/>
      <w:bookmarkStart w:id="396" w:name="_Toc234855325"/>
      <w:bookmarkEnd w:id="396"/>
      <w:bookmarkStart w:id="397" w:name="_Toc234856121"/>
      <w:bookmarkEnd w:id="397"/>
      <w:bookmarkStart w:id="398" w:name="_Toc234856517"/>
      <w:bookmarkEnd w:id="398"/>
      <w:bookmarkStart w:id="399" w:name="_Toc234855730"/>
      <w:bookmarkEnd w:id="399"/>
      <w:bookmarkStart w:id="400" w:name="_Toc234855326"/>
      <w:bookmarkEnd w:id="400"/>
      <w:bookmarkStart w:id="401" w:name="_Toc234424824"/>
      <w:bookmarkEnd w:id="401"/>
      <w:bookmarkStart w:id="402" w:name="_Toc234855337"/>
      <w:bookmarkEnd w:id="402"/>
      <w:bookmarkStart w:id="403" w:name="_Toc234856515"/>
      <w:bookmarkEnd w:id="403"/>
      <w:bookmarkStart w:id="404" w:name="_Toc234856513"/>
      <w:bookmarkEnd w:id="404"/>
      <w:bookmarkStart w:id="405" w:name="_Toc234855729"/>
      <w:bookmarkEnd w:id="405"/>
      <w:bookmarkStart w:id="406" w:name="_Toc234856529"/>
      <w:bookmarkEnd w:id="406"/>
      <w:bookmarkStart w:id="407" w:name="_Toc234424829"/>
      <w:bookmarkEnd w:id="407"/>
      <w:bookmarkStart w:id="408" w:name="_Toc234856519"/>
      <w:bookmarkEnd w:id="408"/>
      <w:bookmarkStart w:id="409" w:name="_Toc234855335"/>
      <w:bookmarkEnd w:id="409"/>
      <w:bookmarkStart w:id="410" w:name="_Toc234856123"/>
      <w:bookmarkEnd w:id="410"/>
      <w:bookmarkStart w:id="411" w:name="_Toc234424833"/>
      <w:bookmarkEnd w:id="411"/>
      <w:bookmarkStart w:id="412" w:name="_Toc234856524"/>
      <w:bookmarkEnd w:id="412"/>
      <w:bookmarkStart w:id="413" w:name="_Toc234855346"/>
      <w:bookmarkEnd w:id="413"/>
      <w:bookmarkStart w:id="414" w:name="_Toc234424836"/>
      <w:bookmarkEnd w:id="414"/>
      <w:bookmarkStart w:id="415" w:name="_Toc234855737"/>
      <w:bookmarkEnd w:id="415"/>
      <w:bookmarkStart w:id="416" w:name="_Toc234855728"/>
      <w:bookmarkEnd w:id="416"/>
      <w:bookmarkStart w:id="417" w:name="_Toc234855343"/>
      <w:bookmarkEnd w:id="417"/>
      <w:bookmarkStart w:id="418" w:name="_Toc234424838"/>
      <w:bookmarkEnd w:id="418"/>
      <w:bookmarkStart w:id="419" w:name="_Toc234424839"/>
      <w:bookmarkEnd w:id="419"/>
      <w:bookmarkStart w:id="420" w:name="_Toc234855739"/>
      <w:bookmarkEnd w:id="420"/>
      <w:bookmarkStart w:id="421" w:name="_Toc234856133"/>
      <w:bookmarkEnd w:id="421"/>
      <w:bookmarkStart w:id="422" w:name="_Toc234856518"/>
      <w:bookmarkEnd w:id="422"/>
      <w:bookmarkStart w:id="423" w:name="_Toc234855734"/>
      <w:bookmarkEnd w:id="423"/>
      <w:bookmarkStart w:id="424" w:name="_Toc234855338"/>
      <w:bookmarkEnd w:id="424"/>
      <w:bookmarkStart w:id="425" w:name="_Toc234855735"/>
      <w:bookmarkEnd w:id="425"/>
      <w:bookmarkStart w:id="426" w:name="_Toc234856530"/>
      <w:bookmarkEnd w:id="426"/>
      <w:bookmarkStart w:id="427" w:name="_Toc234856126"/>
      <w:bookmarkEnd w:id="427"/>
      <w:bookmarkStart w:id="428" w:name="_Toc234855743"/>
      <w:bookmarkEnd w:id="428"/>
      <w:bookmarkStart w:id="429" w:name="_Toc234856124"/>
      <w:bookmarkEnd w:id="429"/>
      <w:bookmarkStart w:id="430" w:name="_Toc234424825"/>
      <w:bookmarkEnd w:id="430"/>
      <w:bookmarkStart w:id="431" w:name="_Toc234855333"/>
      <w:bookmarkEnd w:id="431"/>
      <w:bookmarkStart w:id="432" w:name="_Toc234855733"/>
      <w:bookmarkEnd w:id="432"/>
      <w:bookmarkStart w:id="433" w:name="_Toc234855332"/>
      <w:bookmarkEnd w:id="433"/>
      <w:bookmarkStart w:id="434" w:name="_Toc234856127"/>
      <w:bookmarkEnd w:id="434"/>
      <w:bookmarkStart w:id="435" w:name="_Toc234855341"/>
      <w:bookmarkEnd w:id="435"/>
      <w:bookmarkStart w:id="436" w:name="_Toc234855334"/>
      <w:bookmarkEnd w:id="436"/>
      <w:bookmarkStart w:id="437" w:name="_Toc234855336"/>
      <w:bookmarkEnd w:id="437"/>
      <w:bookmarkStart w:id="438" w:name="_Toc234855738"/>
      <w:bookmarkEnd w:id="438"/>
      <w:bookmarkStart w:id="439" w:name="_Toc234855344"/>
      <w:bookmarkEnd w:id="439"/>
      <w:bookmarkStart w:id="440" w:name="_Toc234856129"/>
      <w:bookmarkEnd w:id="440"/>
      <w:bookmarkStart w:id="441" w:name="_Toc234855747"/>
      <w:bookmarkEnd w:id="441"/>
      <w:bookmarkStart w:id="442" w:name="_Toc234424846"/>
      <w:bookmarkEnd w:id="442"/>
      <w:bookmarkStart w:id="443" w:name="_Toc234856128"/>
      <w:bookmarkEnd w:id="443"/>
      <w:bookmarkStart w:id="444" w:name="_Toc234856527"/>
      <w:bookmarkEnd w:id="444"/>
      <w:bookmarkStart w:id="445" w:name="_Toc234855740"/>
      <w:bookmarkEnd w:id="445"/>
      <w:bookmarkStart w:id="446" w:name="_Toc234424835"/>
      <w:bookmarkEnd w:id="446"/>
      <w:bookmarkStart w:id="447" w:name="_Toc234855342"/>
      <w:bookmarkEnd w:id="447"/>
      <w:bookmarkStart w:id="448" w:name="_Toc234856526"/>
      <w:bookmarkEnd w:id="448"/>
      <w:bookmarkStart w:id="449" w:name="_Toc234855742"/>
      <w:bookmarkEnd w:id="449"/>
      <w:bookmarkStart w:id="450" w:name="_Toc234855744"/>
      <w:bookmarkEnd w:id="450"/>
      <w:bookmarkStart w:id="451" w:name="_Toc234856131"/>
      <w:bookmarkEnd w:id="451"/>
      <w:bookmarkStart w:id="452" w:name="_Toc234855340"/>
      <w:bookmarkEnd w:id="452"/>
      <w:bookmarkStart w:id="453" w:name="_Toc234855749"/>
      <w:bookmarkEnd w:id="453"/>
      <w:bookmarkStart w:id="454" w:name="_Toc234855353"/>
      <w:bookmarkEnd w:id="454"/>
      <w:bookmarkStart w:id="455" w:name="_Toc234855745"/>
      <w:bookmarkEnd w:id="455"/>
      <w:bookmarkStart w:id="456" w:name="_Toc234856532"/>
      <w:bookmarkEnd w:id="456"/>
      <w:bookmarkStart w:id="457" w:name="_Toc234424834"/>
      <w:bookmarkEnd w:id="457"/>
      <w:bookmarkStart w:id="458" w:name="_Toc234856537"/>
      <w:bookmarkEnd w:id="458"/>
      <w:bookmarkStart w:id="459" w:name="_Toc234424837"/>
      <w:bookmarkEnd w:id="459"/>
      <w:bookmarkStart w:id="460" w:name="_Toc234855350"/>
      <w:bookmarkEnd w:id="460"/>
      <w:bookmarkStart w:id="461" w:name="_Toc234856132"/>
      <w:bookmarkEnd w:id="461"/>
      <w:bookmarkStart w:id="462" w:name="_Toc234856535"/>
      <w:bookmarkEnd w:id="462"/>
      <w:bookmarkStart w:id="463" w:name="_Toc234855345"/>
      <w:bookmarkEnd w:id="463"/>
      <w:bookmarkStart w:id="464" w:name="_Toc234856137"/>
      <w:bookmarkEnd w:id="464"/>
      <w:bookmarkStart w:id="465" w:name="_Toc234855741"/>
      <w:bookmarkEnd w:id="465"/>
      <w:bookmarkStart w:id="466" w:name="_Toc234856525"/>
      <w:bookmarkEnd w:id="466"/>
      <w:bookmarkStart w:id="467" w:name="_Toc234855748"/>
      <w:bookmarkEnd w:id="467"/>
      <w:bookmarkStart w:id="468" w:name="_Toc234856130"/>
      <w:bookmarkEnd w:id="468"/>
      <w:bookmarkStart w:id="469" w:name="_Toc234856528"/>
      <w:bookmarkEnd w:id="469"/>
      <w:bookmarkStart w:id="470" w:name="_Toc234424844"/>
      <w:bookmarkEnd w:id="470"/>
      <w:bookmarkStart w:id="471" w:name="_Toc234856142"/>
      <w:bookmarkEnd w:id="471"/>
      <w:bookmarkStart w:id="472" w:name="_Toc234856533"/>
      <w:bookmarkEnd w:id="472"/>
      <w:bookmarkStart w:id="473" w:name="_Toc234424841"/>
      <w:bookmarkEnd w:id="473"/>
      <w:bookmarkStart w:id="474" w:name="_Toc234856534"/>
      <w:bookmarkEnd w:id="474"/>
      <w:bookmarkStart w:id="475" w:name="_Toc234855352"/>
      <w:bookmarkEnd w:id="475"/>
      <w:bookmarkStart w:id="476" w:name="_Toc234856136"/>
      <w:bookmarkEnd w:id="476"/>
      <w:bookmarkStart w:id="477" w:name="_Toc234856138"/>
      <w:bookmarkEnd w:id="477"/>
      <w:bookmarkStart w:id="478" w:name="_Toc234424845"/>
      <w:bookmarkEnd w:id="478"/>
      <w:bookmarkStart w:id="479" w:name="_Toc234424848"/>
      <w:bookmarkEnd w:id="479"/>
      <w:bookmarkStart w:id="480" w:name="_Toc234856543"/>
      <w:bookmarkEnd w:id="480"/>
      <w:bookmarkStart w:id="481" w:name="_Toc234424840"/>
      <w:bookmarkEnd w:id="481"/>
      <w:bookmarkStart w:id="482" w:name="_Toc234856541"/>
      <w:bookmarkEnd w:id="482"/>
      <w:bookmarkStart w:id="483" w:name="_Toc234855754"/>
      <w:bookmarkEnd w:id="483"/>
      <w:bookmarkStart w:id="484" w:name="_Toc234856135"/>
      <w:bookmarkEnd w:id="484"/>
      <w:bookmarkStart w:id="485" w:name="_Toc234855355"/>
      <w:bookmarkEnd w:id="485"/>
      <w:bookmarkStart w:id="486" w:name="_Toc234856139"/>
      <w:bookmarkEnd w:id="486"/>
      <w:bookmarkStart w:id="487" w:name="_Toc234856539"/>
      <w:bookmarkEnd w:id="487"/>
      <w:bookmarkStart w:id="488" w:name="_Toc234855354"/>
      <w:bookmarkEnd w:id="488"/>
      <w:bookmarkStart w:id="489" w:name="_Toc234855755"/>
      <w:bookmarkEnd w:id="489"/>
      <w:bookmarkStart w:id="490" w:name="_Toc234424842"/>
      <w:bookmarkEnd w:id="490"/>
      <w:bookmarkStart w:id="491" w:name="_Toc234855351"/>
      <w:bookmarkEnd w:id="491"/>
      <w:bookmarkStart w:id="492" w:name="_Toc234424843"/>
      <w:bookmarkEnd w:id="492"/>
      <w:bookmarkStart w:id="493" w:name="_Toc234856536"/>
      <w:bookmarkEnd w:id="493"/>
      <w:bookmarkStart w:id="494" w:name="_Toc234856531"/>
      <w:bookmarkEnd w:id="494"/>
      <w:bookmarkStart w:id="495" w:name="_Toc234855746"/>
      <w:bookmarkEnd w:id="495"/>
      <w:bookmarkStart w:id="496" w:name="_Toc234855347"/>
      <w:bookmarkEnd w:id="496"/>
      <w:bookmarkStart w:id="497" w:name="_Toc234855348"/>
      <w:bookmarkEnd w:id="497"/>
      <w:bookmarkStart w:id="498" w:name="_Toc234855753"/>
      <w:bookmarkEnd w:id="498"/>
      <w:bookmarkStart w:id="499" w:name="_Toc234856134"/>
      <w:bookmarkEnd w:id="499"/>
      <w:bookmarkStart w:id="500" w:name="_Toc234855349"/>
      <w:bookmarkEnd w:id="500"/>
      <w:bookmarkStart w:id="501" w:name="_Toc234424852"/>
      <w:bookmarkEnd w:id="501"/>
      <w:bookmarkStart w:id="502" w:name="_Toc234856143"/>
      <w:bookmarkEnd w:id="502"/>
      <w:bookmarkStart w:id="503" w:name="_Toc234424851"/>
      <w:bookmarkEnd w:id="503"/>
      <w:bookmarkStart w:id="504" w:name="_Toc234424849"/>
      <w:bookmarkEnd w:id="504"/>
      <w:bookmarkStart w:id="505" w:name="_Toc234855750"/>
      <w:bookmarkEnd w:id="505"/>
      <w:bookmarkStart w:id="506" w:name="_Toc234855358"/>
      <w:bookmarkEnd w:id="506"/>
      <w:bookmarkStart w:id="507" w:name="_Toc234855756"/>
      <w:bookmarkEnd w:id="507"/>
      <w:bookmarkStart w:id="508" w:name="_Toc234856148"/>
      <w:bookmarkEnd w:id="508"/>
      <w:bookmarkStart w:id="509" w:name="_Toc234855758"/>
      <w:bookmarkEnd w:id="509"/>
      <w:bookmarkStart w:id="510" w:name="_Toc234856149"/>
      <w:bookmarkEnd w:id="510"/>
      <w:bookmarkStart w:id="511" w:name="_Toc234424850"/>
      <w:bookmarkEnd w:id="511"/>
      <w:bookmarkStart w:id="512" w:name="_Toc234856546"/>
      <w:bookmarkEnd w:id="512"/>
      <w:bookmarkStart w:id="513" w:name="_Toc234855357"/>
      <w:bookmarkEnd w:id="513"/>
      <w:bookmarkStart w:id="514" w:name="_Toc234424847"/>
      <w:bookmarkEnd w:id="514"/>
      <w:bookmarkStart w:id="515" w:name="_Toc234855359"/>
      <w:bookmarkEnd w:id="515"/>
      <w:bookmarkStart w:id="516" w:name="_Toc234855751"/>
      <w:bookmarkEnd w:id="516"/>
      <w:bookmarkStart w:id="517" w:name="_Toc234856542"/>
      <w:bookmarkEnd w:id="517"/>
      <w:bookmarkStart w:id="518" w:name="_Toc234856540"/>
      <w:bookmarkEnd w:id="518"/>
      <w:bookmarkStart w:id="519" w:name="_Toc234856547"/>
      <w:bookmarkEnd w:id="519"/>
      <w:bookmarkStart w:id="520" w:name="_Toc234856147"/>
      <w:bookmarkEnd w:id="520"/>
      <w:bookmarkStart w:id="521" w:name="_Toc234424856"/>
      <w:bookmarkEnd w:id="521"/>
      <w:bookmarkStart w:id="522" w:name="_Toc234856544"/>
      <w:bookmarkEnd w:id="522"/>
      <w:bookmarkStart w:id="523" w:name="_Toc234855360"/>
      <w:bookmarkEnd w:id="523"/>
      <w:bookmarkStart w:id="524" w:name="_Toc234856144"/>
      <w:bookmarkEnd w:id="524"/>
      <w:bookmarkStart w:id="525" w:name="_Toc234856140"/>
      <w:bookmarkEnd w:id="525"/>
      <w:bookmarkStart w:id="526" w:name="_Toc234856145"/>
      <w:bookmarkEnd w:id="526"/>
      <w:bookmarkStart w:id="527" w:name="_Toc234856141"/>
      <w:bookmarkEnd w:id="527"/>
      <w:bookmarkStart w:id="528" w:name="_Toc234856146"/>
      <w:bookmarkEnd w:id="528"/>
      <w:bookmarkStart w:id="529" w:name="_Toc234855759"/>
      <w:bookmarkEnd w:id="529"/>
      <w:bookmarkStart w:id="530" w:name="_Toc234855361"/>
      <w:bookmarkEnd w:id="530"/>
      <w:bookmarkStart w:id="531" w:name="_Toc234855752"/>
      <w:bookmarkEnd w:id="531"/>
      <w:bookmarkStart w:id="532" w:name="_Toc234856538"/>
      <w:bookmarkEnd w:id="532"/>
      <w:bookmarkStart w:id="533" w:name="_Toc234855356"/>
      <w:bookmarkEnd w:id="533"/>
      <w:bookmarkStart w:id="534" w:name="_Toc234856151"/>
      <w:bookmarkEnd w:id="534"/>
      <w:bookmarkStart w:id="535" w:name="_Toc234855365"/>
      <w:bookmarkEnd w:id="535"/>
      <w:bookmarkStart w:id="536" w:name="_Toc234424857"/>
      <w:bookmarkEnd w:id="536"/>
      <w:bookmarkStart w:id="537" w:name="_Toc234424854"/>
      <w:bookmarkEnd w:id="537"/>
      <w:bookmarkStart w:id="538" w:name="_Toc234856548"/>
      <w:bookmarkEnd w:id="538"/>
      <w:bookmarkStart w:id="539" w:name="_Toc234856545"/>
      <w:bookmarkEnd w:id="539"/>
      <w:bookmarkStart w:id="540" w:name="_Toc234424853"/>
      <w:bookmarkEnd w:id="540"/>
      <w:bookmarkStart w:id="541" w:name="_Toc234855363"/>
      <w:bookmarkEnd w:id="541"/>
      <w:bookmarkStart w:id="542" w:name="_Toc234424859"/>
      <w:bookmarkEnd w:id="542"/>
      <w:bookmarkStart w:id="543" w:name="_Toc234856157"/>
      <w:bookmarkEnd w:id="543"/>
      <w:bookmarkStart w:id="544" w:name="_Toc234855362"/>
      <w:bookmarkEnd w:id="544"/>
      <w:bookmarkStart w:id="545" w:name="_Toc234424855"/>
      <w:bookmarkEnd w:id="545"/>
      <w:bookmarkStart w:id="546" w:name="_Toc234855769"/>
      <w:bookmarkEnd w:id="546"/>
      <w:bookmarkStart w:id="547" w:name="_Toc234424864"/>
      <w:bookmarkEnd w:id="547"/>
      <w:bookmarkStart w:id="548" w:name="_Toc234856150"/>
      <w:bookmarkEnd w:id="548"/>
      <w:bookmarkStart w:id="549" w:name="_Toc234856553"/>
      <w:bookmarkEnd w:id="549"/>
      <w:bookmarkStart w:id="550" w:name="_Toc234856152"/>
      <w:bookmarkEnd w:id="550"/>
      <w:bookmarkStart w:id="551" w:name="_Toc234424860"/>
      <w:bookmarkEnd w:id="551"/>
      <w:bookmarkStart w:id="552" w:name="_Toc234855366"/>
      <w:bookmarkEnd w:id="552"/>
      <w:bookmarkStart w:id="553" w:name="_Toc234855757"/>
      <w:bookmarkEnd w:id="553"/>
      <w:bookmarkStart w:id="554" w:name="_Toc234855760"/>
      <w:bookmarkEnd w:id="554"/>
      <w:bookmarkStart w:id="555" w:name="_Toc234855364"/>
      <w:bookmarkEnd w:id="555"/>
      <w:bookmarkStart w:id="556" w:name="_Toc234855762"/>
      <w:bookmarkEnd w:id="556"/>
      <w:bookmarkStart w:id="557" w:name="_Toc234856153"/>
      <w:bookmarkEnd w:id="557"/>
      <w:bookmarkStart w:id="558" w:name="_Toc234856154"/>
      <w:bookmarkEnd w:id="558"/>
      <w:bookmarkStart w:id="559" w:name="_Toc234856159"/>
      <w:bookmarkEnd w:id="559"/>
      <w:bookmarkStart w:id="560" w:name="_Toc234855761"/>
      <w:bookmarkEnd w:id="560"/>
      <w:bookmarkStart w:id="561" w:name="_Toc234856552"/>
      <w:bookmarkEnd w:id="561"/>
      <w:bookmarkStart w:id="562" w:name="_Toc234856549"/>
      <w:bookmarkEnd w:id="562"/>
      <w:bookmarkStart w:id="563" w:name="_Toc234424861"/>
      <w:bookmarkEnd w:id="563"/>
      <w:bookmarkStart w:id="564" w:name="_Toc234424858"/>
      <w:bookmarkEnd w:id="564"/>
      <w:bookmarkStart w:id="565" w:name="_Toc234856556"/>
      <w:bookmarkEnd w:id="565"/>
      <w:bookmarkStart w:id="566" w:name="_Toc234856555"/>
      <w:bookmarkEnd w:id="566"/>
      <w:bookmarkStart w:id="567" w:name="_Toc234855369"/>
      <w:bookmarkEnd w:id="567"/>
      <w:bookmarkStart w:id="568" w:name="_Toc234856558"/>
      <w:bookmarkEnd w:id="568"/>
      <w:bookmarkStart w:id="569" w:name="_Toc234855373"/>
      <w:bookmarkEnd w:id="569"/>
      <w:bookmarkStart w:id="570" w:name="_Toc234424862"/>
      <w:bookmarkEnd w:id="570"/>
      <w:bookmarkStart w:id="571" w:name="_Toc234855764"/>
      <w:bookmarkEnd w:id="571"/>
      <w:bookmarkStart w:id="572" w:name="_Toc234856163"/>
      <w:bookmarkEnd w:id="572"/>
      <w:bookmarkStart w:id="573" w:name="_Toc234424870"/>
      <w:bookmarkEnd w:id="573"/>
      <w:bookmarkStart w:id="574" w:name="_Toc234855770"/>
      <w:bookmarkEnd w:id="574"/>
      <w:bookmarkStart w:id="575" w:name="_Toc234855375"/>
      <w:bookmarkEnd w:id="575"/>
      <w:bookmarkStart w:id="576" w:name="_Toc234855372"/>
      <w:bookmarkEnd w:id="576"/>
      <w:bookmarkStart w:id="577" w:name="_Toc234856155"/>
      <w:bookmarkEnd w:id="577"/>
      <w:bookmarkStart w:id="578" w:name="_Toc234855768"/>
      <w:bookmarkEnd w:id="578"/>
      <w:bookmarkStart w:id="579" w:name="_Toc234855378"/>
      <w:bookmarkEnd w:id="579"/>
      <w:bookmarkStart w:id="580" w:name="_Toc234856551"/>
      <w:bookmarkEnd w:id="580"/>
      <w:bookmarkStart w:id="581" w:name="_Toc234856166"/>
      <w:bookmarkEnd w:id="581"/>
      <w:bookmarkStart w:id="582" w:name="_Toc234856158"/>
      <w:bookmarkEnd w:id="582"/>
      <w:bookmarkStart w:id="583" w:name="_Toc234855772"/>
      <w:bookmarkEnd w:id="583"/>
      <w:bookmarkStart w:id="584" w:name="_Toc234856160"/>
      <w:bookmarkEnd w:id="584"/>
      <w:bookmarkStart w:id="585" w:name="_Toc234856165"/>
      <w:bookmarkEnd w:id="585"/>
      <w:bookmarkStart w:id="586" w:name="_Toc234856550"/>
      <w:bookmarkEnd w:id="586"/>
      <w:bookmarkStart w:id="587" w:name="_Toc234855766"/>
      <w:bookmarkEnd w:id="587"/>
      <w:bookmarkStart w:id="588" w:name="_Toc234855763"/>
      <w:bookmarkEnd w:id="588"/>
      <w:bookmarkStart w:id="589" w:name="_Toc234855370"/>
      <w:bookmarkEnd w:id="589"/>
      <w:bookmarkStart w:id="590" w:name="_Toc234855367"/>
      <w:bookmarkEnd w:id="590"/>
      <w:bookmarkStart w:id="591" w:name="_Toc234855765"/>
      <w:bookmarkEnd w:id="591"/>
      <w:bookmarkStart w:id="592" w:name="_Toc234856156"/>
      <w:bookmarkEnd w:id="592"/>
      <w:bookmarkStart w:id="593" w:name="_Toc234855371"/>
      <w:bookmarkEnd w:id="593"/>
      <w:bookmarkStart w:id="594" w:name="_Toc234855767"/>
      <w:bookmarkEnd w:id="594"/>
      <w:bookmarkStart w:id="595" w:name="_Toc234856554"/>
      <w:bookmarkEnd w:id="595"/>
      <w:bookmarkStart w:id="596" w:name="_Toc234855368"/>
      <w:bookmarkEnd w:id="596"/>
      <w:bookmarkStart w:id="597" w:name="_Toc234424863"/>
      <w:bookmarkEnd w:id="597"/>
      <w:bookmarkStart w:id="598" w:name="_Toc234856162"/>
      <w:bookmarkEnd w:id="598"/>
      <w:bookmarkStart w:id="599" w:name="_Toc234424875"/>
      <w:bookmarkEnd w:id="599"/>
      <w:bookmarkStart w:id="600" w:name="_Toc234855773"/>
      <w:bookmarkEnd w:id="600"/>
      <w:bookmarkStart w:id="601" w:name="_Toc234856560"/>
      <w:bookmarkEnd w:id="601"/>
      <w:bookmarkStart w:id="602" w:name="_Toc234855380"/>
      <w:bookmarkEnd w:id="602"/>
      <w:bookmarkStart w:id="603" w:name="_Toc234856562"/>
      <w:bookmarkEnd w:id="603"/>
      <w:bookmarkStart w:id="604" w:name="_Toc234424871"/>
      <w:bookmarkEnd w:id="604"/>
      <w:bookmarkStart w:id="605" w:name="_Toc234424868"/>
      <w:bookmarkEnd w:id="605"/>
      <w:bookmarkStart w:id="606" w:name="_Toc234856564"/>
      <w:bookmarkEnd w:id="606"/>
      <w:bookmarkStart w:id="607" w:name="_Toc234855778"/>
      <w:bookmarkEnd w:id="607"/>
      <w:bookmarkStart w:id="608" w:name="_Toc234856557"/>
      <w:bookmarkEnd w:id="608"/>
      <w:bookmarkStart w:id="609" w:name="_Toc234855377"/>
      <w:bookmarkEnd w:id="609"/>
      <w:bookmarkStart w:id="610" w:name="_Toc234424872"/>
      <w:bookmarkEnd w:id="610"/>
      <w:bookmarkStart w:id="611" w:name="_Toc234855777"/>
      <w:bookmarkEnd w:id="611"/>
      <w:bookmarkStart w:id="612" w:name="_Toc234855774"/>
      <w:bookmarkEnd w:id="612"/>
      <w:bookmarkStart w:id="613" w:name="_Toc234856168"/>
      <w:bookmarkEnd w:id="613"/>
      <w:bookmarkStart w:id="614" w:name="_Toc234855381"/>
      <w:bookmarkEnd w:id="614"/>
      <w:bookmarkStart w:id="615" w:name="_Toc234855771"/>
      <w:bookmarkEnd w:id="615"/>
      <w:bookmarkStart w:id="616" w:name="_Toc234424873"/>
      <w:bookmarkEnd w:id="616"/>
      <w:bookmarkStart w:id="617" w:name="_Toc234856169"/>
      <w:bookmarkEnd w:id="617"/>
      <w:bookmarkStart w:id="618" w:name="_Toc234856161"/>
      <w:bookmarkEnd w:id="618"/>
      <w:bookmarkStart w:id="619" w:name="_Toc234856565"/>
      <w:bookmarkEnd w:id="619"/>
      <w:bookmarkStart w:id="620" w:name="_Toc234424866"/>
      <w:bookmarkEnd w:id="620"/>
      <w:bookmarkStart w:id="621" w:name="_Toc234856561"/>
      <w:bookmarkEnd w:id="621"/>
      <w:bookmarkStart w:id="622" w:name="_Toc234856164"/>
      <w:bookmarkEnd w:id="622"/>
      <w:bookmarkStart w:id="623" w:name="_Toc234424867"/>
      <w:bookmarkEnd w:id="623"/>
      <w:bookmarkStart w:id="624" w:name="_Toc234424869"/>
      <w:bookmarkEnd w:id="624"/>
      <w:bookmarkStart w:id="625" w:name="_Toc234855374"/>
      <w:bookmarkEnd w:id="625"/>
      <w:bookmarkStart w:id="626" w:name="_Toc234855775"/>
      <w:bookmarkEnd w:id="626"/>
      <w:bookmarkStart w:id="627" w:name="_Toc234855376"/>
      <w:bookmarkEnd w:id="627"/>
      <w:bookmarkStart w:id="628" w:name="_Toc234856559"/>
      <w:bookmarkEnd w:id="628"/>
      <w:bookmarkStart w:id="629" w:name="_Toc234424865"/>
      <w:bookmarkEnd w:id="629"/>
      <w:bookmarkStart w:id="630" w:name="_Toc234855382"/>
      <w:bookmarkEnd w:id="630"/>
      <w:bookmarkStart w:id="631" w:name="_Toc234856566"/>
      <w:bookmarkEnd w:id="631"/>
      <w:bookmarkStart w:id="632" w:name="_Toc234855379"/>
      <w:bookmarkEnd w:id="632"/>
      <w:bookmarkStart w:id="633" w:name="_Toc234424874"/>
      <w:bookmarkEnd w:id="633"/>
      <w:bookmarkStart w:id="634" w:name="_Toc234855776"/>
      <w:bookmarkEnd w:id="634"/>
      <w:bookmarkStart w:id="635" w:name="_Toc234855779"/>
      <w:bookmarkEnd w:id="635"/>
      <w:bookmarkStart w:id="636" w:name="_Toc234856563"/>
      <w:bookmarkEnd w:id="636"/>
      <w:bookmarkStart w:id="637" w:name="_Toc234856167"/>
      <w:bookmarkEnd w:id="637"/>
      <w:bookmarkStart w:id="638" w:name="_Toc240387895"/>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建设要求</w:t>
      </w:r>
      <w:bookmarkEnd w:id="638"/>
    </w:p>
    <w:p w14:paraId="3F03D458">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一般要求</w:t>
      </w:r>
    </w:p>
    <w:p w14:paraId="5CF7DA12">
      <w:pPr>
        <w:pStyle w:val="62"/>
        <w:widowControl w:val="0"/>
        <w:ind w:firstLine="420"/>
      </w:pPr>
      <w:r>
        <w:rPr>
          <w:rFonts w:hint="eastAsia"/>
        </w:rPr>
        <w:t>起降场/起降点建设以起降单元为核心。</w:t>
      </w:r>
      <w:r>
        <w:rPr>
          <w:rFonts w:hint="eastAsia"/>
          <w:color w:val="000000" w:themeColor="text1"/>
          <w14:textFill>
            <w14:solidFill>
              <w14:schemeClr w14:val="tx1"/>
            </w14:solidFill>
          </w14:textFill>
        </w:rPr>
        <w:t>在起降单元的基础上，应按需配置专用设施设备、建设配套功能区。</w:t>
      </w:r>
    </w:p>
    <w:p w14:paraId="5B8855C3">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起降单元设计</w:t>
      </w:r>
    </w:p>
    <w:p w14:paraId="3FA7ADD7">
      <w:pPr>
        <w:pStyle w:val="71"/>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组成部分</w:t>
      </w:r>
    </w:p>
    <w:p w14:paraId="171A37BD">
      <w:pPr>
        <w:pStyle w:val="62"/>
        <w:widowControl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起降单元由TLOF、SA、OLS及相应的标志标识组成。根据需要，还可设置下洗流和外洗流保护区域，使保护区域边界处的下洗流和外洗流强度满足人机安全及舒适性的要求。</w:t>
      </w:r>
    </w:p>
    <w:p w14:paraId="5BDF7A6A">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TLOF</w:t>
      </w:r>
    </w:p>
    <w:p w14:paraId="27682D38">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8.2.2.1</w:t>
      </w:r>
      <w:r>
        <w:rPr>
          <w:rFonts w:hint="eastAsia" w:ascii="黑体" w:hAnsi="黑体" w:eastAsia="黑体"/>
          <w:color w:val="000000" w:themeColor="text1"/>
          <w14:textFill>
            <w14:solidFill>
              <w14:schemeClr w14:val="tx1"/>
            </w14:solidFill>
          </w14:textFill>
        </w:rPr>
        <w:tab/>
      </w:r>
      <w:r>
        <w:rPr>
          <w:rFonts w:hint="eastAsia"/>
        </w:rPr>
        <w:t>每个</w:t>
      </w:r>
      <w:r>
        <w:t>起降</w:t>
      </w:r>
      <w:r>
        <w:rPr>
          <w:rFonts w:hint="eastAsia"/>
        </w:rPr>
        <w:t>单元</w:t>
      </w:r>
      <w:r>
        <w:t>设置一个</w:t>
      </w:r>
      <w:r>
        <w:rPr>
          <w:rFonts w:hint="eastAsia"/>
        </w:rPr>
        <w:t>TLOF</w:t>
      </w:r>
      <w:r>
        <w:t>。</w:t>
      </w:r>
    </w:p>
    <w:p w14:paraId="0C30C651">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8.2.2.2</w:t>
      </w:r>
      <w:r>
        <w:rPr>
          <w:rFonts w:hint="eastAsia" w:ascii="黑体" w:hAnsi="黑体" w:eastAsia="黑体"/>
          <w:color w:val="000000" w:themeColor="text1"/>
          <w14:textFill>
            <w14:solidFill>
              <w14:schemeClr w14:val="tx1"/>
            </w14:solidFill>
          </w14:textFill>
        </w:rPr>
        <w:tab/>
      </w:r>
      <w:r>
        <w:t>TLOF应为无磁性平整铺筑物道面实体，表面应满足稳定性、耐久性及抗疲劳要求</w:t>
      </w:r>
      <w:r>
        <w:rPr>
          <w:rFonts w:hint="eastAsia"/>
        </w:rPr>
        <w:t>，</w:t>
      </w:r>
      <w:r>
        <w:t>不应在</w:t>
      </w:r>
      <w:r>
        <w:rPr>
          <w:rFonts w:hint="eastAsia"/>
        </w:rPr>
        <w:t>低空垂直起降航空器</w:t>
      </w:r>
      <w:r>
        <w:t>下洗流作用下造成表面退化或产生飞散的碎片。表面应确保有效排水，任意方向的坡度不应超过2%</w:t>
      </w:r>
      <w:r>
        <w:rPr>
          <w:rFonts w:hint="eastAsia"/>
        </w:rPr>
        <w:t>。</w:t>
      </w:r>
    </w:p>
    <w:p w14:paraId="2ED2BFBF">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8.2.2.3</w:t>
      </w:r>
      <w:r>
        <w:rPr>
          <w:rFonts w:hint="eastAsia" w:ascii="黑体" w:hAnsi="黑体" w:eastAsia="黑体"/>
          <w:color w:val="000000" w:themeColor="text1"/>
          <w14:textFill>
            <w14:solidFill>
              <w14:schemeClr w14:val="tx1"/>
            </w14:solidFill>
          </w14:textFill>
        </w:rPr>
        <w:tab/>
      </w:r>
      <w:r>
        <w:t>TLOF表面应能承受</w:t>
      </w:r>
      <w:r>
        <w:rPr>
          <w:rFonts w:hint="eastAsia"/>
        </w:rPr>
        <w:t>航空器</w:t>
      </w:r>
      <w:r>
        <w:t>起降</w:t>
      </w:r>
      <w:r>
        <w:rPr>
          <w:rFonts w:hint="eastAsia"/>
        </w:rPr>
        <w:t>传来的静、</w:t>
      </w:r>
      <w:r>
        <w:t>动荷载，并考虑人员、货物、</w:t>
      </w:r>
      <w:r>
        <w:rPr>
          <w:rFonts w:hint="eastAsia"/>
        </w:rPr>
        <w:t>起降</w:t>
      </w:r>
      <w:r>
        <w:t>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维护</w:t>
      </w:r>
      <w:r>
        <w:rPr>
          <w:rFonts w:hint="eastAsia"/>
        </w:rPr>
        <w:t>设施</w:t>
      </w:r>
      <w:r>
        <w:t>设备等产生的附加荷载</w:t>
      </w:r>
      <w:r>
        <w:rPr>
          <w:rFonts w:hint="eastAsia"/>
        </w:rPr>
        <w:t>，</w:t>
      </w:r>
      <w:r>
        <w:rPr>
          <w:rFonts w:hint="eastAsia"/>
          <w:color w:val="000000" w:themeColor="text1"/>
          <w14:textFill>
            <w14:solidFill>
              <w14:schemeClr w14:val="tx1"/>
            </w14:solidFill>
          </w14:textFill>
        </w:rPr>
        <w:t>按照GB 50009核算结构强度。</w:t>
      </w:r>
      <w:r>
        <w:rPr>
          <w:rFonts w:hint="eastAsia"/>
        </w:rPr>
        <w:t>应考虑以下工况条件：</w:t>
      </w:r>
      <w:r>
        <w:t>正常使用工况</w:t>
      </w:r>
      <w:r>
        <w:rPr>
          <w:rFonts w:hint="eastAsia"/>
        </w:rPr>
        <w:t>满足航空器</w:t>
      </w:r>
      <w:r>
        <w:t>正常停放及地面</w:t>
      </w:r>
      <w:r>
        <w:rPr>
          <w:rFonts w:hint="eastAsia"/>
        </w:rPr>
        <w:t>转运，</w:t>
      </w:r>
      <w:r>
        <w:t>正常着陆工况</w:t>
      </w:r>
      <w:r>
        <w:rPr>
          <w:rFonts w:hint="eastAsia"/>
        </w:rPr>
        <w:t>应</w:t>
      </w:r>
      <w:r>
        <w:t>考虑</w:t>
      </w:r>
      <w:r>
        <w:rPr>
          <w:rFonts w:hint="eastAsia"/>
        </w:rPr>
        <w:t>航空器</w:t>
      </w:r>
      <w:r>
        <w:t>1.5倍最大起飞重量的着陆冲击荷载</w:t>
      </w:r>
      <w:r>
        <w:rPr>
          <w:rFonts w:hint="eastAsia"/>
        </w:rPr>
        <w:t>，</w:t>
      </w:r>
      <w:r>
        <w:t>紧急着陆工况</w:t>
      </w:r>
      <w:r>
        <w:rPr>
          <w:rFonts w:hint="eastAsia"/>
        </w:rPr>
        <w:t>应</w:t>
      </w:r>
      <w:r>
        <w:t>考虑</w:t>
      </w:r>
      <w:r>
        <w:rPr>
          <w:rFonts w:hint="eastAsia"/>
        </w:rPr>
        <w:t>航空器</w:t>
      </w:r>
      <w:r>
        <w:t>2.5倍最大起飞重量的紧急着陆冲击荷载</w:t>
      </w:r>
      <w:r>
        <w:rPr>
          <w:rFonts w:hint="eastAsia"/>
        </w:rPr>
        <w:t>。</w:t>
      </w:r>
    </w:p>
    <w:p w14:paraId="701EBBAC">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8.2.2.4</w:t>
      </w:r>
      <w:r>
        <w:rPr>
          <w:rFonts w:hint="eastAsia" w:ascii="黑体" w:hAnsi="黑体" w:eastAsia="黑体"/>
          <w:color w:val="000000" w:themeColor="text1"/>
          <w14:textFill>
            <w14:solidFill>
              <w14:schemeClr w14:val="tx1"/>
            </w14:solidFill>
          </w14:textFill>
        </w:rPr>
        <w:tab/>
      </w:r>
      <w:r>
        <w:t>TLOF表面应进行防滑处理</w:t>
      </w:r>
      <w:r>
        <w:rPr>
          <w:rFonts w:hint="eastAsia"/>
        </w:rPr>
        <w:t>、</w:t>
      </w:r>
      <w:r>
        <w:t>具有足够的摩阻性能，在湿润条件下的摩擦系数不应低于0.4</w:t>
      </w:r>
      <w:r>
        <w:rPr>
          <w:rFonts w:hint="eastAsia"/>
        </w:rPr>
        <w:t>，</w:t>
      </w:r>
      <w:r>
        <w:t>以避免</w:t>
      </w:r>
      <w:r>
        <w:rPr>
          <w:rFonts w:hint="eastAsia"/>
        </w:rPr>
        <w:t>航空器</w:t>
      </w:r>
      <w:r>
        <w:t>滑移或人员滑倒</w:t>
      </w:r>
      <w:r>
        <w:rPr>
          <w:rFonts w:hint="eastAsia"/>
        </w:rPr>
        <w:t>。</w:t>
      </w:r>
    </w:p>
    <w:p w14:paraId="32298299">
      <w:pPr>
        <w:pStyle w:val="62"/>
        <w:widowControl w:val="0"/>
        <w:ind w:firstLine="0" w:firstLineChars="0"/>
        <w:outlineLvl w:val="3"/>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8.2.2.5</w:t>
      </w:r>
      <w:r>
        <w:rPr>
          <w:rFonts w:ascii="黑体" w:hAnsi="黑体" w:eastAsia="黑体"/>
          <w:color w:val="000000" w:themeColor="text1"/>
          <w14:textFill>
            <w14:solidFill>
              <w14:schemeClr w14:val="tx1"/>
            </w14:solidFill>
          </w14:textFill>
        </w:rPr>
        <w:tab/>
      </w:r>
      <w:r>
        <w:rPr>
          <w:color w:val="000000" w:themeColor="text1"/>
          <w14:textFill>
            <w14:solidFill>
              <w14:schemeClr w14:val="tx1"/>
            </w14:solidFill>
          </w14:textFill>
        </w:rPr>
        <w:t>TLOF为圆形时，直径不应小于</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D；TLOF为正方形时，边长不应小于</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D。上述D采用预计</w:t>
      </w:r>
      <w:r>
        <w:rPr>
          <w:rFonts w:hint="eastAsia"/>
          <w:color w:val="000000" w:themeColor="text1"/>
          <w14:textFill>
            <w14:solidFill>
              <w14:schemeClr w14:val="tx1"/>
            </w14:solidFill>
          </w14:textFill>
        </w:rPr>
        <w:t>运行航空器</w:t>
      </w:r>
      <w:r>
        <w:rPr>
          <w:color w:val="000000" w:themeColor="text1"/>
          <w14:textFill>
            <w14:solidFill>
              <w14:schemeClr w14:val="tx1"/>
            </w14:solidFill>
          </w14:textFill>
        </w:rPr>
        <w:t>的最大值</w:t>
      </w:r>
      <w:r>
        <w:rPr>
          <w:rFonts w:hint="eastAsia"/>
          <w:color w:val="000000" w:themeColor="text1"/>
          <w14:textFill>
            <w14:solidFill>
              <w14:schemeClr w14:val="tx1"/>
            </w14:solidFill>
          </w14:textFill>
        </w:rPr>
        <w:t>。</w:t>
      </w:r>
    </w:p>
    <w:p w14:paraId="42FC0F0D">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8.2.2.6</w:t>
      </w:r>
      <w:r>
        <w:rPr>
          <w:rFonts w:hint="eastAsia" w:ascii="黑体" w:hAnsi="黑体" w:eastAsia="黑体"/>
          <w:color w:val="000000" w:themeColor="text1"/>
          <w14:textFill>
            <w14:solidFill>
              <w14:schemeClr w14:val="tx1"/>
            </w14:solidFill>
          </w14:textFill>
        </w:rPr>
        <w:tab/>
      </w:r>
      <w:r>
        <w:rPr>
          <w:rFonts w:hint="eastAsia"/>
        </w:rPr>
        <w:t>TLOF</w:t>
      </w:r>
      <w:r>
        <w:t>内不应有障碍物</w:t>
      </w:r>
      <w:r>
        <w:rPr>
          <w:rFonts w:hint="eastAsia"/>
        </w:rPr>
        <w:t>。</w:t>
      </w:r>
      <w:r>
        <w:t>位于</w:t>
      </w:r>
      <w:r>
        <w:rPr>
          <w:rFonts w:hint="eastAsia"/>
        </w:rPr>
        <w:t>TLOF</w:t>
      </w:r>
      <w:r>
        <w:t>内必要物体高度不超过</w:t>
      </w:r>
      <w:r>
        <w:rPr>
          <w:rFonts w:hint="eastAsia"/>
        </w:rPr>
        <w:t>TLOF</w:t>
      </w:r>
      <w:r>
        <w:t>表面以上</w:t>
      </w:r>
      <w:r>
        <w:rPr>
          <w:rFonts w:hint="eastAsia"/>
        </w:rPr>
        <w:t>2.</w:t>
      </w:r>
      <w:r>
        <w:t>5</w:t>
      </w:r>
      <w:r>
        <w:rPr>
          <w:rFonts w:hint="eastAsia"/>
        </w:rPr>
        <w:t>厘米且边缘具有倒角、同时不对航空器运行构成安全风险的，可不被视为障碍物</w:t>
      </w:r>
      <w:r>
        <w:t>。</w:t>
      </w:r>
    </w:p>
    <w:p w14:paraId="6D8FB534">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SA</w:t>
      </w:r>
    </w:p>
    <w:p w14:paraId="3D2778C3">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8.2.3.1</w:t>
      </w:r>
      <w:r>
        <w:rPr>
          <w:rFonts w:hint="eastAsia" w:ascii="黑体" w:hAnsi="黑体" w:eastAsia="黑体"/>
          <w:color w:val="000000" w:themeColor="text1"/>
          <w14:textFill>
            <w14:solidFill>
              <w14:schemeClr w14:val="tx1"/>
            </w14:solidFill>
          </w14:textFill>
        </w:rPr>
        <w:tab/>
      </w:r>
      <w:r>
        <w:rPr>
          <w:rFonts w:hint="eastAsia"/>
        </w:rPr>
        <w:t>在TLOF周围应设置SA</w:t>
      </w:r>
      <w:r>
        <w:t>。</w:t>
      </w:r>
      <w:r>
        <w:rPr>
          <w:rFonts w:hint="eastAsia"/>
        </w:rPr>
        <w:t>SA不必为实体。若为实体，其表面应与TLOF表面连续顺接，能抵抗低空垂直起降航空器</w:t>
      </w:r>
      <w:r>
        <w:t>下洗流</w:t>
      </w:r>
      <w:r>
        <w:rPr>
          <w:rFonts w:hint="eastAsia"/>
        </w:rPr>
        <w:t>的作用并确保有效排水。</w:t>
      </w:r>
    </w:p>
    <w:p w14:paraId="1736DB8E">
      <w:pPr>
        <w:pStyle w:val="62"/>
        <w:widowControl w:val="0"/>
        <w:ind w:firstLine="0" w:firstLineChars="0"/>
        <w:outlineLvl w:val="3"/>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8.2.3.2</w:t>
      </w:r>
      <w:r>
        <w:rPr>
          <w:rFonts w:hint="eastAsia" w:ascii="黑体" w:hAnsi="黑体" w:eastAsia="黑体"/>
          <w:color w:val="000000" w:themeColor="text1"/>
          <w14:textFill>
            <w14:solidFill>
              <w14:schemeClr w14:val="tx1"/>
            </w14:solidFill>
          </w14:textFill>
        </w:rPr>
        <w:tab/>
      </w:r>
      <w:r>
        <w:rPr>
          <w:rFonts w:hint="eastAsia"/>
          <w:color w:val="000000" w:themeColor="text1"/>
          <w14:textFill>
            <w14:solidFill>
              <w14:schemeClr w14:val="tx1"/>
            </w14:solidFill>
          </w14:textFill>
        </w:rPr>
        <w:t>SA应从TLOF的四周至少向外延伸</w:t>
      </w:r>
      <w:r>
        <w:rPr>
          <w:color w:val="000000" w:themeColor="text1"/>
          <w14:textFill>
            <w14:solidFill>
              <w14:schemeClr w14:val="tx1"/>
            </w14:solidFill>
          </w14:textFill>
        </w:rPr>
        <w:t>10</w:t>
      </w:r>
      <w:r>
        <w:rPr>
          <w:rFonts w:hint="eastAsia"/>
          <w:color w:val="000000" w:themeColor="text1"/>
          <w14:textFill>
            <w14:solidFill>
              <w14:schemeClr w14:val="tx1"/>
            </w14:solidFill>
          </w14:textFill>
        </w:rPr>
        <w:t>米，或</w:t>
      </w:r>
      <w:r>
        <w:rPr>
          <w:color w:val="000000" w:themeColor="text1"/>
          <w14:textFill>
            <w14:solidFill>
              <w14:schemeClr w14:val="tx1"/>
            </w14:solidFill>
          </w14:textFill>
        </w:rPr>
        <w:t>1.0D</w:t>
      </w:r>
      <w:r>
        <w:rPr>
          <w:rFonts w:hint="eastAsia"/>
          <w:color w:val="000000" w:themeColor="text1"/>
          <w14:textFill>
            <w14:solidFill>
              <w14:schemeClr w14:val="tx1"/>
            </w14:solidFill>
          </w14:textFill>
        </w:rPr>
        <w:t>，两者中取较大值。</w:t>
      </w:r>
      <w:r>
        <w:rPr>
          <w:color w:val="000000" w:themeColor="text1"/>
          <w14:textFill>
            <w14:solidFill>
              <w14:schemeClr w14:val="tx1"/>
            </w14:solidFill>
          </w14:textFill>
        </w:rPr>
        <w:t>上述D采用预计</w:t>
      </w:r>
      <w:r>
        <w:rPr>
          <w:rFonts w:hint="eastAsia"/>
          <w:color w:val="000000" w:themeColor="text1"/>
          <w14:textFill>
            <w14:solidFill>
              <w14:schemeClr w14:val="tx1"/>
            </w14:solidFill>
          </w14:textFill>
        </w:rPr>
        <w:t>运行航空器</w:t>
      </w:r>
      <w:r>
        <w:rPr>
          <w:color w:val="000000" w:themeColor="text1"/>
          <w14:textFill>
            <w14:solidFill>
              <w14:schemeClr w14:val="tx1"/>
            </w14:solidFill>
          </w14:textFill>
        </w:rPr>
        <w:t>的最大值。</w:t>
      </w:r>
    </w:p>
    <w:p w14:paraId="1F455F07">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8.2.3.3</w:t>
      </w:r>
      <w:r>
        <w:rPr>
          <w:rFonts w:hint="eastAsia" w:ascii="黑体" w:hAnsi="黑体" w:eastAsia="黑体"/>
          <w:color w:val="000000" w:themeColor="text1"/>
          <w14:textFill>
            <w14:solidFill>
              <w14:schemeClr w14:val="tx1"/>
            </w14:solidFill>
          </w14:textFill>
        </w:rPr>
        <w:tab/>
      </w:r>
      <w:r>
        <w:rPr>
          <w:rFonts w:hint="eastAsia"/>
        </w:rPr>
        <w:t>SA内</w:t>
      </w:r>
      <w:r>
        <w:t>不应有障碍物。</w:t>
      </w:r>
      <w:r>
        <w:rPr>
          <w:rFonts w:hint="eastAsia"/>
        </w:rPr>
        <w:t>航空器</w:t>
      </w:r>
      <w:r>
        <w:t>运行期间，SA内不应有</w:t>
      </w:r>
      <w:r>
        <w:rPr>
          <w:rFonts w:hint="eastAsia"/>
        </w:rPr>
        <w:t>可</w:t>
      </w:r>
      <w:r>
        <w:t>移动的物体。因功能要求必须设置于SA内的物体，不应超过以</w:t>
      </w:r>
      <w:r>
        <w:rPr>
          <w:rFonts w:hint="eastAsia"/>
        </w:rPr>
        <w:t>TLOF</w:t>
      </w:r>
      <w:r>
        <w:t>边界上方25</w:t>
      </w:r>
      <w:r>
        <w:rPr>
          <w:rFonts w:hint="eastAsia"/>
        </w:rPr>
        <w:t>厘米</w:t>
      </w:r>
      <w:r>
        <w:t>高度为底边、向外升坡为5%的斜面。</w:t>
      </w:r>
    </w:p>
    <w:p w14:paraId="411BE74B">
      <w:pPr>
        <w:pStyle w:val="71"/>
        <w:spacing w:before="156" w:after="156"/>
        <w:ind w:left="0"/>
        <w:rPr>
          <w:color w:val="000000" w:themeColor="text1"/>
          <w14:textFill>
            <w14:solidFill>
              <w14:schemeClr w14:val="tx1"/>
            </w14:solidFill>
          </w14:textFill>
        </w:rPr>
      </w:pPr>
      <w:r>
        <w:rPr>
          <w:rFonts w:hAnsi="黑体"/>
          <w:color w:val="000000" w:themeColor="text1"/>
          <w14:textFill>
            <w14:solidFill>
              <w14:schemeClr w14:val="tx1"/>
            </w14:solidFill>
          </w14:textFill>
        </w:rPr>
        <w:t>下洗流和外洗流保护区域</w:t>
      </w:r>
    </w:p>
    <w:p w14:paraId="65CE5AA1">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8.2.4.1</w:t>
      </w:r>
      <w:r>
        <w:rPr>
          <w:rFonts w:hint="eastAsia" w:ascii="黑体" w:hAnsi="黑体" w:eastAsia="黑体"/>
          <w:color w:val="000000" w:themeColor="text1"/>
          <w14:textFill>
            <w14:solidFill>
              <w14:schemeClr w14:val="tx1"/>
            </w14:solidFill>
          </w14:textFill>
        </w:rPr>
        <w:tab/>
      </w:r>
      <w:r>
        <w:rPr>
          <w:rFonts w:hint="eastAsia"/>
        </w:rPr>
        <w:t>应根据适配机型、进离场程序等因素，评估低空垂直起降航空器在起降过程中，下洗流和外洗流对于地面人员和设施设备等的影响，根据需要为起降单元设置下洗流和外洗流保护区域。</w:t>
      </w:r>
    </w:p>
    <w:p w14:paraId="1AB8406F">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8.2.4.2</w:t>
      </w:r>
      <w:r>
        <w:rPr>
          <w:rFonts w:hint="eastAsia" w:ascii="黑体" w:hAnsi="黑体" w:eastAsia="黑体"/>
          <w:color w:val="000000" w:themeColor="text1"/>
          <w14:textFill>
            <w14:solidFill>
              <w14:schemeClr w14:val="tx1"/>
            </w14:solidFill>
          </w14:textFill>
        </w:rPr>
        <w:tab/>
      </w:r>
      <w:r>
        <w:t>当</w:t>
      </w:r>
      <w:r>
        <w:rPr>
          <w:rFonts w:hint="eastAsia"/>
          <w:color w:val="000000" w:themeColor="text1"/>
          <w14:textFill>
            <w14:solidFill>
              <w14:schemeClr w14:val="tx1"/>
            </w14:solidFill>
          </w14:textFill>
        </w:rPr>
        <w:t>起降单元</w:t>
      </w:r>
      <w:r>
        <w:t>服务于多机型时，按其中气流影响最大的机型确定下洗流</w:t>
      </w:r>
      <w:r>
        <w:rPr>
          <w:rFonts w:hint="eastAsia"/>
        </w:rPr>
        <w:t>和</w:t>
      </w:r>
      <w:r>
        <w:t>外洗流保护区域</w:t>
      </w:r>
      <w:r>
        <w:rPr>
          <w:rFonts w:hint="eastAsia"/>
        </w:rPr>
        <w:t>边界。</w:t>
      </w:r>
    </w:p>
    <w:p w14:paraId="58E9FE4B">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8.2.4.3</w:t>
      </w:r>
      <w:r>
        <w:rPr>
          <w:rFonts w:hint="eastAsia" w:ascii="黑体" w:hAnsi="黑体" w:eastAsia="黑体"/>
          <w:color w:val="000000" w:themeColor="text1"/>
          <w14:textFill>
            <w14:solidFill>
              <w14:schemeClr w14:val="tx1"/>
            </w14:solidFill>
          </w14:textFill>
        </w:rPr>
        <w:tab/>
      </w:r>
      <w:r>
        <w:t>下洗流</w:t>
      </w:r>
      <w:r>
        <w:rPr>
          <w:rFonts w:hint="eastAsia"/>
        </w:rPr>
        <w:t>和</w:t>
      </w:r>
      <w:r>
        <w:t>外洗流保护区域应满足下列基本要求</w:t>
      </w:r>
      <w:r>
        <w:rPr>
          <w:rFonts w:hint="eastAsia"/>
        </w:rPr>
        <w:t>：</w:t>
      </w:r>
    </w:p>
    <w:p w14:paraId="2E684147">
      <w:pPr>
        <w:pStyle w:val="180"/>
        <w:widowControl w:val="0"/>
        <w:numPr>
          <w:ilvl w:val="0"/>
          <w:numId w:val="42"/>
        </w:numPr>
        <w:tabs>
          <w:tab w:val="clear" w:pos="852"/>
        </w:tabs>
      </w:pPr>
      <w:r>
        <w:t>保护区域内的人员暴露于下洗流</w:t>
      </w:r>
      <w:r>
        <w:rPr>
          <w:rFonts w:hint="eastAsia"/>
        </w:rPr>
        <w:t>、</w:t>
      </w:r>
      <w:r>
        <w:t>外洗流的风速不超过相应的安全限值</w:t>
      </w:r>
      <w:r>
        <w:rPr>
          <w:rFonts w:hint="eastAsia"/>
        </w:rPr>
        <w:t>；</w:t>
      </w:r>
    </w:p>
    <w:p w14:paraId="6FD268C7">
      <w:pPr>
        <w:pStyle w:val="180"/>
        <w:widowControl w:val="0"/>
        <w:numPr>
          <w:ilvl w:val="0"/>
          <w:numId w:val="42"/>
        </w:numPr>
        <w:tabs>
          <w:tab w:val="clear" w:pos="852"/>
        </w:tabs>
      </w:pPr>
      <w:r>
        <w:t>保护区域内的设施设备和建筑物</w:t>
      </w:r>
      <w:r>
        <w:rPr>
          <w:rFonts w:hint="eastAsia"/>
        </w:rPr>
        <w:t>/构筑物</w:t>
      </w:r>
      <w:r>
        <w:t>能承受下洗流</w:t>
      </w:r>
      <w:r>
        <w:rPr>
          <w:rFonts w:hint="eastAsia"/>
        </w:rPr>
        <w:t>、</w:t>
      </w:r>
      <w:r>
        <w:t>外洗流的气动荷载</w:t>
      </w:r>
      <w:r>
        <w:rPr>
          <w:rFonts w:hint="eastAsia"/>
        </w:rPr>
        <w:t>；</w:t>
      </w:r>
    </w:p>
    <w:p w14:paraId="632C81B7">
      <w:pPr>
        <w:pStyle w:val="180"/>
        <w:widowControl w:val="0"/>
        <w:numPr>
          <w:ilvl w:val="0"/>
          <w:numId w:val="42"/>
        </w:numPr>
        <w:tabs>
          <w:tab w:val="clear" w:pos="852"/>
        </w:tabs>
      </w:pPr>
      <w:r>
        <w:t>保护区域内不存放易被气流吹散的松散物体或碎片</w:t>
      </w:r>
      <w:r>
        <w:rPr>
          <w:rFonts w:hint="eastAsia"/>
        </w:rPr>
        <w:t>；</w:t>
      </w:r>
    </w:p>
    <w:p w14:paraId="1017EFAA">
      <w:pPr>
        <w:pStyle w:val="180"/>
        <w:widowControl w:val="0"/>
        <w:numPr>
          <w:ilvl w:val="0"/>
          <w:numId w:val="42"/>
        </w:numPr>
        <w:tabs>
          <w:tab w:val="clear" w:pos="852"/>
        </w:tabs>
      </w:pPr>
      <w:r>
        <w:t>保护区域的边界设置相应的警示标识</w:t>
      </w:r>
      <w:r>
        <w:rPr>
          <w:rFonts w:hint="eastAsia"/>
        </w:rPr>
        <w:t>。</w:t>
      </w:r>
    </w:p>
    <w:p w14:paraId="745C69B7">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8.2.4.4</w:t>
      </w:r>
      <w:r>
        <w:rPr>
          <w:rFonts w:hint="eastAsia" w:ascii="黑体" w:hAnsi="黑体" w:eastAsia="黑体"/>
          <w:color w:val="000000" w:themeColor="text1"/>
          <w14:textFill>
            <w14:solidFill>
              <w14:schemeClr w14:val="tx1"/>
            </w14:solidFill>
          </w14:textFill>
        </w:rPr>
        <w:tab/>
      </w:r>
      <w:r>
        <w:t>下洗流</w:t>
      </w:r>
      <w:r>
        <w:rPr>
          <w:rFonts w:hint="eastAsia"/>
        </w:rPr>
        <w:t>和</w:t>
      </w:r>
      <w:r>
        <w:t>外洗流保护区域内不同区域的最大允许风速应符合以下规定：</w:t>
      </w:r>
    </w:p>
    <w:p w14:paraId="2DF3331F">
      <w:pPr>
        <w:pStyle w:val="180"/>
        <w:widowControl w:val="0"/>
        <w:numPr>
          <w:ilvl w:val="0"/>
          <w:numId w:val="43"/>
        </w:numPr>
        <w:tabs>
          <w:tab w:val="clear" w:pos="852"/>
        </w:tabs>
      </w:pPr>
      <w:r>
        <w:t>供飞行机组或旅客通行的区域最大允许风速≤60</w:t>
      </w:r>
      <w:r>
        <w:rPr>
          <w:rFonts w:hint="eastAsia"/>
        </w:rPr>
        <w:t>千米/小时</w:t>
      </w:r>
      <w:r>
        <w:t>；</w:t>
      </w:r>
    </w:p>
    <w:p w14:paraId="221099B5">
      <w:pPr>
        <w:pStyle w:val="180"/>
        <w:widowControl w:val="0"/>
        <w:numPr>
          <w:ilvl w:val="0"/>
          <w:numId w:val="43"/>
        </w:numPr>
        <w:tabs>
          <w:tab w:val="clear" w:pos="852"/>
        </w:tabs>
      </w:pPr>
      <w:r>
        <w:t>人员可能步行或聚集</w:t>
      </w:r>
      <w:r>
        <w:rPr>
          <w:rFonts w:hint="eastAsia"/>
        </w:rPr>
        <w:t>的</w:t>
      </w:r>
      <w:r>
        <w:t>公共区域最大允许风速≤60</w:t>
      </w:r>
      <w:r>
        <w:rPr>
          <w:rFonts w:hint="eastAsia"/>
        </w:rPr>
        <w:t>千米/小时</w:t>
      </w:r>
      <w:r>
        <w:t>；</w:t>
      </w:r>
    </w:p>
    <w:p w14:paraId="3869FA27">
      <w:pPr>
        <w:pStyle w:val="180"/>
        <w:widowControl w:val="0"/>
        <w:numPr>
          <w:ilvl w:val="0"/>
          <w:numId w:val="43"/>
        </w:numPr>
        <w:tabs>
          <w:tab w:val="clear" w:pos="852"/>
        </w:tabs>
      </w:pPr>
      <w:r>
        <w:t>人员不太可能聚集</w:t>
      </w:r>
      <w:r>
        <w:rPr>
          <w:rFonts w:hint="eastAsia"/>
        </w:rPr>
        <w:t>的</w:t>
      </w:r>
      <w:r>
        <w:t>公共区域最大允许风速≤80</w:t>
      </w:r>
      <w:r>
        <w:rPr>
          <w:rFonts w:hint="eastAsia"/>
        </w:rPr>
        <w:t>千米/小时</w:t>
      </w:r>
      <w:r>
        <w:t>；</w:t>
      </w:r>
    </w:p>
    <w:p w14:paraId="58A7A4B3">
      <w:pPr>
        <w:pStyle w:val="180"/>
        <w:widowControl w:val="0"/>
        <w:numPr>
          <w:ilvl w:val="0"/>
          <w:numId w:val="43"/>
        </w:numPr>
        <w:tabs>
          <w:tab w:val="clear" w:pos="852"/>
        </w:tabs>
      </w:pPr>
      <w:r>
        <w:rPr>
          <w:rFonts w:hint="eastAsia"/>
        </w:rPr>
        <w:t>设计</w:t>
      </w:r>
      <w:r>
        <w:t>车速≥80</w:t>
      </w:r>
      <w:r>
        <w:rPr>
          <w:rFonts w:hint="eastAsia"/>
        </w:rPr>
        <w:t>千米/小时的</w:t>
      </w:r>
      <w:r>
        <w:t>公共道路最大允许风速≤5</w:t>
      </w:r>
      <w:r>
        <w:rPr>
          <w:rFonts w:hint="eastAsia"/>
        </w:rPr>
        <w:t>0千米/小时</w:t>
      </w:r>
      <w:r>
        <w:t>；</w:t>
      </w:r>
    </w:p>
    <w:p w14:paraId="2AEBDA55">
      <w:pPr>
        <w:pStyle w:val="180"/>
        <w:widowControl w:val="0"/>
        <w:numPr>
          <w:ilvl w:val="0"/>
          <w:numId w:val="43"/>
        </w:numPr>
        <w:tabs>
          <w:tab w:val="clear" w:pos="852"/>
        </w:tabs>
      </w:pPr>
      <w:r>
        <w:rPr>
          <w:rFonts w:hint="eastAsia"/>
        </w:rPr>
        <w:t>设计</w:t>
      </w:r>
      <w:r>
        <w:t>车速</w:t>
      </w:r>
      <w:r>
        <w:rPr>
          <w:rFonts w:hint="eastAsia"/>
        </w:rPr>
        <w:t>&lt;</w:t>
      </w:r>
      <w:r>
        <w:t>80</w:t>
      </w:r>
      <w:r>
        <w:rPr>
          <w:rFonts w:hint="eastAsia"/>
        </w:rPr>
        <w:t>千米/小时的</w:t>
      </w:r>
      <w:r>
        <w:t>公共道路最大允许风速≤60</w:t>
      </w:r>
      <w:r>
        <w:rPr>
          <w:rFonts w:hint="eastAsia"/>
        </w:rPr>
        <w:t>千米/小时</w:t>
      </w:r>
      <w:r>
        <w:t>；</w:t>
      </w:r>
    </w:p>
    <w:p w14:paraId="14FA4143">
      <w:pPr>
        <w:pStyle w:val="180"/>
        <w:widowControl w:val="0"/>
        <w:numPr>
          <w:ilvl w:val="0"/>
          <w:numId w:val="43"/>
        </w:numPr>
        <w:tabs>
          <w:tab w:val="clear" w:pos="852"/>
        </w:tabs>
      </w:pPr>
      <w:r>
        <w:t>航空器附近工作人员区域最大允许风速≤80</w:t>
      </w:r>
      <w:r>
        <w:rPr>
          <w:rFonts w:hint="eastAsia"/>
        </w:rPr>
        <w:t>千米/小时</w:t>
      </w:r>
      <w:r>
        <w:t>；</w:t>
      </w:r>
    </w:p>
    <w:p w14:paraId="39D71F4E">
      <w:pPr>
        <w:pStyle w:val="180"/>
        <w:widowControl w:val="0"/>
        <w:numPr>
          <w:ilvl w:val="0"/>
          <w:numId w:val="43"/>
        </w:numPr>
        <w:tabs>
          <w:tab w:val="clear" w:pos="852"/>
        </w:tabs>
      </w:pPr>
      <w:r>
        <w:t>机坪设备区域最大允许风速≤80</w:t>
      </w:r>
      <w:r>
        <w:rPr>
          <w:rFonts w:hint="eastAsia"/>
        </w:rPr>
        <w:t>千米/小时</w:t>
      </w:r>
      <w:r>
        <w:t>；</w:t>
      </w:r>
    </w:p>
    <w:p w14:paraId="62CBB4DE">
      <w:pPr>
        <w:pStyle w:val="180"/>
        <w:widowControl w:val="0"/>
        <w:numPr>
          <w:ilvl w:val="0"/>
          <w:numId w:val="43"/>
        </w:numPr>
        <w:tabs>
          <w:tab w:val="clear" w:pos="852"/>
        </w:tabs>
        <w:rPr>
          <w:rFonts w:ascii="黑体" w:hAnsi="黑体" w:eastAsia="黑体"/>
          <w:color w:val="000000" w:themeColor="text1"/>
          <w14:textFill>
            <w14:solidFill>
              <w14:schemeClr w14:val="tx1"/>
            </w14:solidFill>
          </w14:textFill>
        </w:rPr>
      </w:pPr>
      <w:r>
        <w:t>建筑物及构筑物最大允许风速≤100</w:t>
      </w:r>
      <w:r>
        <w:rPr>
          <w:rFonts w:hint="eastAsia"/>
        </w:rPr>
        <w:t>千米/小时。</w:t>
      </w:r>
    </w:p>
    <w:p w14:paraId="2E500433">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8.2.4.5</w:t>
      </w:r>
      <w:r>
        <w:rPr>
          <w:rFonts w:hint="eastAsia" w:ascii="黑体" w:hAnsi="黑体" w:eastAsia="黑体"/>
          <w:color w:val="000000" w:themeColor="text1"/>
          <w14:textFill>
            <w14:solidFill>
              <w14:schemeClr w14:val="tx1"/>
            </w14:solidFill>
          </w14:textFill>
        </w:rPr>
        <w:tab/>
      </w:r>
      <w:r>
        <w:rPr>
          <w:rFonts w:hint="eastAsia"/>
        </w:rPr>
        <w:t>最大风速应以气流影响最大的机型在起降全过程中产生的最大瞬时风速为准。测量时可采用超声波三维风速计等设备，将其布置在距离TLOF中心最近的</w:t>
      </w:r>
      <w:r>
        <w:t>下洗流</w:t>
      </w:r>
      <w:r>
        <w:rPr>
          <w:rFonts w:hint="eastAsia"/>
        </w:rPr>
        <w:t>和</w:t>
      </w:r>
      <w:r>
        <w:t>外洗流保护区域</w:t>
      </w:r>
      <w:r>
        <w:rPr>
          <w:rFonts w:hint="eastAsia"/>
        </w:rPr>
        <w:t>边界处的地面上。</w:t>
      </w:r>
    </w:p>
    <w:p w14:paraId="34FB0E6B">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8.2.4.6</w:t>
      </w:r>
      <w:r>
        <w:rPr>
          <w:rFonts w:hint="eastAsia" w:ascii="黑体" w:hAnsi="黑体" w:eastAsia="黑体"/>
          <w:color w:val="000000" w:themeColor="text1"/>
          <w14:textFill>
            <w14:solidFill>
              <w14:schemeClr w14:val="tx1"/>
            </w14:solidFill>
          </w14:textFill>
        </w:rPr>
        <w:tab/>
      </w:r>
      <w:r>
        <w:t>当实测的下洗流</w:t>
      </w:r>
      <w:r>
        <w:rPr>
          <w:rFonts w:hint="eastAsia"/>
        </w:rPr>
        <w:t>和</w:t>
      </w:r>
      <w:r>
        <w:t>外洗流风速超过</w:t>
      </w:r>
      <w:r>
        <w:rPr>
          <w:rFonts w:hint="eastAsia"/>
        </w:rPr>
        <w:t>相应区域</w:t>
      </w:r>
      <w:r>
        <w:t>最大允许风速时，应</w:t>
      </w:r>
      <w:r>
        <w:rPr>
          <w:rFonts w:hint="eastAsia"/>
        </w:rPr>
        <w:t>向TLOF外侧移动</w:t>
      </w:r>
      <w:r>
        <w:t>下洗流</w:t>
      </w:r>
      <w:r>
        <w:rPr>
          <w:rFonts w:hint="eastAsia"/>
        </w:rPr>
        <w:t>和</w:t>
      </w:r>
      <w:r>
        <w:t>外洗流保护区域</w:t>
      </w:r>
      <w:r>
        <w:rPr>
          <w:rFonts w:hint="eastAsia"/>
        </w:rPr>
        <w:t>边界</w:t>
      </w:r>
      <w:r>
        <w:t>或采取防护措施，确保下洗流</w:t>
      </w:r>
      <w:r>
        <w:rPr>
          <w:rFonts w:hint="eastAsia"/>
        </w:rPr>
        <w:t>和</w:t>
      </w:r>
      <w:r>
        <w:t>外洗流保护区域边界处的气流速度低于相应限值。防护措施可包括道面</w:t>
      </w:r>
      <w:r>
        <w:rPr>
          <w:rFonts w:hint="eastAsia"/>
        </w:rPr>
        <w:t>结构</w:t>
      </w:r>
      <w:r>
        <w:t>处理（采用具有导流、消能功能的</w:t>
      </w:r>
      <w:r>
        <w:rPr>
          <w:rFonts w:hint="eastAsia"/>
        </w:rPr>
        <w:t>设计</w:t>
      </w:r>
      <w:r>
        <w:t>）</w:t>
      </w:r>
      <w:r>
        <w:rPr>
          <w:rFonts w:hint="eastAsia"/>
        </w:rPr>
        <w:t>和</w:t>
      </w:r>
      <w:r>
        <w:t>气流屏障设置（导流墙、挡风板）</w:t>
      </w:r>
      <w:r>
        <w:rPr>
          <w:rFonts w:hint="eastAsia"/>
        </w:rPr>
        <w:t>等。</w:t>
      </w:r>
    </w:p>
    <w:p w14:paraId="7B39933E">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8.2.4.7</w:t>
      </w:r>
      <w:r>
        <w:rPr>
          <w:rFonts w:hint="eastAsia" w:ascii="黑体" w:hAnsi="黑体" w:eastAsia="黑体"/>
          <w:color w:val="000000" w:themeColor="text1"/>
          <w14:textFill>
            <w14:solidFill>
              <w14:schemeClr w14:val="tx1"/>
            </w14:solidFill>
          </w14:textFill>
        </w:rPr>
        <w:tab/>
      </w:r>
      <w:r>
        <w:t>具有两个及以上</w:t>
      </w:r>
      <w:r>
        <w:rPr>
          <w:rFonts w:hint="eastAsia"/>
        </w:rPr>
        <w:t>起降单元</w:t>
      </w:r>
      <w:r>
        <w:t>的起降场，各</w:t>
      </w:r>
      <w:r>
        <w:rPr>
          <w:rFonts w:hint="eastAsia"/>
        </w:rPr>
        <w:t>起降单元</w:t>
      </w:r>
      <w:r>
        <w:t>之间的间距应充分考虑下洗流和外洗流的相互影响，确保各运行区域的气流不会对相邻区域的航空器</w:t>
      </w:r>
      <w:r>
        <w:rPr>
          <w:rFonts w:hint="eastAsia"/>
        </w:rPr>
        <w:t>、</w:t>
      </w:r>
      <w:r>
        <w:t>人员及地面</w:t>
      </w:r>
      <w:r>
        <w:rPr>
          <w:rFonts w:hint="eastAsia"/>
        </w:rPr>
        <w:t>设施设备</w:t>
      </w:r>
      <w:r>
        <w:t>造成危害</w:t>
      </w:r>
      <w:r>
        <w:rPr>
          <w:rFonts w:hint="eastAsia"/>
        </w:rPr>
        <w:t>。</w:t>
      </w:r>
    </w:p>
    <w:p w14:paraId="2B4CCAE2">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OLS</w:t>
      </w:r>
    </w:p>
    <w:p w14:paraId="02DCED97">
      <w:pPr>
        <w:pStyle w:val="71"/>
        <w:numPr>
          <w:ilvl w:val="0"/>
          <w:numId w:val="0"/>
        </w:numPr>
        <w:spacing w:before="156" w:after="156"/>
        <w:outlineLvl w:val="3"/>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8.2.5.1</w:t>
      </w:r>
      <w:r>
        <w:rPr>
          <w:rFonts w:hint="eastAsia" w:hAnsi="黑体"/>
          <w:color w:val="000000" w:themeColor="text1"/>
          <w14:textFill>
            <w14:solidFill>
              <w14:schemeClr w14:val="tx1"/>
            </w14:solidFill>
          </w14:textFill>
        </w:rPr>
        <w:tab/>
      </w:r>
      <w:r>
        <w:rPr>
          <w:rFonts w:hint="eastAsia" w:hAnsi="黑体"/>
          <w:color w:val="000000" w:themeColor="text1"/>
          <w14:textFill>
            <w14:solidFill>
              <w14:schemeClr w14:val="tx1"/>
            </w14:solidFill>
          </w14:textFill>
        </w:rPr>
        <w:t>单个起降单元OLS划设</w:t>
      </w:r>
    </w:p>
    <w:p w14:paraId="70937E7D">
      <w:pPr>
        <w:pStyle w:val="62"/>
        <w:widowControl w:val="0"/>
        <w:spacing w:before="156" w:beforeLines="50" w:after="156" w:afterLines="50"/>
        <w:ind w:firstLine="420"/>
      </w:pPr>
      <w:r>
        <w:t>以起降单元的</w:t>
      </w:r>
      <w:r>
        <w:rPr>
          <w:rFonts w:hint="eastAsia"/>
        </w:rPr>
        <w:t>SA</w:t>
      </w:r>
      <w:r>
        <w:t>边线为</w:t>
      </w:r>
      <w:r>
        <w:rPr>
          <w:rFonts w:hint="eastAsia"/>
        </w:rPr>
        <w:t>起点</w:t>
      </w:r>
      <w:r>
        <w:t>，向上向外延伸</w:t>
      </w:r>
      <w:r>
        <w:rPr>
          <w:rFonts w:hint="eastAsia"/>
        </w:rPr>
        <w:t>划设OLS、</w:t>
      </w:r>
      <w:r>
        <w:t>形成下窄上宽</w:t>
      </w:r>
      <w:r>
        <w:rPr>
          <w:rFonts w:hint="eastAsia"/>
        </w:rPr>
        <w:t>的</w:t>
      </w:r>
      <w:r>
        <w:t>锥形</w:t>
      </w:r>
      <w:r>
        <w:rPr>
          <w:rFonts w:hint="eastAsia"/>
        </w:rPr>
        <w:t>面</w:t>
      </w:r>
      <w:r>
        <w:t>。</w:t>
      </w:r>
      <w:r>
        <w:rPr>
          <w:rFonts w:hint="eastAsia"/>
        </w:rPr>
        <w:t>OLS的锥形面与水平面的夹角宜为45°，锥形面向上延伸至悬停高度。OLS如图1和图2所示。</w:t>
      </w:r>
    </w:p>
    <w:p w14:paraId="656869EF">
      <w:pPr>
        <w:pStyle w:val="62"/>
        <w:keepNext/>
        <w:widowControl w:val="0"/>
        <w:ind w:left="1208" w:firstLine="0" w:firstLineChars="0"/>
      </w:pPr>
      <w:r>
        <w:rPr>
          <w:rFonts w:hint="eastAsia"/>
        </w:rPr>
        <w:drawing>
          <wp:inline distT="0" distB="0" distL="0" distR="0">
            <wp:extent cx="3865880" cy="1610995"/>
            <wp:effectExtent l="0" t="0" r="1270" b="8255"/>
            <wp:docPr id="4479335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33518" name="Picture 5"/>
                    <pic:cNvPicPr>
                      <a:picLocks noChangeAspect="1"/>
                    </pic:cNvPicPr>
                  </pic:nvPicPr>
                  <pic:blipFill>
                    <a:blip r:embed="rId17"/>
                    <a:stretch>
                      <a:fillRect/>
                    </a:stretch>
                  </pic:blipFill>
                  <pic:spPr>
                    <a:xfrm>
                      <a:off x="0" y="0"/>
                      <a:ext cx="3866400" cy="1611172"/>
                    </a:xfrm>
                    <a:prstGeom prst="rect">
                      <a:avLst/>
                    </a:prstGeom>
                  </pic:spPr>
                </pic:pic>
              </a:graphicData>
            </a:graphic>
          </wp:inline>
        </w:drawing>
      </w:r>
    </w:p>
    <w:p w14:paraId="71B4F593">
      <w:pPr>
        <w:pStyle w:val="120"/>
        <w:spacing w:before="156" w:after="156"/>
        <w:rPr>
          <w:rFonts w:hint="eastAsia"/>
        </w:rPr>
      </w:pPr>
      <w:bookmarkStart w:id="639" w:name="OLE_LINK9"/>
      <w:r>
        <w:rPr>
          <w:rFonts w:hint="eastAsia"/>
        </w:rPr>
        <w:t>起降单元构型示意图（主视）</w:t>
      </w:r>
    </w:p>
    <w:bookmarkEnd w:id="639"/>
    <w:p w14:paraId="08A8EF34">
      <w:pPr>
        <w:pStyle w:val="62"/>
        <w:keepNext/>
        <w:widowControl w:val="0"/>
        <w:ind w:firstLine="0" w:firstLineChars="0"/>
        <w:jc w:val="center"/>
      </w:pPr>
      <w:r>
        <w:rPr>
          <w:rFonts w:hint="eastAsia"/>
        </w:rPr>
        <w:drawing>
          <wp:inline distT="0" distB="0" distL="0" distR="0">
            <wp:extent cx="3171190" cy="3907790"/>
            <wp:effectExtent l="0" t="0" r="0" b="0"/>
            <wp:docPr id="552928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28981" name="Picture 3"/>
                    <pic:cNvPicPr>
                      <a:picLocks noChangeAspect="1"/>
                    </pic:cNvPicPr>
                  </pic:nvPicPr>
                  <pic:blipFill>
                    <a:blip r:embed="rId18"/>
                    <a:stretch>
                      <a:fillRect/>
                    </a:stretch>
                  </pic:blipFill>
                  <pic:spPr>
                    <a:xfrm>
                      <a:off x="0" y="0"/>
                      <a:ext cx="3171438" cy="3908417"/>
                    </a:xfrm>
                    <a:prstGeom prst="rect">
                      <a:avLst/>
                    </a:prstGeom>
                  </pic:spPr>
                </pic:pic>
              </a:graphicData>
            </a:graphic>
          </wp:inline>
        </w:drawing>
      </w:r>
    </w:p>
    <w:p w14:paraId="530E78AE">
      <w:pPr>
        <w:pStyle w:val="120"/>
        <w:spacing w:before="156" w:after="156"/>
        <w:rPr>
          <w:rFonts w:hint="eastAsia"/>
        </w:rPr>
      </w:pPr>
      <w:r>
        <w:rPr>
          <w:rFonts w:hint="eastAsia"/>
        </w:rPr>
        <w:t>具有圆形T</w:t>
      </w:r>
      <w:r>
        <w:t>LOF</w:t>
      </w:r>
      <w:r>
        <w:rPr>
          <w:rFonts w:hint="eastAsia"/>
        </w:rPr>
        <w:t>的起降单元构型示意图（俯视）</w:t>
      </w:r>
    </w:p>
    <w:p w14:paraId="7B6D51C3">
      <w:pPr>
        <w:pStyle w:val="71"/>
        <w:numPr>
          <w:ilvl w:val="0"/>
          <w:numId w:val="0"/>
        </w:numPr>
        <w:spacing w:before="156" w:after="156"/>
        <w:outlineLvl w:val="3"/>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8.2.5.2</w:t>
      </w:r>
      <w:r>
        <w:rPr>
          <w:rFonts w:hint="eastAsia" w:hAnsi="黑体"/>
          <w:color w:val="000000" w:themeColor="text1"/>
          <w14:textFill>
            <w14:solidFill>
              <w14:schemeClr w14:val="tx1"/>
            </w14:solidFill>
          </w14:textFill>
        </w:rPr>
        <w:tab/>
      </w:r>
      <w:r>
        <w:rPr>
          <w:rFonts w:hint="eastAsia" w:hAnsi="黑体"/>
          <w:color w:val="000000" w:themeColor="text1"/>
          <w14:textFill>
            <w14:solidFill>
              <w14:schemeClr w14:val="tx1"/>
            </w14:solidFill>
          </w14:textFill>
        </w:rPr>
        <w:t>多个起降单元OLS融合</w:t>
      </w:r>
    </w:p>
    <w:p w14:paraId="541CE155">
      <w:pPr>
        <w:pStyle w:val="62"/>
        <w:widowControl w:val="0"/>
        <w:ind w:firstLine="420"/>
      </w:pPr>
      <w:r>
        <w:t>起降场</w:t>
      </w:r>
      <w:r>
        <w:rPr>
          <w:rFonts w:hint="eastAsia"/>
        </w:rPr>
        <w:t>中</w:t>
      </w:r>
      <w:r>
        <w:t>各起降单元的</w:t>
      </w:r>
      <w:r>
        <w:rPr>
          <w:rFonts w:hint="eastAsia"/>
        </w:rPr>
        <w:t>OLS</w:t>
      </w:r>
      <w:r>
        <w:t>应进行融合处理，以包络所有起降单元</w:t>
      </w:r>
      <w:r>
        <w:rPr>
          <w:rFonts w:hint="eastAsia"/>
        </w:rPr>
        <w:t>OLS</w:t>
      </w:r>
      <w:r>
        <w:t>的外边界</w:t>
      </w:r>
      <w:r>
        <w:rPr>
          <w:rFonts w:hint="eastAsia"/>
        </w:rPr>
        <w:t>（即所有起降单元OLS的并集）</w:t>
      </w:r>
      <w:r>
        <w:t>作为起降场整体的</w:t>
      </w:r>
      <w:r>
        <w:rPr>
          <w:rFonts w:hint="eastAsia"/>
        </w:rPr>
        <w:t>OLS。</w:t>
      </w:r>
    </w:p>
    <w:p w14:paraId="0A9697EE">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标志标识与助航灯光</w:t>
      </w:r>
    </w:p>
    <w:p w14:paraId="2761DD67">
      <w:pPr>
        <w:pStyle w:val="62"/>
        <w:widowControl w:val="0"/>
        <w:ind w:firstLine="0" w:firstLineChars="0"/>
        <w:outlineLvl w:val="3"/>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8.2.6.1</w:t>
      </w:r>
      <w:r>
        <w:rPr>
          <w:rFonts w:hint="eastAsia" w:ascii="黑体" w:hAnsi="黑体" w:eastAsia="黑体"/>
          <w:color w:val="000000" w:themeColor="text1"/>
          <w14:textFill>
            <w14:solidFill>
              <w14:schemeClr w14:val="tx1"/>
            </w14:solidFill>
          </w14:textFill>
        </w:rPr>
        <w:tab/>
      </w:r>
      <w:r>
        <w:rPr>
          <w:color w:val="000000" w:themeColor="text1"/>
          <w14:textFill>
            <w14:solidFill>
              <w14:schemeClr w14:val="tx1"/>
            </w14:solidFill>
          </w14:textFill>
        </w:rPr>
        <w:t>起降</w:t>
      </w:r>
      <w:r>
        <w:rPr>
          <w:rFonts w:hint="eastAsia"/>
          <w:color w:val="000000" w:themeColor="text1"/>
          <w14:textFill>
            <w14:solidFill>
              <w14:schemeClr w14:val="tx1"/>
            </w14:solidFill>
          </w14:textFill>
        </w:rPr>
        <w:t>单元标志标识宜使用交通标志专用字体。字体的高度不宜小于1.5米。</w:t>
      </w:r>
    </w:p>
    <w:p w14:paraId="5582E700">
      <w:pPr>
        <w:pStyle w:val="62"/>
        <w:widowControl w:val="0"/>
        <w:ind w:firstLine="0" w:firstLineChars="0"/>
        <w:outlineLvl w:val="3"/>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8.2.6.2</w:t>
      </w:r>
      <w:r>
        <w:rPr>
          <w:rFonts w:hint="eastAsia" w:ascii="黑体" w:hAnsi="黑体" w:eastAsia="黑体"/>
          <w:color w:val="000000" w:themeColor="text1"/>
          <w14:textFill>
            <w14:solidFill>
              <w14:schemeClr w14:val="tx1"/>
            </w14:solidFill>
          </w14:textFill>
        </w:rPr>
        <w:tab/>
      </w:r>
      <w:r>
        <w:rPr>
          <w:color w:val="000000" w:themeColor="text1"/>
          <w14:textFill>
            <w14:solidFill>
              <w14:schemeClr w14:val="tx1"/>
            </w14:solidFill>
          </w14:textFill>
        </w:rPr>
        <w:t>起降</w:t>
      </w:r>
      <w:r>
        <w:rPr>
          <w:rFonts w:hint="eastAsia"/>
          <w:color w:val="000000" w:themeColor="text1"/>
          <w14:textFill>
            <w14:solidFill>
              <w14:schemeClr w14:val="tx1"/>
            </w14:solidFill>
          </w14:textFill>
        </w:rPr>
        <w:t>单元</w:t>
      </w:r>
      <w:r>
        <w:rPr>
          <w:color w:val="000000" w:themeColor="text1"/>
          <w14:textFill>
            <w14:solidFill>
              <w14:schemeClr w14:val="tx1"/>
            </w14:solidFill>
          </w14:textFill>
        </w:rPr>
        <w:t>采用白色</w:t>
      </w:r>
      <w:r>
        <w:rPr>
          <w:rFonts w:hint="eastAsia"/>
          <w:color w:val="000000" w:themeColor="text1"/>
          <w14:textFill>
            <w14:solidFill>
              <w14:schemeClr w14:val="tx1"/>
            </w14:solidFill>
          </w14:textFill>
        </w:rPr>
        <w:t>英文</w:t>
      </w:r>
      <w:r>
        <w:rPr>
          <w:color w:val="000000" w:themeColor="text1"/>
          <w14:textFill>
            <w14:solidFill>
              <w14:schemeClr w14:val="tx1"/>
            </w14:solidFill>
          </w14:textFill>
        </w:rPr>
        <w:t>字母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V</w:t>
      </w:r>
      <w:r>
        <w:rPr>
          <w:rFonts w:hint="eastAsia"/>
          <w:color w:val="000000" w:themeColor="text1"/>
          <w14:textFill>
            <w14:solidFill>
              <w14:schemeClr w14:val="tx1"/>
            </w14:solidFill>
          </w14:textFill>
        </w:rPr>
        <w:t>”作为识别标志、设置于</w:t>
      </w:r>
      <w:r>
        <w:rPr>
          <w:color w:val="000000" w:themeColor="text1"/>
          <w14:textFill>
            <w14:solidFill>
              <w14:schemeClr w14:val="tx1"/>
            </w14:solidFill>
          </w14:textFill>
        </w:rPr>
        <w:t>TLOF的中心。字母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V</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的高度不宜小于3</w:t>
      </w:r>
      <w:r>
        <w:rPr>
          <w:rFonts w:hint="eastAsia"/>
          <w:color w:val="000000" w:themeColor="text1"/>
          <w14:textFill>
            <w14:solidFill>
              <w14:schemeClr w14:val="tx1"/>
            </w14:solidFill>
          </w14:textFill>
        </w:rPr>
        <w:t>米</w:t>
      </w:r>
      <w:r>
        <w:rPr>
          <w:color w:val="000000" w:themeColor="text1"/>
          <w14:textFill>
            <w14:solidFill>
              <w14:schemeClr w14:val="tx1"/>
            </w14:solidFill>
          </w14:textFill>
        </w:rPr>
        <w:t>，线条宽度不宜超过0.5</w:t>
      </w:r>
      <w:r>
        <w:rPr>
          <w:rFonts w:hint="eastAsia"/>
          <w:color w:val="000000" w:themeColor="text1"/>
          <w14:textFill>
            <w14:solidFill>
              <w14:schemeClr w14:val="tx1"/>
            </w14:solidFill>
          </w14:textFill>
        </w:rPr>
        <w:t>米、</w:t>
      </w:r>
      <w:r>
        <w:rPr>
          <w:color w:val="000000" w:themeColor="text1"/>
          <w14:textFill>
            <w14:solidFill>
              <w14:schemeClr w14:val="tx1"/>
            </w14:solidFill>
          </w14:textFill>
        </w:rPr>
        <w:t>夹角宜为40</w:t>
      </w:r>
      <w:r>
        <w:rPr>
          <w:rFonts w:hint="eastAsia"/>
          <w:color w:val="000000" w:themeColor="text1"/>
          <w14:textFill>
            <w14:solidFill>
              <w14:schemeClr w14:val="tx1"/>
            </w14:solidFill>
          </w14:textFill>
        </w:rPr>
        <w:t>°，如图3所示。识别标志“</w:t>
      </w:r>
      <w:r>
        <w:rPr>
          <w:color w:val="000000" w:themeColor="text1"/>
          <w14:textFill>
            <w14:solidFill>
              <w14:schemeClr w14:val="tx1"/>
            </w14:solidFill>
          </w14:textFill>
        </w:rPr>
        <w:t>V</w:t>
      </w:r>
      <w:r>
        <w:rPr>
          <w:rFonts w:hint="eastAsia"/>
          <w:color w:val="000000" w:themeColor="text1"/>
          <w14:textFill>
            <w14:solidFill>
              <w14:schemeClr w14:val="tx1"/>
            </w14:solidFill>
          </w14:textFill>
        </w:rPr>
        <w:t>”的开口方向宜与起降场/起降点衔接的低空航路/航线着陆运行方向一致</w:t>
      </w:r>
      <w:r>
        <w:rPr>
          <w:color w:val="000000" w:themeColor="text1"/>
          <w14:textFill>
            <w14:solidFill>
              <w14:schemeClr w14:val="tx1"/>
            </w14:solidFill>
          </w14:textFill>
        </w:rPr>
        <w:t>。</w:t>
      </w:r>
    </w:p>
    <w:p w14:paraId="7C8F1F5B">
      <w:pPr>
        <w:pStyle w:val="62"/>
        <w:keepNext/>
        <w:widowControl w:val="0"/>
        <w:ind w:firstLine="0" w:firstLineChars="0"/>
        <w:jc w:val="center"/>
      </w:pPr>
      <w:r>
        <w:rPr>
          <w:rFonts w:hint="eastAsia"/>
          <w:color w:val="000000" w:themeColor="text1"/>
          <w14:textFill>
            <w14:solidFill>
              <w14:schemeClr w14:val="tx1"/>
            </w14:solidFill>
          </w14:textFill>
        </w:rPr>
        <w:drawing>
          <wp:inline distT="0" distB="0" distL="0" distR="0">
            <wp:extent cx="1786890" cy="1007745"/>
            <wp:effectExtent l="0" t="0" r="3810" b="1905"/>
            <wp:docPr id="10600240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24067" name="Picture 8"/>
                    <pic:cNvPicPr>
                      <a:picLocks noChangeAspect="1"/>
                    </pic:cNvPicPr>
                  </pic:nvPicPr>
                  <pic:blipFill>
                    <a:blip r:embed="rId19"/>
                    <a:stretch>
                      <a:fillRect/>
                    </a:stretch>
                  </pic:blipFill>
                  <pic:spPr>
                    <a:xfrm>
                      <a:off x="0" y="0"/>
                      <a:ext cx="1787494" cy="1008000"/>
                    </a:xfrm>
                    <a:prstGeom prst="rect">
                      <a:avLst/>
                    </a:prstGeom>
                  </pic:spPr>
                </pic:pic>
              </a:graphicData>
            </a:graphic>
          </wp:inline>
        </w:drawing>
      </w:r>
    </w:p>
    <w:p w14:paraId="45912D7E">
      <w:pPr>
        <w:pStyle w:val="13"/>
        <w:spacing w:after="156" w:afterLines="50"/>
        <w:jc w:val="center"/>
      </w:pPr>
    </w:p>
    <w:p w14:paraId="33125D16">
      <w:pPr>
        <w:pStyle w:val="120"/>
        <w:spacing w:before="156" w:after="156"/>
      </w:pPr>
      <w:r>
        <w:rPr>
          <w:rFonts w:hint="eastAsia"/>
        </w:rPr>
        <w:t>起降单元识别标志示意图</w:t>
      </w:r>
    </w:p>
    <w:p w14:paraId="19E4C9F0">
      <w:pPr>
        <w:pStyle w:val="62"/>
        <w:widowControl w:val="0"/>
        <w:spacing w:before="156" w:beforeLines="50" w:after="156" w:afterLines="50"/>
        <w:ind w:firstLine="0" w:firstLineChars="0"/>
        <w:outlineLvl w:val="3"/>
      </w:pPr>
      <w:r>
        <w:rPr>
          <w:rFonts w:hint="eastAsia" w:ascii="黑体" w:hAnsi="黑体" w:eastAsia="黑体"/>
          <w:color w:val="000000" w:themeColor="text1"/>
          <w14:textFill>
            <w14:solidFill>
              <w14:schemeClr w14:val="tx1"/>
            </w14:solidFill>
          </w14:textFill>
        </w:rPr>
        <w:t>8.2.6.3</w:t>
      </w:r>
      <w:r>
        <w:rPr>
          <w:rFonts w:hint="eastAsia" w:ascii="黑体" w:hAnsi="黑体" w:eastAsia="黑体"/>
          <w:color w:val="000000" w:themeColor="text1"/>
          <w14:textFill>
            <w14:solidFill>
              <w14:schemeClr w14:val="tx1"/>
            </w14:solidFill>
          </w14:textFill>
        </w:rPr>
        <w:tab/>
      </w:r>
      <w:r>
        <w:t>TLOF边界标志应采用连续的白色实线，线宽不</w:t>
      </w:r>
      <w:r>
        <w:rPr>
          <w:rFonts w:hint="eastAsia"/>
        </w:rPr>
        <w:t>宜小</w:t>
      </w:r>
      <w:r>
        <w:t>于</w:t>
      </w:r>
      <w:r>
        <w:rPr>
          <w:rFonts w:hint="eastAsia"/>
        </w:rPr>
        <w:t>0.3米，如图4和图5所示</w:t>
      </w:r>
      <w:r>
        <w:t>。当白色</w:t>
      </w:r>
      <w:r>
        <w:rPr>
          <w:rFonts w:hint="eastAsia"/>
        </w:rPr>
        <w:t>实线标志</w:t>
      </w:r>
      <w:r>
        <w:t>与地面颜色对比不明显时，可用</w:t>
      </w:r>
      <w:r>
        <w:rPr>
          <w:rFonts w:hint="eastAsia"/>
        </w:rPr>
        <w:t>0.1米</w:t>
      </w:r>
      <w:r>
        <w:t>宽黑</w:t>
      </w:r>
      <w:r>
        <w:rPr>
          <w:rFonts w:hint="eastAsia"/>
        </w:rPr>
        <w:t>色实</w:t>
      </w:r>
      <w:r>
        <w:t>线勾勒出边缘增加辨识度。</w:t>
      </w:r>
    </w:p>
    <w:p w14:paraId="5180EE5E">
      <w:pPr>
        <w:pStyle w:val="62"/>
        <w:keepNext/>
        <w:widowControl w:val="0"/>
        <w:ind w:left="1418" w:firstLine="0" w:firstLineChars="0"/>
        <w:jc w:val="center"/>
      </w:pPr>
      <w:r>
        <w:rPr>
          <w:rFonts w:hint="eastAsia"/>
          <w:color w:val="000000" w:themeColor="text1"/>
          <w14:textFill>
            <w14:solidFill>
              <w14:schemeClr w14:val="tx1"/>
            </w14:solidFill>
          </w14:textFill>
        </w:rPr>
        <w:drawing>
          <wp:inline distT="0" distB="0" distL="0" distR="0">
            <wp:extent cx="4062730" cy="2159635"/>
            <wp:effectExtent l="0" t="0" r="0" b="0"/>
            <wp:docPr id="18981378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37859" name="Picture 9"/>
                    <pic:cNvPicPr>
                      <a:picLocks noChangeAspect="1"/>
                    </pic:cNvPicPr>
                  </pic:nvPicPr>
                  <pic:blipFill>
                    <a:blip r:embed="rId20"/>
                    <a:stretch>
                      <a:fillRect/>
                    </a:stretch>
                  </pic:blipFill>
                  <pic:spPr>
                    <a:xfrm>
                      <a:off x="0" y="0"/>
                      <a:ext cx="4063005" cy="2160000"/>
                    </a:xfrm>
                    <a:prstGeom prst="rect">
                      <a:avLst/>
                    </a:prstGeom>
                  </pic:spPr>
                </pic:pic>
              </a:graphicData>
            </a:graphic>
          </wp:inline>
        </w:drawing>
      </w:r>
    </w:p>
    <w:p w14:paraId="6C590120">
      <w:pPr>
        <w:pStyle w:val="120"/>
        <w:spacing w:before="156" w:after="156"/>
      </w:pPr>
      <w:bookmarkStart w:id="640" w:name="OLE_LINK10"/>
      <w:bookmarkStart w:id="641" w:name="OLE_LINK11"/>
      <w:r>
        <w:rPr>
          <w:rFonts w:hint="eastAsia"/>
        </w:rPr>
        <w:t>T</w:t>
      </w:r>
      <w:r>
        <w:t>LOF</w:t>
      </w:r>
      <w:r>
        <w:rPr>
          <w:rFonts w:hint="eastAsia"/>
        </w:rPr>
        <w:t>和</w:t>
      </w:r>
      <w:r>
        <w:t>SA</w:t>
      </w:r>
      <w:r>
        <w:rPr>
          <w:rFonts w:hint="eastAsia"/>
        </w:rPr>
        <w:t>标志示意图（T</w:t>
      </w:r>
      <w:r>
        <w:t>LOF</w:t>
      </w:r>
      <w:r>
        <w:rPr>
          <w:rFonts w:hint="eastAsia"/>
        </w:rPr>
        <w:t>和S</w:t>
      </w:r>
      <w:r>
        <w:t>A</w:t>
      </w:r>
      <w:r>
        <w:rPr>
          <w:rFonts w:hint="eastAsia"/>
        </w:rPr>
        <w:t>为圆形时）</w:t>
      </w:r>
    </w:p>
    <w:bookmarkEnd w:id="640"/>
    <w:bookmarkEnd w:id="641"/>
    <w:p w14:paraId="357A34A8">
      <w:pPr>
        <w:pStyle w:val="62"/>
        <w:keepNext/>
        <w:widowControl w:val="0"/>
        <w:ind w:left="1418" w:firstLine="0" w:firstLineChars="0"/>
        <w:jc w:val="center"/>
      </w:pPr>
      <w:r>
        <w:rPr>
          <w:rFonts w:hint="eastAsia"/>
          <w:color w:val="000000" w:themeColor="text1"/>
          <w14:textFill>
            <w14:solidFill>
              <w14:schemeClr w14:val="tx1"/>
            </w14:solidFill>
          </w14:textFill>
        </w:rPr>
        <w:drawing>
          <wp:inline distT="0" distB="0" distL="0" distR="0">
            <wp:extent cx="4039870" cy="2159635"/>
            <wp:effectExtent l="0" t="0" r="0" b="0"/>
            <wp:docPr id="238802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0208" name="Picture 10"/>
                    <pic:cNvPicPr>
                      <a:picLocks noChangeAspect="1"/>
                    </pic:cNvPicPr>
                  </pic:nvPicPr>
                  <pic:blipFill>
                    <a:blip r:embed="rId21"/>
                    <a:stretch>
                      <a:fillRect/>
                    </a:stretch>
                  </pic:blipFill>
                  <pic:spPr>
                    <a:xfrm>
                      <a:off x="0" y="0"/>
                      <a:ext cx="4040370" cy="2160000"/>
                    </a:xfrm>
                    <a:prstGeom prst="rect">
                      <a:avLst/>
                    </a:prstGeom>
                  </pic:spPr>
                </pic:pic>
              </a:graphicData>
            </a:graphic>
          </wp:inline>
        </w:drawing>
      </w:r>
    </w:p>
    <w:p w14:paraId="1D22B6B7">
      <w:pPr>
        <w:pStyle w:val="120"/>
        <w:spacing w:before="156" w:after="156"/>
      </w:pPr>
      <w:bookmarkStart w:id="642" w:name="OLE_LINK12"/>
      <w:bookmarkStart w:id="643" w:name="OLE_LINK13"/>
      <w:r>
        <w:rPr>
          <w:rFonts w:hint="eastAsia"/>
        </w:rPr>
        <w:t>T</w:t>
      </w:r>
      <w:r>
        <w:t>LOF</w:t>
      </w:r>
      <w:r>
        <w:rPr>
          <w:rFonts w:hint="eastAsia"/>
        </w:rPr>
        <w:t>和</w:t>
      </w:r>
      <w:r>
        <w:t>SA</w:t>
      </w:r>
      <w:r>
        <w:rPr>
          <w:rFonts w:hint="eastAsia"/>
        </w:rPr>
        <w:t>标志示意图（T</w:t>
      </w:r>
      <w:r>
        <w:t>LOF</w:t>
      </w:r>
      <w:r>
        <w:rPr>
          <w:rFonts w:hint="eastAsia"/>
        </w:rPr>
        <w:t>和S</w:t>
      </w:r>
      <w:r>
        <w:t>A</w:t>
      </w:r>
      <w:r>
        <w:rPr>
          <w:rFonts w:hint="eastAsia"/>
        </w:rPr>
        <w:t>为正方形时）</w:t>
      </w:r>
    </w:p>
    <w:bookmarkEnd w:id="642"/>
    <w:bookmarkEnd w:id="643"/>
    <w:p w14:paraId="7923B4FB">
      <w:pPr>
        <w:pStyle w:val="62"/>
        <w:widowControl w:val="0"/>
        <w:ind w:firstLine="0" w:firstLineChars="0"/>
        <w:outlineLvl w:val="3"/>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8.2.6.4</w:t>
      </w:r>
      <w:r>
        <w:rPr>
          <w:rFonts w:hint="eastAsia" w:ascii="黑体" w:hAnsi="黑体" w:eastAsia="黑体"/>
          <w:color w:val="000000" w:themeColor="text1"/>
          <w14:textFill>
            <w14:solidFill>
              <w14:schemeClr w14:val="tx1"/>
            </w14:solidFill>
          </w14:textFill>
        </w:rPr>
        <w:tab/>
      </w:r>
      <w:r>
        <w:rPr>
          <w:rFonts w:hint="eastAsia" w:hAnsi="宋体"/>
          <w:color w:val="000000" w:themeColor="text1"/>
          <w14:textFill>
            <w14:solidFill>
              <w14:schemeClr w14:val="tx1"/>
            </w14:solidFill>
          </w14:textFill>
        </w:rPr>
        <w:t>若</w:t>
      </w:r>
      <w:r>
        <w:rPr>
          <w:rFonts w:hint="eastAsia"/>
          <w:color w:val="000000" w:themeColor="text1"/>
          <w14:textFill>
            <w14:solidFill>
              <w14:schemeClr w14:val="tx1"/>
            </w14:solidFill>
          </w14:textFill>
        </w:rPr>
        <w:t>SA为实体，其边界标志应采用白色虚线，线段宽度和长度宜分别为0.3米和1.5米，相邻线段间隔应适当。若SA为矩形，应确保矩形的4个角点均被标出、不受虚线段间隔的影响，如图4和图5所示。</w:t>
      </w:r>
    </w:p>
    <w:p w14:paraId="69E2F53F">
      <w:pPr>
        <w:pStyle w:val="62"/>
        <w:widowControl w:val="0"/>
        <w:ind w:firstLine="0" w:firstLineChars="0"/>
        <w:outlineLvl w:val="3"/>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8.2.6.5</w:t>
      </w:r>
      <w:r>
        <w:rPr>
          <w:rFonts w:hint="eastAsia" w:ascii="黑体" w:hAnsi="黑体" w:eastAsia="黑体"/>
          <w:color w:val="000000" w:themeColor="text1"/>
          <w14:textFill>
            <w14:solidFill>
              <w14:schemeClr w14:val="tx1"/>
            </w14:solidFill>
          </w14:textFill>
        </w:rPr>
        <w:tab/>
      </w:r>
      <w:r>
        <w:rPr>
          <w:color w:val="000000" w:themeColor="text1"/>
          <w14:textFill>
            <w14:solidFill>
              <w14:schemeClr w14:val="tx1"/>
            </w14:solidFill>
          </w14:textFill>
        </w:rPr>
        <w:t>起降</w:t>
      </w:r>
      <w:r>
        <w:rPr>
          <w:rFonts w:hint="eastAsia"/>
          <w:color w:val="000000" w:themeColor="text1"/>
          <w14:textFill>
            <w14:solidFill>
              <w14:schemeClr w14:val="tx1"/>
            </w14:solidFill>
          </w14:textFill>
        </w:rPr>
        <w:t>单元</w:t>
      </w:r>
      <w:r>
        <w:rPr>
          <w:color w:val="000000" w:themeColor="text1"/>
          <w14:textFill>
            <w14:solidFill>
              <w14:schemeClr w14:val="tx1"/>
            </w14:solidFill>
          </w14:textFill>
        </w:rPr>
        <w:t>应设置D值标志，位于TLOF内或TLOF边界标志上，</w:t>
      </w:r>
      <w:r>
        <w:rPr>
          <w:rFonts w:hint="eastAsia"/>
          <w:color w:val="000000" w:themeColor="text1"/>
          <w14:textFill>
            <w14:solidFill>
              <w14:schemeClr w14:val="tx1"/>
            </w14:solidFill>
          </w14:textFill>
        </w:rPr>
        <w:t>应</w:t>
      </w:r>
      <w:r>
        <w:rPr>
          <w:color w:val="000000" w:themeColor="text1"/>
          <w14:textFill>
            <w14:solidFill>
              <w14:schemeClr w14:val="tx1"/>
            </w14:solidFill>
          </w14:textFill>
        </w:rPr>
        <w:t>能从与</w:t>
      </w:r>
      <w:r>
        <w:rPr>
          <w:rFonts w:hint="eastAsia"/>
          <w:color w:val="000000" w:themeColor="text1"/>
          <w14:textFill>
            <w14:solidFill>
              <w14:schemeClr w14:val="tx1"/>
            </w14:solidFill>
          </w14:textFill>
        </w:rPr>
        <w:t>起降场/起降点衔接的低空航路/航线着陆运行方向</w:t>
      </w:r>
      <w:r>
        <w:rPr>
          <w:color w:val="000000" w:themeColor="text1"/>
          <w14:textFill>
            <w14:solidFill>
              <w14:schemeClr w14:val="tx1"/>
            </w14:solidFill>
          </w14:textFill>
        </w:rPr>
        <w:t>识别</w:t>
      </w:r>
      <w:r>
        <w:rPr>
          <w:rFonts w:hint="eastAsia"/>
          <w:color w:val="000000" w:themeColor="text1"/>
          <w14:textFill>
            <w14:solidFill>
              <w14:schemeClr w14:val="tx1"/>
            </w14:solidFill>
          </w14:textFill>
        </w:rPr>
        <w:t>，如图4和图5所示</w:t>
      </w:r>
      <w:r>
        <w:rPr>
          <w:color w:val="000000" w:themeColor="text1"/>
          <w14:textFill>
            <w14:solidFill>
              <w14:schemeClr w14:val="tx1"/>
            </w14:solidFill>
          </w14:textFill>
        </w:rPr>
        <w:t>。D值标志为整数数字，以米为单位，按设预计</w:t>
      </w:r>
      <w:r>
        <w:rPr>
          <w:rFonts w:hint="eastAsia"/>
          <w:color w:val="000000" w:themeColor="text1"/>
          <w14:textFill>
            <w14:solidFill>
              <w14:schemeClr w14:val="tx1"/>
            </w14:solidFill>
          </w14:textFill>
        </w:rPr>
        <w:t>运行航空器</w:t>
      </w:r>
      <w:r>
        <w:rPr>
          <w:color w:val="000000" w:themeColor="text1"/>
          <w14:textFill>
            <w14:solidFill>
              <w14:schemeClr w14:val="tx1"/>
            </w14:solidFill>
          </w14:textFill>
        </w:rPr>
        <w:t>的最大D值五舍六入取整。</w:t>
      </w:r>
    </w:p>
    <w:p w14:paraId="42E759AA">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8.2.6.6</w:t>
      </w:r>
      <w:r>
        <w:rPr>
          <w:rFonts w:hint="eastAsia" w:ascii="黑体" w:hAnsi="黑体" w:eastAsia="黑体"/>
          <w:color w:val="000000" w:themeColor="text1"/>
          <w14:textFill>
            <w14:solidFill>
              <w14:schemeClr w14:val="tx1"/>
            </w14:solidFill>
          </w14:textFill>
        </w:rPr>
        <w:tab/>
      </w:r>
      <w:r>
        <w:rPr>
          <w:rFonts w:hint="eastAsia"/>
        </w:rPr>
        <w:t>起降单元应设置最大允许质量标志，位于SA或TLOF内。最大允许质量标志应由数字及后随的字母“</w:t>
      </w:r>
      <w:r>
        <w:t>t</w:t>
      </w:r>
      <w:r>
        <w:rPr>
          <w:rFonts w:hint="eastAsia"/>
        </w:rPr>
        <w:t>”组成，表示以吨计的预计运行航空器的最大允许起飞质量，如图4和图5所示。</w:t>
      </w:r>
    </w:p>
    <w:p w14:paraId="40679830">
      <w:pPr>
        <w:pStyle w:val="62"/>
        <w:widowControl w:val="0"/>
        <w:ind w:firstLine="0" w:firstLineChars="0"/>
        <w:outlineLvl w:val="3"/>
        <w:rPr>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8.2.6.7</w:t>
      </w:r>
      <w:r>
        <w:rPr>
          <w:rFonts w:hint="eastAsia" w:ascii="黑体" w:hAnsi="黑体" w:eastAsia="黑体"/>
          <w:color w:val="000000" w:themeColor="text1"/>
          <w14:textFill>
            <w14:solidFill>
              <w14:schemeClr w14:val="tx1"/>
            </w14:solidFill>
          </w14:textFill>
        </w:rPr>
        <w:tab/>
      </w:r>
      <w:r>
        <w:rPr>
          <w:color w:val="000000" w:themeColor="text1"/>
          <w14:textFill>
            <w14:solidFill>
              <w14:schemeClr w14:val="tx1"/>
            </w14:solidFill>
          </w14:textFill>
        </w:rPr>
        <w:t>起降</w:t>
      </w:r>
      <w:r>
        <w:rPr>
          <w:rFonts w:hint="eastAsia"/>
          <w:color w:val="000000" w:themeColor="text1"/>
          <w14:textFill>
            <w14:solidFill>
              <w14:schemeClr w14:val="tx1"/>
            </w14:solidFill>
          </w14:textFill>
        </w:rPr>
        <w:t>单元</w:t>
      </w:r>
      <w:r>
        <w:rPr>
          <w:color w:val="000000" w:themeColor="text1"/>
          <w14:textFill>
            <w14:solidFill>
              <w14:schemeClr w14:val="tx1"/>
            </w14:solidFill>
          </w14:textFill>
        </w:rPr>
        <w:t>宜在</w:t>
      </w:r>
      <w:r>
        <w:rPr>
          <w:rFonts w:hint="eastAsia"/>
          <w:color w:val="000000" w:themeColor="text1"/>
          <w14:textFill>
            <w14:solidFill>
              <w14:schemeClr w14:val="tx1"/>
            </w14:solidFill>
          </w14:textFill>
        </w:rPr>
        <w:t>SA</w:t>
      </w:r>
      <w:r>
        <w:rPr>
          <w:color w:val="000000" w:themeColor="text1"/>
          <w14:textFill>
            <w14:solidFill>
              <w14:schemeClr w14:val="tx1"/>
            </w14:solidFill>
          </w14:textFill>
        </w:rPr>
        <w:t>或TLOF内设置名称标志，</w:t>
      </w:r>
      <w:r>
        <w:rPr>
          <w:rFonts w:hint="eastAsia"/>
          <w:color w:val="000000" w:themeColor="text1"/>
          <w14:textFill>
            <w14:solidFill>
              <w14:schemeClr w14:val="tx1"/>
            </w14:solidFill>
          </w14:textFill>
        </w:rPr>
        <w:t>如图4和图5所示</w:t>
      </w:r>
      <w:r>
        <w:rPr>
          <w:color w:val="000000" w:themeColor="text1"/>
          <w14:textFill>
            <w14:solidFill>
              <w14:schemeClr w14:val="tx1"/>
            </w14:solidFill>
          </w14:textFill>
        </w:rPr>
        <w:t>。</w:t>
      </w:r>
    </w:p>
    <w:p w14:paraId="63BD722E">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8.2.6.8</w:t>
      </w:r>
      <w:r>
        <w:rPr>
          <w:rFonts w:hint="eastAsia" w:ascii="黑体" w:hAnsi="黑体" w:eastAsia="黑体"/>
          <w:color w:val="000000" w:themeColor="text1"/>
          <w14:textFill>
            <w14:solidFill>
              <w14:schemeClr w14:val="tx1"/>
            </w14:solidFill>
          </w14:textFill>
        </w:rPr>
        <w:tab/>
      </w:r>
      <w:r>
        <w:rPr>
          <w:rFonts w:hint="eastAsia"/>
        </w:rPr>
        <w:t>供夜间使用的起降单元，应设置</w:t>
      </w:r>
      <w:r>
        <w:t>发</w:t>
      </w:r>
      <w:r>
        <w:rPr>
          <w:rFonts w:hint="eastAsia"/>
        </w:rPr>
        <w:t>恒定</w:t>
      </w:r>
      <w:r>
        <w:t>绿色光的固定式全向灯</w:t>
      </w:r>
      <w:r>
        <w:rPr>
          <w:rFonts w:hint="eastAsia"/>
        </w:rPr>
        <w:t>作为TLOF边界灯。</w:t>
      </w:r>
      <w:r>
        <w:t>TLOF</w:t>
      </w:r>
      <w:r>
        <w:rPr>
          <w:rFonts w:hint="eastAsia"/>
        </w:rPr>
        <w:t>边界</w:t>
      </w:r>
      <w:r>
        <w:t>灯应沿TLOF边线外侧或在距边线外侧不超过1</w:t>
      </w:r>
      <w:r>
        <w:rPr>
          <w:rFonts w:hint="eastAsia"/>
        </w:rPr>
        <w:t>米</w:t>
      </w:r>
      <w:r>
        <w:t>范围内设置</w:t>
      </w:r>
      <w:r>
        <w:rPr>
          <w:rFonts w:hint="eastAsia"/>
        </w:rPr>
        <w:t>，灯的</w:t>
      </w:r>
      <w:r>
        <w:t>间距不</w:t>
      </w:r>
      <w:r>
        <w:rPr>
          <w:rFonts w:hint="eastAsia"/>
        </w:rPr>
        <w:t>应</w:t>
      </w:r>
      <w:r>
        <w:t>大于5</w:t>
      </w:r>
      <w:r>
        <w:rPr>
          <w:rFonts w:hint="eastAsia"/>
        </w:rPr>
        <w:t>米</w:t>
      </w:r>
      <w:r>
        <w:t>。</w:t>
      </w:r>
      <w:r>
        <w:rPr>
          <w:rFonts w:hint="eastAsia"/>
        </w:rPr>
        <w:t>立式灯具应符合易折性要求、且不突破TLOF的障碍物限制要求，嵌入式灯具的承载力应满足使用要求。如图6和图7所示。</w:t>
      </w:r>
    </w:p>
    <w:p w14:paraId="0005EF69">
      <w:pPr>
        <w:pStyle w:val="62"/>
        <w:keepNext/>
        <w:widowControl w:val="0"/>
        <w:spacing w:before="156" w:beforeLines="50" w:after="156" w:afterLines="50"/>
        <w:ind w:firstLine="0" w:firstLineChars="0"/>
        <w:jc w:val="center"/>
      </w:pPr>
      <w:r>
        <w:rPr>
          <w:rFonts w:hint="eastAsia"/>
        </w:rPr>
        <w:drawing>
          <wp:inline distT="0" distB="0" distL="0" distR="0">
            <wp:extent cx="2159635" cy="2159635"/>
            <wp:effectExtent l="0" t="0" r="0" b="0"/>
            <wp:docPr id="19770980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98061" name="图片 3"/>
                    <pic:cNvPicPr>
                      <a:picLocks noChangeAspect="1"/>
                    </pic:cNvPicPr>
                  </pic:nvPicPr>
                  <pic:blipFill>
                    <a:blip r:embed="rId22"/>
                    <a:stretch>
                      <a:fillRect/>
                    </a:stretch>
                  </pic:blipFill>
                  <pic:spPr>
                    <a:xfrm>
                      <a:off x="0" y="0"/>
                      <a:ext cx="2160000" cy="2160000"/>
                    </a:xfrm>
                    <a:prstGeom prst="rect">
                      <a:avLst/>
                    </a:prstGeom>
                  </pic:spPr>
                </pic:pic>
              </a:graphicData>
            </a:graphic>
          </wp:inline>
        </w:drawing>
      </w:r>
    </w:p>
    <w:p w14:paraId="01F3F9A2">
      <w:pPr>
        <w:pStyle w:val="120"/>
        <w:spacing w:before="156" w:after="156"/>
      </w:pPr>
      <w:r>
        <w:rPr>
          <w:rFonts w:hint="eastAsia"/>
        </w:rPr>
        <w:t>起降单元灯光示意图（T</w:t>
      </w:r>
      <w:r>
        <w:t>LOF</w:t>
      </w:r>
      <w:r>
        <w:rPr>
          <w:rFonts w:hint="eastAsia"/>
        </w:rPr>
        <w:t>和S</w:t>
      </w:r>
      <w:r>
        <w:t>A</w:t>
      </w:r>
      <w:r>
        <w:rPr>
          <w:rFonts w:hint="eastAsia"/>
        </w:rPr>
        <w:t>为圆形时）</w:t>
      </w:r>
    </w:p>
    <w:p w14:paraId="2E7239F2">
      <w:pPr>
        <w:keepNext/>
        <w:spacing w:line="240" w:lineRule="auto"/>
        <w:jc w:val="center"/>
      </w:pPr>
      <w:r>
        <w:rPr>
          <w:rFonts w:hint="eastAsia"/>
        </w:rPr>
        <w:drawing>
          <wp:inline distT="0" distB="0" distL="0" distR="0">
            <wp:extent cx="2159635" cy="2159635"/>
            <wp:effectExtent l="0" t="0" r="0" b="0"/>
            <wp:docPr id="467962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96218" name="图片 4"/>
                    <pic:cNvPicPr>
                      <a:picLocks noChangeAspect="1"/>
                    </pic:cNvPicPr>
                  </pic:nvPicPr>
                  <pic:blipFill>
                    <a:blip r:embed="rId23"/>
                    <a:stretch>
                      <a:fillRect/>
                    </a:stretch>
                  </pic:blipFill>
                  <pic:spPr>
                    <a:xfrm>
                      <a:off x="0" y="0"/>
                      <a:ext cx="2160000" cy="2160000"/>
                    </a:xfrm>
                    <a:prstGeom prst="rect">
                      <a:avLst/>
                    </a:prstGeom>
                  </pic:spPr>
                </pic:pic>
              </a:graphicData>
            </a:graphic>
          </wp:inline>
        </w:drawing>
      </w:r>
    </w:p>
    <w:p w14:paraId="5B0BF563">
      <w:pPr>
        <w:pStyle w:val="120"/>
        <w:spacing w:before="156" w:after="156"/>
      </w:pPr>
      <w:r>
        <w:rPr>
          <w:rFonts w:hint="eastAsia"/>
        </w:rPr>
        <w:t>起降单元灯光示意图（TLOF和SA为正方形时）</w:t>
      </w:r>
    </w:p>
    <w:p w14:paraId="1EA62A24">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8.2.6.9</w:t>
      </w:r>
      <w:r>
        <w:rPr>
          <w:rFonts w:hint="eastAsia" w:ascii="黑体" w:hAnsi="黑体" w:eastAsia="黑体"/>
          <w:color w:val="000000" w:themeColor="text1"/>
          <w14:textFill>
            <w14:solidFill>
              <w14:schemeClr w14:val="tx1"/>
            </w14:solidFill>
          </w14:textFill>
        </w:rPr>
        <w:tab/>
      </w:r>
      <w:r>
        <w:rPr>
          <w:rFonts w:hint="eastAsia" w:hAnsi="宋体"/>
          <w:color w:val="000000" w:themeColor="text1"/>
          <w14:textFill>
            <w14:solidFill>
              <w14:schemeClr w14:val="tx1"/>
            </w14:solidFill>
          </w14:textFill>
        </w:rPr>
        <w:t>在已设置</w:t>
      </w:r>
      <w:r>
        <w:rPr>
          <w:rFonts w:hint="eastAsia"/>
        </w:rPr>
        <w:t>TLOF边界灯的情况下，若SA为实体，应设置发恒定白色光的固定式全向灯作为SA边界灯。SA边界灯应沿SA边线外侧设置，且间隔均匀。若SA为矩形，每边应设置不少于4个灯，其中包括每个拐角处的1个灯。如图6和图7所示。</w:t>
      </w:r>
    </w:p>
    <w:p w14:paraId="403F7F37">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8.2.6.10</w:t>
      </w:r>
      <w:r>
        <w:rPr>
          <w:rFonts w:ascii="黑体" w:hAnsi="黑体" w:eastAsia="黑体"/>
          <w:color w:val="000000" w:themeColor="text1"/>
          <w14:textFill>
            <w14:solidFill>
              <w14:schemeClr w14:val="tx1"/>
            </w14:solidFill>
          </w14:textFill>
        </w:rPr>
        <w:t xml:space="preserve"> </w:t>
      </w:r>
      <w:r>
        <w:t>下洗流和外洗流保护区域</w:t>
      </w:r>
      <w:r>
        <w:rPr>
          <w:rFonts w:hint="eastAsia"/>
        </w:rPr>
        <w:t>（若设置）</w:t>
      </w:r>
      <w:r>
        <w:t>的边界应</w:t>
      </w:r>
      <w:r>
        <w:rPr>
          <w:rFonts w:hint="eastAsia"/>
        </w:rPr>
        <w:t>有</w:t>
      </w:r>
      <w:r>
        <w:t>醒目的警示标识，标识内容应明确提示气流危险区域的范围和进入限制。</w:t>
      </w:r>
    </w:p>
    <w:p w14:paraId="6791A698">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专用设施设备配置</w:t>
      </w:r>
    </w:p>
    <w:p w14:paraId="4FF9B9BE">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一般要求</w:t>
      </w:r>
    </w:p>
    <w:p w14:paraId="28CC0D18">
      <w:pPr>
        <w:pStyle w:val="62"/>
        <w:widowControl w:val="0"/>
        <w:ind w:firstLine="420"/>
      </w:pP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应根据其预计</w:t>
      </w:r>
      <w:r>
        <w:rPr>
          <w:rFonts w:hint="eastAsia"/>
        </w:rPr>
        <w:t>运行</w:t>
      </w:r>
      <w:r>
        <w:t>航空器类型</w:t>
      </w:r>
      <w:r>
        <w:rPr>
          <w:rFonts w:hint="eastAsia"/>
        </w:rPr>
        <w:t>、</w:t>
      </w:r>
      <w:r>
        <w:t>运行规模及运营需求，配置相应的专用设施与设备，包括通信导航监视设施、气象设施、反制与安全设施、能源补给设施、排水与防雷设施、消防与应急设施等。专用设施与设备的设计、选型、安装和维护应符合国家现行有关标准和规范的规定，并应满足安全、可靠、经济、适用的要求。</w:t>
      </w:r>
    </w:p>
    <w:p w14:paraId="60A6FA7D">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通信导航监视设施</w:t>
      </w:r>
    </w:p>
    <w:p w14:paraId="7AA86F86">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8.3.2.1</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应配置与运行需求相适应的通信设备，确保</w:t>
      </w:r>
      <w:r>
        <w:rPr>
          <w:rFonts w:hint="eastAsia"/>
        </w:rPr>
        <w:t>低空垂直起降</w:t>
      </w:r>
      <w:r>
        <w:t>航空器与地面之间的有效通信。通信设施应满足航空无线电通信频段和技术要求，保障空地通信链路的稳定可靠。</w:t>
      </w:r>
    </w:p>
    <w:p w14:paraId="2ACB6616">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8.3.2.2</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宜配置导航设施，为航空器起降提供导航引导。导航设施可根据运行需求配置仪表进近设备、区域导航设备等。</w:t>
      </w:r>
    </w:p>
    <w:p w14:paraId="58181DF3">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8.3.2.3</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宜配置监视设备，对起降场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周边空域的飞行和运营安全进行态势监视。监视设备应能覆盖起降场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周边规定的空域范围，实现对</w:t>
      </w:r>
      <w:r>
        <w:rPr>
          <w:rFonts w:hint="eastAsia"/>
        </w:rPr>
        <w:t>航空器</w:t>
      </w:r>
      <w:r>
        <w:t>的识别、定位和跟踪。</w:t>
      </w:r>
    </w:p>
    <w:p w14:paraId="13B982B9">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8.3.2.4</w:t>
      </w:r>
      <w:r>
        <w:rPr>
          <w:rFonts w:hint="eastAsia" w:ascii="黑体" w:hAnsi="黑体" w:eastAsia="黑体"/>
          <w:color w:val="000000" w:themeColor="text1"/>
          <w14:textFill>
            <w14:solidFill>
              <w14:schemeClr w14:val="tx1"/>
            </w14:solidFill>
          </w14:textFill>
        </w:rPr>
        <w:tab/>
      </w:r>
      <w:r>
        <w:t>一级</w:t>
      </w:r>
      <w:r>
        <w:rPr>
          <w:rFonts w:hint="eastAsia"/>
        </w:rPr>
        <w:t>低空垂直</w:t>
      </w:r>
      <w:r>
        <w:t>起降</w:t>
      </w:r>
      <w:r>
        <w:rPr>
          <w:rFonts w:hint="eastAsia"/>
        </w:rPr>
        <w:t>设施</w:t>
      </w:r>
      <w:r>
        <w:t>宜配置</w:t>
      </w:r>
      <w:r>
        <w:rPr>
          <w:rFonts w:hint="eastAsia"/>
        </w:rPr>
        <w:t>远程身份识别设备</w:t>
      </w:r>
      <w:r>
        <w:t>，对周边空域内的</w:t>
      </w:r>
      <w:r>
        <w:rPr>
          <w:rFonts w:hint="eastAsia"/>
        </w:rPr>
        <w:t>低空航空器</w:t>
      </w:r>
      <w:r>
        <w:t>进行识别。</w:t>
      </w:r>
    </w:p>
    <w:p w14:paraId="189D6B2C">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气象设施</w:t>
      </w:r>
    </w:p>
    <w:p w14:paraId="74D39D36">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8.3.3.1</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应至少设置一个风向标，应能明确指示风向，并可大致指示风速。风向标不</w:t>
      </w:r>
      <w:r>
        <w:rPr>
          <w:rFonts w:hint="eastAsia"/>
        </w:rPr>
        <w:t>应</w:t>
      </w:r>
      <w:r>
        <w:t>受附近物体或</w:t>
      </w:r>
      <w:r>
        <w:rPr>
          <w:rFonts w:hint="eastAsia"/>
        </w:rPr>
        <w:t>低空垂直起降航空器</w:t>
      </w:r>
      <w:r>
        <w:t>下洗流的影响</w:t>
      </w:r>
      <w:r>
        <w:rPr>
          <w:rFonts w:hint="eastAsia"/>
        </w:rPr>
        <w:t>，</w:t>
      </w:r>
      <w:r>
        <w:t>设置在</w:t>
      </w:r>
      <w:r>
        <w:rPr>
          <w:rFonts w:hint="eastAsia"/>
        </w:rPr>
        <w:t>起降场/起降点运营单位</w:t>
      </w:r>
      <w:r>
        <w:t>易于观察的位置。风向标宜选用橙色和白色</w:t>
      </w:r>
      <w:r>
        <w:rPr>
          <w:rFonts w:hint="eastAsia"/>
        </w:rPr>
        <w:t>相间，</w:t>
      </w:r>
      <w:r>
        <w:t>或者红色和白色</w:t>
      </w:r>
      <w:r>
        <w:rPr>
          <w:rFonts w:hint="eastAsia"/>
        </w:rPr>
        <w:t>相间</w:t>
      </w:r>
      <w:r>
        <w:t>的轻质纺织品做成截头圆锥形。</w:t>
      </w:r>
      <w:r>
        <w:rPr>
          <w:rFonts w:hint="eastAsia"/>
        </w:rPr>
        <w:t>风向标长度宜为2.4米，其圆锥大端直径宜为0.6米、小端直径宜为0.3米。</w:t>
      </w:r>
      <w:r>
        <w:t>风向标应具有照明功能以适应夜间或低能见度运行需求。</w:t>
      </w:r>
    </w:p>
    <w:p w14:paraId="75431188">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8.3.3.2</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宜根据运行需要设置气象仪，实时监测和记录风速、风向、能见度、气压、温度、湿度和雨量等气象要素。气象仪应设置在能代表</w:t>
      </w:r>
      <w:r>
        <w:rPr>
          <w:rFonts w:hint="eastAsia"/>
        </w:rPr>
        <w:t>起降单元</w:t>
      </w:r>
      <w:r>
        <w:t>区域气象条件的开阔位置，避免受附近建筑物和障碍物的影响。气象仪宜配置外部通信接口，能将气象数据接入到运营管理系统或空管信息系统。</w:t>
      </w:r>
    </w:p>
    <w:p w14:paraId="2904846C">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8.3.3.3</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宜设置雷电预警系统。针对远离中心城区、地形复杂或易受雷暴天气影响的起降场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，宜安装用于探测起降场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及周边空域电场强度变化、预测雷电活动的雷电预警系统。雷电预警系统的配置与建设宜符合GB/T 38121的相关要求。系统宜配置外部通讯接口，能够将雷电预警信息实时传输至运营管理系统或空管信息系统。</w:t>
      </w:r>
    </w:p>
    <w:p w14:paraId="719F2A58">
      <w:pPr>
        <w:pStyle w:val="71"/>
        <w:spacing w:before="156" w:after="156"/>
        <w:ind w:left="0"/>
        <w:rPr>
          <w:color w:val="000000" w:themeColor="text1"/>
          <w14:textFill>
            <w14:solidFill>
              <w14:schemeClr w14:val="tx1"/>
            </w14:solidFill>
          </w14:textFill>
        </w:rPr>
      </w:pPr>
      <w:r>
        <w:rPr>
          <w:rFonts w:hAnsi="黑体"/>
          <w:color w:val="000000" w:themeColor="text1"/>
          <w14:textFill>
            <w14:solidFill>
              <w14:schemeClr w14:val="tx1"/>
            </w14:solidFill>
          </w14:textFill>
        </w:rPr>
        <w:t>反制与安全</w:t>
      </w:r>
      <w:r>
        <w:rPr>
          <w:rFonts w:hint="eastAsia" w:hAnsi="黑体"/>
          <w:color w:val="000000" w:themeColor="text1"/>
          <w14:textFill>
            <w14:solidFill>
              <w14:schemeClr w14:val="tx1"/>
            </w14:solidFill>
          </w14:textFill>
        </w:rPr>
        <w:t>设施</w:t>
      </w:r>
    </w:p>
    <w:p w14:paraId="55F8C190">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8.3.4</w:t>
      </w:r>
      <w:r>
        <w:rPr>
          <w:rFonts w:ascii="黑体" w:hAnsi="黑体" w:eastAsia="黑体"/>
          <w:color w:val="000000" w:themeColor="text1"/>
          <w14:textFill>
            <w14:solidFill>
              <w14:schemeClr w14:val="tx1"/>
            </w14:solidFill>
          </w14:textFill>
        </w:rPr>
        <w:t>.1</w:t>
      </w:r>
      <w:r>
        <w:rPr>
          <w:rFonts w:hint="eastAsia" w:ascii="黑体" w:hAnsi="黑体" w:eastAsia="黑体"/>
          <w:color w:val="000000" w:themeColor="text1"/>
          <w14:textFill>
            <w14:solidFill>
              <w14:schemeClr w14:val="tx1"/>
            </w14:solidFill>
          </w14:textFill>
        </w:rPr>
        <w:tab/>
      </w:r>
      <w:r>
        <w:rPr>
          <w:rFonts w:hint="eastAsia"/>
          <w:color w:val="000000" w:themeColor="text1"/>
          <w14:textFill>
            <w14:solidFill>
              <w14:schemeClr w14:val="tx1"/>
            </w14:solidFill>
          </w14:textFill>
        </w:rPr>
        <w:t>宜考虑合理布设低空航空器感知设备，配备网捕、无线电干扰/压制、导航诱骗等防范飞出、侵入起降场/起降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的反制设施。</w:t>
      </w:r>
    </w:p>
    <w:p w14:paraId="68F2EBBF">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8.3.4</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2</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的</w:t>
      </w:r>
      <w:r>
        <w:rPr>
          <w:rFonts w:hint="eastAsia"/>
        </w:rPr>
        <w:t>TLOF</w:t>
      </w:r>
      <w:r>
        <w:t>表面较周围环境高出0.75</w:t>
      </w:r>
      <w:r>
        <w:rPr>
          <w:rFonts w:hint="eastAsia"/>
        </w:rPr>
        <w:t>米以</w:t>
      </w:r>
      <w:r>
        <w:t>上且存在人员安全风险时，应在</w:t>
      </w:r>
      <w:r>
        <w:rPr>
          <w:rFonts w:hint="eastAsia"/>
        </w:rP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边缘外侧</w:t>
      </w:r>
      <w:r>
        <w:rPr>
          <w:rFonts w:hint="eastAsia"/>
        </w:rPr>
        <w:t>以接近水平的方式</w:t>
      </w:r>
      <w:r>
        <w:t>安装安全网</w:t>
      </w:r>
      <w:r>
        <w:rPr>
          <w:rFonts w:hint="eastAsia"/>
        </w:rPr>
        <w:t>、以承接意外坠落的人员或物体</w:t>
      </w:r>
      <w:r>
        <w:t>。安全网应</w:t>
      </w:r>
      <w:r>
        <w:rPr>
          <w:rFonts w:hint="eastAsia"/>
        </w:rPr>
        <w:t>符合GB 5725中关于强度与耐冲击性能的有关规定</w:t>
      </w:r>
      <w:r>
        <w:t>，宽度不应小于1.5</w:t>
      </w:r>
      <w:r>
        <w:rPr>
          <w:rFonts w:hint="eastAsia"/>
        </w:rPr>
        <w:t>米</w:t>
      </w:r>
      <w:r>
        <w:t>，设置为外高内低，最高处不应超过TLOF表面标高。</w:t>
      </w:r>
    </w:p>
    <w:p w14:paraId="420D5B17">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数据信息管理设施</w:t>
      </w:r>
    </w:p>
    <w:p w14:paraId="686A8758">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8.3.5.1</w:t>
      </w:r>
      <w:r>
        <w:rPr>
          <w:rFonts w:hint="eastAsia" w:ascii="黑体" w:hAnsi="黑体" w:eastAsia="黑体"/>
          <w:color w:val="000000" w:themeColor="text1"/>
          <w14:textFill>
            <w14:solidFill>
              <w14:schemeClr w14:val="tx1"/>
            </w14:solidFill>
          </w14:textFill>
        </w:rPr>
        <w:tab/>
      </w:r>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应配置数据信息管理设施，用于运行过程中飞行活动数据、航空器数据、气象数据、设施设备运行数据及人员信息等的采集、传输、处理、存储、共享和销毁。</w:t>
      </w:r>
    </w:p>
    <w:p w14:paraId="7168B502">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8.3.5.2</w:t>
      </w:r>
      <w:r>
        <w:rPr>
          <w:rFonts w:hint="eastAsia" w:ascii="黑体" w:hAnsi="黑体" w:eastAsia="黑体"/>
          <w:color w:val="000000" w:themeColor="text1"/>
          <w14:textFill>
            <w14:solidFill>
              <w14:schemeClr w14:val="tx1"/>
            </w14:solidFill>
          </w14:textFill>
        </w:rPr>
        <w:tab/>
      </w:r>
      <w:r>
        <w:rPr>
          <w:rFonts w:hint="eastAsia"/>
          <w:color w:val="000000" w:themeColor="text1"/>
          <w14:textFill>
            <w14:solidFill>
              <w14:schemeClr w14:val="tx1"/>
            </w14:solidFill>
          </w14:textFill>
        </w:rPr>
        <w:t>数据信息管理设施应至少包括以下组成部分：</w:t>
      </w:r>
    </w:p>
    <w:p w14:paraId="5F6E45A1">
      <w:pPr>
        <w:pStyle w:val="180"/>
        <w:widowControl w:val="0"/>
        <w:numPr>
          <w:ilvl w:val="0"/>
          <w:numId w:val="44"/>
        </w:numPr>
      </w:pPr>
      <w:r>
        <w:rPr>
          <w:rFonts w:hint="eastAsia"/>
        </w:rPr>
        <w:t>采集终端：部署于起降场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rPr>
        <w:t>各关键区域的传感器、监控设备及接口装置；</w:t>
      </w:r>
    </w:p>
    <w:p w14:paraId="616E7218">
      <w:pPr>
        <w:pStyle w:val="180"/>
        <w:widowControl w:val="0"/>
        <w:numPr>
          <w:ilvl w:val="0"/>
          <w:numId w:val="14"/>
        </w:numPr>
      </w:pPr>
      <w:r>
        <w:rPr>
          <w:rFonts w:hint="eastAsia"/>
        </w:rPr>
        <w:t>处理终端：支持多源异构数据的标准化处理，提供数据清洗、信息降噪、关键信息识别、数据信息分类标识、数据信息脱敏、访问权限控制等基本功能；</w:t>
      </w:r>
    </w:p>
    <w:p w14:paraId="68675691">
      <w:pPr>
        <w:pStyle w:val="180"/>
        <w:widowControl w:val="0"/>
        <w:numPr>
          <w:ilvl w:val="0"/>
          <w:numId w:val="14"/>
        </w:numPr>
      </w:pPr>
      <w:r>
        <w:rPr>
          <w:rFonts w:hint="eastAsia"/>
        </w:rPr>
        <w:t>存储设备：用于数据信息的本地存储与备份，存储容量应满足运行数据信息留存备查的要求；</w:t>
      </w:r>
    </w:p>
    <w:p w14:paraId="6092162B">
      <w:pPr>
        <w:pStyle w:val="180"/>
        <w:widowControl w:val="0"/>
        <w:numPr>
          <w:ilvl w:val="0"/>
          <w:numId w:val="14"/>
        </w:numPr>
      </w:pPr>
      <w:r>
        <w:rPr>
          <w:rFonts w:hint="eastAsia"/>
        </w:rPr>
        <w:t>通信接口：提供标准化的服务接口，支撑内外部系统按需调用。</w:t>
      </w:r>
    </w:p>
    <w:p w14:paraId="05374B5C">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8.3.5.3</w:t>
      </w:r>
      <w:r>
        <w:rPr>
          <w:rFonts w:hint="eastAsia" w:ascii="黑体" w:hAnsi="黑体" w:eastAsia="黑体"/>
          <w:color w:val="000000" w:themeColor="text1"/>
          <w14:textFill>
            <w14:solidFill>
              <w14:schemeClr w14:val="tx1"/>
            </w14:solidFill>
          </w14:textFill>
        </w:rPr>
        <w:tab/>
      </w:r>
      <w:r>
        <w:rPr>
          <w:rFonts w:hint="eastAsia"/>
          <w:color w:val="000000" w:themeColor="text1"/>
          <w14:textFill>
            <w14:solidFill>
              <w14:schemeClr w14:val="tx1"/>
            </w14:solidFill>
          </w14:textFill>
        </w:rPr>
        <w:t>数据信息管理设施应具备与行业主管部门系统（例如低空飞行综合监管服务平台）、气象系统等外部平台的对接能力。</w:t>
      </w:r>
    </w:p>
    <w:p w14:paraId="5C1A5F2D">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8.3.5.4</w:t>
      </w:r>
      <w:r>
        <w:rPr>
          <w:rFonts w:hint="eastAsia" w:ascii="黑体" w:hAnsi="黑体" w:eastAsia="黑体"/>
          <w:color w:val="000000" w:themeColor="text1"/>
          <w14:textFill>
            <w14:solidFill>
              <w14:schemeClr w14:val="tx1"/>
            </w14:solidFill>
          </w14:textFill>
        </w:rPr>
        <w:tab/>
      </w:r>
      <w:r>
        <w:rPr>
          <w:rFonts w:hint="eastAsia"/>
          <w:color w:val="000000" w:themeColor="text1"/>
          <w14:textFill>
            <w14:solidFill>
              <w14:schemeClr w14:val="tx1"/>
            </w14:solidFill>
          </w14:textFill>
        </w:rPr>
        <w:t>数据信息管理设施的链路应具备加密和认证机制，防止被窃听、篡改或伪造。关键数据信息的传输宜建设冗余链路。</w:t>
      </w:r>
    </w:p>
    <w:p w14:paraId="30261CEF">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8.3.5.5</w:t>
      </w:r>
      <w:r>
        <w:rPr>
          <w:rFonts w:hint="eastAsia" w:ascii="黑体" w:hAnsi="黑体" w:eastAsia="黑体"/>
          <w:color w:val="000000" w:themeColor="text1"/>
          <w14:textFill>
            <w14:solidFill>
              <w14:schemeClr w14:val="tx1"/>
            </w14:solidFill>
          </w14:textFill>
        </w:rPr>
        <w:tab/>
      </w:r>
      <w:r>
        <w:rPr>
          <w:rFonts w:hint="eastAsia"/>
          <w:color w:val="000000" w:themeColor="text1"/>
          <w14:textFill>
            <w14:solidFill>
              <w14:schemeClr w14:val="tx1"/>
            </w14:solidFill>
          </w14:textFill>
        </w:rPr>
        <w:t>一级和二级起降设施宜配置独立的本地数据信息管理服务器及配套存储阵列。</w:t>
      </w:r>
    </w:p>
    <w:p w14:paraId="187CAD5D">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能源补给设施</w:t>
      </w:r>
    </w:p>
    <w:p w14:paraId="5719EF09">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8.3.6</w:t>
      </w:r>
      <w:r>
        <w:rPr>
          <w:rFonts w:ascii="黑体" w:hAnsi="黑体" w:eastAsia="黑体"/>
          <w:color w:val="000000" w:themeColor="text1"/>
          <w14:textFill>
            <w14:solidFill>
              <w14:schemeClr w14:val="tx1"/>
            </w14:solidFill>
          </w14:textFill>
        </w:rPr>
        <w:t>.1</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应配置与</w:t>
      </w:r>
      <w:r>
        <w:rPr>
          <w:rFonts w:hint="eastAsia"/>
        </w:rPr>
        <w:t>设计</w:t>
      </w:r>
      <w:r>
        <w:t>运行</w:t>
      </w:r>
      <w:r>
        <w:rPr>
          <w:rFonts w:hint="eastAsia"/>
        </w:rPr>
        <w:t>低空垂直起降</w:t>
      </w:r>
      <w:r>
        <w:t>航空器能源需求相适应的能源补给设施。充电设施</w:t>
      </w:r>
      <w:r>
        <w:rPr>
          <w:rFonts w:hint="eastAsia"/>
        </w:rPr>
        <w:t>（若涉及）</w:t>
      </w:r>
      <w:r>
        <w:t>应具备防火、防爆功能，配置外部通讯接口，能将充电状态数据接入综合管理系统</w:t>
      </w:r>
      <w:r>
        <w:rPr>
          <w:rFonts w:hint="eastAsia"/>
          <w:color w:val="000000" w:themeColor="text1"/>
          <w14:textFill>
            <w14:solidFill>
              <w14:schemeClr w14:val="tx1"/>
            </w14:solidFill>
          </w14:textFill>
        </w:rPr>
        <w:t>。</w:t>
      </w:r>
    </w:p>
    <w:p w14:paraId="18F40C68">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8.3.6</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2</w:t>
      </w:r>
      <w:r>
        <w:rPr>
          <w:rFonts w:hint="eastAsia" w:ascii="黑体" w:hAnsi="黑体" w:eastAsia="黑体"/>
          <w:color w:val="000000" w:themeColor="text1"/>
          <w14:textFill>
            <w14:solidFill>
              <w14:schemeClr w14:val="tx1"/>
            </w14:solidFill>
          </w14:textFill>
        </w:rPr>
        <w:tab/>
      </w:r>
      <w:r>
        <w:t>一级起降</w:t>
      </w:r>
      <w:r>
        <w:rPr>
          <w:rFonts w:hint="eastAsia"/>
        </w:rPr>
        <w:t>设施</w:t>
      </w:r>
      <w:r>
        <w:t>宜配置储能系统，保障在市电中断时的应急供电能力。储能系统应满足消防、安全要求，设置在专用区域，并采取防火、防爆措施。</w:t>
      </w:r>
    </w:p>
    <w:p w14:paraId="2F2E46B8">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8.3.6</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3</w:t>
      </w:r>
      <w:r>
        <w:rPr>
          <w:rFonts w:hint="eastAsia" w:ascii="黑体" w:hAnsi="黑体" w:eastAsia="黑体"/>
          <w:color w:val="000000" w:themeColor="text1"/>
          <w14:textFill>
            <w14:solidFill>
              <w14:schemeClr w14:val="tx1"/>
            </w14:solidFill>
          </w14:textFill>
        </w:rPr>
        <w:tab/>
      </w:r>
      <w:r>
        <w:t>充电设施、储能设施等电气设备区域应作为消防安全重点部位，设置相应的防火、防爆和灭火设施。充电机库及电池存储间应设置自动火灾探测与报警系统，探测器类型应包含感烟、感温及可燃气体（</w:t>
      </w:r>
      <w:r>
        <w:rPr>
          <w:rFonts w:hint="eastAsia"/>
        </w:rPr>
        <w:t>例</w:t>
      </w:r>
      <w:r>
        <w:t>如氢气、一氧化碳）探测，以实现早期热失控预警。</w:t>
      </w:r>
    </w:p>
    <w:p w14:paraId="27247294">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排水与防雷设施</w:t>
      </w:r>
    </w:p>
    <w:p w14:paraId="7DDDCB1A">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8.3.7</w:t>
      </w:r>
      <w:r>
        <w:rPr>
          <w:rFonts w:ascii="黑体" w:hAnsi="黑体" w:eastAsia="黑体"/>
          <w:color w:val="000000" w:themeColor="text1"/>
          <w14:textFill>
            <w14:solidFill>
              <w14:schemeClr w14:val="tx1"/>
            </w14:solidFill>
          </w14:textFill>
        </w:rPr>
        <w:t>.1</w:t>
      </w:r>
      <w:r>
        <w:rPr>
          <w:rFonts w:hint="eastAsia" w:ascii="黑体" w:hAnsi="黑体" w:eastAsia="黑体"/>
          <w:color w:val="000000" w:themeColor="text1"/>
          <w14:textFill>
            <w14:solidFill>
              <w14:schemeClr w14:val="tx1"/>
            </w14:solidFill>
          </w14:textFill>
        </w:rPr>
        <w:tab/>
      </w:r>
      <w:r>
        <w:t>排水系统设计应符合GB 50014及国家现行有关标准的规定。在湖北省低温及冻融地区（</w:t>
      </w:r>
      <w:r>
        <w:rPr>
          <w:rFonts w:hint="eastAsia"/>
        </w:rPr>
        <w:t>例如</w:t>
      </w:r>
      <w:r>
        <w:t>鄂西山区）建设的起降场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，排水系统应采取防冻措施。</w:t>
      </w:r>
    </w:p>
    <w:p w14:paraId="6C7B0FDB">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8.3.7</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2</w:t>
      </w:r>
      <w:r>
        <w:rPr>
          <w:rFonts w:hint="eastAsia" w:ascii="黑体" w:hAnsi="黑体" w:eastAsia="黑体"/>
          <w:color w:val="000000" w:themeColor="text1"/>
          <w14:textFill>
            <w14:solidFill>
              <w14:schemeClr w14:val="tx1"/>
            </w14:solidFill>
          </w14:textFill>
        </w:rPr>
        <w:tab/>
      </w:r>
      <w:r>
        <w:t>防雷设计应符合GB 50057的有关规定。起降场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应设置防雷设施，包括接闪器、引下线和接地装置，并根据所在区域的雷电活动频率及强度确定相应的防雷类别和保护等级。</w:t>
      </w:r>
      <w:r>
        <w:rPr>
          <w:rFonts w:hint="eastAsia" w:hAnsi="宋体"/>
          <w:color w:val="000000" w:themeColor="text1"/>
          <w14:textFill>
            <w14:solidFill>
              <w14:schemeClr w14:val="tx1"/>
            </w14:solidFill>
          </w14:textFill>
        </w:rPr>
        <w:t>防雷接地应采用</w:t>
      </w:r>
      <w:r>
        <w:rPr>
          <w:rFonts w:hAnsi="宋体"/>
        </w:rPr>
        <w:t>共</w:t>
      </w:r>
      <w:r>
        <w:t>用接地</w:t>
      </w:r>
      <w:r>
        <w:rPr>
          <w:rFonts w:hint="eastAsia"/>
        </w:rPr>
        <w:t>方式，</w:t>
      </w:r>
      <w:r>
        <w:t>接地电阻不应大于</w:t>
      </w:r>
      <w:r>
        <w:rPr>
          <w:rFonts w:hint="eastAsia"/>
        </w:rPr>
        <w:t>10欧姆</w:t>
      </w:r>
      <w:r>
        <w:t>。</w:t>
      </w:r>
    </w:p>
    <w:p w14:paraId="59479F13">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8.3.7</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3</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的助航灯光设施、气象设施、通信导航监视设备等专用设施，均应设置相应的防雷和电涌保护措施。</w:t>
      </w:r>
    </w:p>
    <w:p w14:paraId="66F4CE98">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消防与应急设施</w:t>
      </w:r>
    </w:p>
    <w:p w14:paraId="2C7863B4">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8.3.8</w:t>
      </w:r>
      <w:r>
        <w:rPr>
          <w:rFonts w:ascii="黑体" w:hAnsi="黑体" w:eastAsia="黑体"/>
          <w:color w:val="000000" w:themeColor="text1"/>
          <w14:textFill>
            <w14:solidFill>
              <w14:schemeClr w14:val="tx1"/>
            </w14:solidFill>
          </w14:textFill>
        </w:rPr>
        <w:t>.1</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的消防设计应遵循</w:t>
      </w:r>
      <w:r>
        <w:rPr>
          <w:rFonts w:hint="eastAsia"/>
        </w:rPr>
        <w:t>“</w:t>
      </w:r>
      <w:r>
        <w:t>预防为主、防消结合</w:t>
      </w:r>
      <w:r>
        <w:rPr>
          <w:rFonts w:hint="eastAsia"/>
        </w:rPr>
        <w:t>”</w:t>
      </w:r>
      <w:r>
        <w:t>的方针，建筑防火与疏散设计应符合GB</w:t>
      </w:r>
      <w:r>
        <w:rPr>
          <w:rFonts w:hint="eastAsia"/>
        </w:rPr>
        <w:t xml:space="preserve"> </w:t>
      </w:r>
      <w:r>
        <w:t>50016等国家现行标准的有关规定</w:t>
      </w:r>
      <w:r>
        <w:rPr>
          <w:rFonts w:hint="eastAsia"/>
        </w:rPr>
        <w:t>。</w:t>
      </w:r>
      <w:r>
        <w:t>根据其运行规模、</w:t>
      </w:r>
      <w:r>
        <w:rPr>
          <w:rFonts w:hint="eastAsia"/>
        </w:rPr>
        <w:t>低空垂直起降航空器能源</w:t>
      </w:r>
      <w:r>
        <w:t>类型、运行环境及火灾危险性，设置相应的消防设施和应急救援器材。</w:t>
      </w:r>
    </w:p>
    <w:p w14:paraId="05FB5EF8">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8.3.8</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2</w:t>
      </w:r>
      <w:r>
        <w:rPr>
          <w:rFonts w:hint="eastAsia" w:ascii="黑体" w:hAnsi="黑体" w:eastAsia="黑体"/>
          <w:color w:val="000000" w:themeColor="text1"/>
          <w14:textFill>
            <w14:solidFill>
              <w14:schemeClr w14:val="tx1"/>
            </w14:solidFill>
          </w14:textFill>
        </w:rPr>
        <w:tab/>
      </w:r>
      <w:r>
        <w:t>消防设施设置要求应符合GB 13495.3</w:t>
      </w:r>
      <w:r>
        <w:rPr>
          <w:rFonts w:hint="eastAsia"/>
        </w:rPr>
        <w:t>、GB 50116、GB 50140、</w:t>
      </w:r>
      <w:r>
        <w:t xml:space="preserve">GB </w:t>
      </w:r>
      <w:r>
        <w:rPr>
          <w:rFonts w:hint="eastAsia"/>
        </w:rPr>
        <w:t>55036</w:t>
      </w:r>
      <w:r>
        <w:t>等</w:t>
      </w:r>
      <w:r>
        <w:rPr>
          <w:rFonts w:hint="eastAsia"/>
        </w:rPr>
        <w:t>现行国家标准的有关</w:t>
      </w:r>
      <w:r>
        <w:t>规定。</w:t>
      </w:r>
      <w:r>
        <w:rPr>
          <w:rFonts w:hint="eastAsia"/>
        </w:rPr>
        <w:t>锂电池存储与充电区域应视为高火灾风险区域，需采取防火隔墙、防爆泄压等加强措施。</w:t>
      </w:r>
    </w:p>
    <w:p w14:paraId="590456B4">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8.3.8</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3</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w:t>
      </w:r>
      <w:r>
        <w:rPr>
          <w:rFonts w:hint="eastAsia"/>
        </w:rPr>
        <w:t>设置消防通道，</w:t>
      </w:r>
      <w:r>
        <w:t>确保消防人员</w:t>
      </w:r>
      <w:r>
        <w:rPr>
          <w:rFonts w:hint="eastAsia"/>
        </w:rPr>
        <w:t>和车辆等</w:t>
      </w:r>
      <w:r>
        <w:t>能迅速</w:t>
      </w:r>
      <w:r>
        <w:rPr>
          <w:rFonts w:hint="eastAsia"/>
        </w:rPr>
        <w:t>顺利</w:t>
      </w:r>
      <w:r>
        <w:t>到达。</w:t>
      </w:r>
    </w:p>
    <w:p w14:paraId="44316654">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8.3.8</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4</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应设置消防疏散通道，确保人员能够快速疏散到临近</w:t>
      </w:r>
      <w:r>
        <w:rPr>
          <w:rFonts w:hint="eastAsia"/>
        </w:rPr>
        <w:t>的、</w:t>
      </w:r>
      <w:r>
        <w:t>安全</w:t>
      </w:r>
      <w:r>
        <w:rPr>
          <w:rFonts w:hint="eastAsia"/>
        </w:rPr>
        <w:t>的</w:t>
      </w:r>
      <w:r>
        <w:t>区域内。应设置不少于2个通向安全</w:t>
      </w:r>
      <w:r>
        <w:rPr>
          <w:rFonts w:hint="eastAsia"/>
        </w:rPr>
        <w:t>的</w:t>
      </w:r>
      <w:r>
        <w:t>区域的出口</w:t>
      </w:r>
      <w:r>
        <w:rPr>
          <w:rFonts w:hint="eastAsia"/>
        </w:rPr>
        <w:t>。疏散通道及出口的设计与宽度要求，应符合GB 17945和GB 55037</w:t>
      </w:r>
      <w:r>
        <w:t>的有关规定。</w:t>
      </w:r>
    </w:p>
    <w:p w14:paraId="0658D609">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8.3.8</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5</w:t>
      </w:r>
      <w:r>
        <w:rPr>
          <w:rFonts w:hint="eastAsia" w:ascii="黑体" w:hAnsi="黑体" w:eastAsia="黑体"/>
          <w:color w:val="000000" w:themeColor="text1"/>
          <w14:textFill>
            <w14:solidFill>
              <w14:schemeClr w14:val="tx1"/>
            </w14:solidFill>
          </w14:textFill>
        </w:rPr>
        <w:tab/>
      </w:r>
      <w:r>
        <w:rPr>
          <w:rFonts w:hint="eastAsia"/>
        </w:rPr>
        <w:t>消防</w:t>
      </w:r>
      <w:r>
        <w:t>救援器材</w:t>
      </w:r>
      <w:r>
        <w:rPr>
          <w:rFonts w:hint="eastAsia"/>
        </w:rPr>
        <w:t>应</w:t>
      </w:r>
      <w:r>
        <w:t>存放在有明确标记的专用消防</w:t>
      </w:r>
      <w:r>
        <w:rPr>
          <w:rFonts w:hint="eastAsia"/>
        </w:rPr>
        <w:t>救援</w:t>
      </w:r>
      <w:r>
        <w:t>器材柜/箱中。</w:t>
      </w:r>
    </w:p>
    <w:p w14:paraId="415335D0">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配套功能区建设</w:t>
      </w:r>
    </w:p>
    <w:p w14:paraId="43F12009">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一般要求</w:t>
      </w:r>
    </w:p>
    <w:p w14:paraId="304443DB">
      <w:pPr>
        <w:pStyle w:val="62"/>
        <w:widowControl w:val="0"/>
        <w:ind w:firstLine="420"/>
      </w:pP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rPr>
        <w:t>配套功能区应考虑连通通道、机位/机库、指挥室、</w:t>
      </w:r>
      <w:r>
        <w:t>候机区与安检区（若载人）</w:t>
      </w:r>
      <w:r>
        <w:rPr>
          <w:rFonts w:hint="eastAsia"/>
        </w:rPr>
        <w:t>和</w:t>
      </w:r>
      <w:r>
        <w:t>堆货区</w:t>
      </w:r>
      <w:r>
        <w:rPr>
          <w:rFonts w:hint="eastAsia"/>
        </w:rPr>
        <w:t>等</w:t>
      </w:r>
      <w:r>
        <w:t>。</w:t>
      </w:r>
    </w:p>
    <w:p w14:paraId="471B6CFF">
      <w:pPr>
        <w:pStyle w:val="71"/>
        <w:spacing w:before="156" w:after="156"/>
        <w:ind w:left="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连通通道</w:t>
      </w:r>
    </w:p>
    <w:p w14:paraId="02315C97">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8.4.2.1</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rPr>
        <w:t>可根据运行需要设置</w:t>
      </w:r>
      <w:r>
        <w:t>连通通道，用于</w:t>
      </w:r>
      <w:r>
        <w:rPr>
          <w:rFonts w:hint="eastAsia"/>
        </w:rPr>
        <w:t>低空垂直起降航空器</w:t>
      </w:r>
      <w:r>
        <w:t>在场地内依靠自身动力或地面移动设备进行地面移动</w:t>
      </w:r>
      <w:r>
        <w:rPr>
          <w:rFonts w:hint="eastAsia"/>
        </w:rPr>
        <w:t>。</w:t>
      </w:r>
    </w:p>
    <w:p w14:paraId="3AB9BA30">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8.4.2.2</w:t>
      </w:r>
      <w:r>
        <w:rPr>
          <w:rFonts w:hint="eastAsia" w:ascii="黑体" w:hAnsi="黑体" w:eastAsia="黑体"/>
          <w:color w:val="000000" w:themeColor="text1"/>
          <w14:textFill>
            <w14:solidFill>
              <w14:schemeClr w14:val="tx1"/>
            </w14:solidFill>
          </w14:textFill>
        </w:rPr>
        <w:tab/>
      </w:r>
      <w:r>
        <w:t>连通通道上及两侧区域不应有妨碍</w:t>
      </w:r>
      <w:r>
        <w:rPr>
          <w:rFonts w:hint="eastAsia"/>
        </w:rPr>
        <w:t>航空器</w:t>
      </w:r>
      <w:r>
        <w:t>正常通行的障碍物。通道应平整，不应对</w:t>
      </w:r>
      <w:r>
        <w:rPr>
          <w:rFonts w:hint="eastAsia"/>
        </w:rPr>
        <w:t>航空器</w:t>
      </w:r>
      <w:r>
        <w:t>依靠自身动力、地面移动设备操纵或静止时的操纵与稳定性产生不利影响</w:t>
      </w:r>
      <w:r>
        <w:rPr>
          <w:rFonts w:hint="eastAsia"/>
        </w:rPr>
        <w:t>。</w:t>
      </w:r>
    </w:p>
    <w:p w14:paraId="02289929">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8.4.2.3</w:t>
      </w:r>
      <w:r>
        <w:rPr>
          <w:rFonts w:hint="eastAsia" w:ascii="黑体" w:hAnsi="黑体" w:eastAsia="黑体"/>
          <w:color w:val="000000" w:themeColor="text1"/>
          <w14:textFill>
            <w14:solidFill>
              <w14:schemeClr w14:val="tx1"/>
            </w14:solidFill>
          </w14:textFill>
        </w:rPr>
        <w:tab/>
      </w:r>
      <w:r>
        <w:t>连通通道横向坡度不应超过2%，纵向坡度不宜超过3%</w:t>
      </w:r>
      <w:r>
        <w:rPr>
          <w:rFonts w:hint="eastAsia"/>
        </w:rPr>
        <w:t>。</w:t>
      </w:r>
    </w:p>
    <w:p w14:paraId="6A887C94">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8.4.2.4</w:t>
      </w:r>
      <w:r>
        <w:rPr>
          <w:rFonts w:hint="eastAsia" w:ascii="黑体" w:hAnsi="黑体" w:eastAsia="黑体"/>
          <w:color w:val="000000" w:themeColor="text1"/>
          <w14:textFill>
            <w14:solidFill>
              <w14:schemeClr w14:val="tx1"/>
            </w14:solidFill>
          </w14:textFill>
        </w:rPr>
        <w:tab/>
      </w:r>
      <w:r>
        <w:t>连通通道的最小宽度应为预计</w:t>
      </w:r>
      <w:r>
        <w:rPr>
          <w:rFonts w:hint="eastAsia"/>
        </w:rPr>
        <w:t>运行航空器</w:t>
      </w:r>
      <w:r>
        <w:t>起落架宽度的2倍，在转弯处应</w:t>
      </w:r>
      <w:r>
        <w:rPr>
          <w:rFonts w:hint="eastAsia"/>
        </w:rPr>
        <w:t>适当</w:t>
      </w:r>
      <w:r>
        <w:t>加宽。承载强度应能承受预计</w:t>
      </w:r>
      <w:r>
        <w:rPr>
          <w:rFonts w:hint="eastAsia"/>
        </w:rPr>
        <w:t>运行航空器</w:t>
      </w:r>
      <w:r>
        <w:t>荷载</w:t>
      </w:r>
      <w:r>
        <w:rPr>
          <w:rFonts w:hint="eastAsia"/>
        </w:rPr>
        <w:t>，</w:t>
      </w:r>
      <w:r>
        <w:t>不少于其最大起飞重量的1.5倍</w:t>
      </w:r>
      <w:r>
        <w:rPr>
          <w:rFonts w:hint="eastAsia"/>
        </w:rPr>
        <w:t>。</w:t>
      </w:r>
    </w:p>
    <w:p w14:paraId="11202CF0">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8.4.2.5</w:t>
      </w:r>
      <w:r>
        <w:rPr>
          <w:rFonts w:hint="eastAsia" w:ascii="黑体" w:hAnsi="黑体" w:eastAsia="黑体"/>
          <w:color w:val="000000" w:themeColor="text1"/>
          <w14:textFill>
            <w14:solidFill>
              <w14:schemeClr w14:val="tx1"/>
            </w14:solidFill>
          </w14:textFill>
        </w:rPr>
        <w:tab/>
      </w:r>
      <w:r>
        <w:t>连通通道上的航空器与平行通道上的航空器或物体之间的翼尖净距，应不少于0.25</w:t>
      </w:r>
      <w:r>
        <w:rPr>
          <w:rFonts w:hint="eastAsia"/>
        </w:rPr>
        <w:t>D</w:t>
      </w:r>
      <w:r>
        <w:t>。若通道拟供车辆与设备使用，应额外考虑通道宽度与承载强度</w:t>
      </w:r>
      <w:r>
        <w:rPr>
          <w:rFonts w:hint="eastAsia"/>
        </w:rPr>
        <w:t>。</w:t>
      </w:r>
      <w:r>
        <w:t>上述D采用预计</w:t>
      </w:r>
      <w:r>
        <w:rPr>
          <w:rFonts w:hint="eastAsia"/>
        </w:rPr>
        <w:t>运行航空器</w:t>
      </w:r>
      <w:r>
        <w:t>最大值</w:t>
      </w:r>
      <w:r>
        <w:rPr>
          <w:rFonts w:hint="eastAsia"/>
        </w:rPr>
        <w:t>。</w:t>
      </w:r>
    </w:p>
    <w:p w14:paraId="0C1AAA59">
      <w:pPr>
        <w:pStyle w:val="71"/>
        <w:spacing w:before="156" w:after="156"/>
        <w:ind w:left="0"/>
        <w:rPr>
          <w:color w:val="000000" w:themeColor="text1"/>
          <w14:textFill>
            <w14:solidFill>
              <w14:schemeClr w14:val="tx1"/>
            </w14:solidFill>
          </w14:textFill>
        </w:rPr>
      </w:pPr>
      <w:r>
        <w:rPr>
          <w:rFonts w:hint="eastAsia"/>
        </w:rPr>
        <w:t>机位/</w:t>
      </w:r>
      <w:r>
        <w:rPr>
          <w:rFonts w:hint="eastAsia"/>
          <w:color w:val="000000" w:themeColor="text1"/>
          <w14:textFill>
            <w14:solidFill>
              <w14:schemeClr w14:val="tx1"/>
            </w14:solidFill>
          </w14:textFill>
        </w:rPr>
        <w:t>机库</w:t>
      </w:r>
    </w:p>
    <w:p w14:paraId="3863D0B8">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8.4.3.1</w:t>
      </w:r>
      <w:r>
        <w:rPr>
          <w:rFonts w:hint="eastAsia" w:ascii="黑体" w:hAnsi="黑体" w:eastAsia="黑体"/>
          <w:color w:val="000000" w:themeColor="text1"/>
          <w14:textFill>
            <w14:solidFill>
              <w14:schemeClr w14:val="tx1"/>
            </w14:solidFill>
          </w14:textFill>
        </w:rPr>
        <w:tab/>
      </w:r>
      <w:r>
        <w:rPr>
          <w:rFonts w:hint="eastAsia"/>
        </w:rPr>
        <w:t>起降场</w:t>
      </w:r>
      <w:r>
        <w:rPr>
          <w:rFonts w:hint="eastAsia"/>
          <w:color w:val="000000" w:themeColor="text1"/>
          <w14:textFill>
            <w14:solidFill>
              <w14:schemeClr w14:val="tx1"/>
            </w14:solidFill>
          </w14:textFill>
        </w:rPr>
        <w:t>/起降点</w:t>
      </w:r>
      <w:r>
        <w:rPr>
          <w:rFonts w:hint="eastAsia"/>
        </w:rPr>
        <w:t>可根据运行需要设置机位。机位的位置应尽量避免航空器下洗流的影响，保障人机安全。具体要求如下：</w:t>
      </w:r>
    </w:p>
    <w:p w14:paraId="436EA823">
      <w:pPr>
        <w:pStyle w:val="180"/>
        <w:widowControl w:val="0"/>
        <w:numPr>
          <w:ilvl w:val="0"/>
          <w:numId w:val="45"/>
        </w:numPr>
      </w:pPr>
      <w:r>
        <w:rPr>
          <w:rFonts w:hint="eastAsia"/>
        </w:rPr>
        <w:t>机位应能包含一个直径不小于1.5D的圆；上述D采用预计运行航空器的最大值；可根据航空器的几何形状，结合运行方式设计基于几何形状的机位尺寸；</w:t>
      </w:r>
    </w:p>
    <w:p w14:paraId="15FBD2B9">
      <w:pPr>
        <w:pStyle w:val="180"/>
        <w:widowControl w:val="0"/>
        <w:numPr>
          <w:ilvl w:val="0"/>
          <w:numId w:val="14"/>
        </w:numPr>
      </w:pPr>
      <w:r>
        <w:rPr>
          <w:rFonts w:hint="eastAsia"/>
        </w:rPr>
        <w:t>机位表面应平整，能承受适配机型的荷载，有足够的摩阻性能以避免VCA滑移或人员滑倒，能确保有效排水，任意方向的坡度不得超过2%；</w:t>
      </w:r>
    </w:p>
    <w:p w14:paraId="71AE9598">
      <w:pPr>
        <w:pStyle w:val="180"/>
        <w:widowControl w:val="0"/>
        <w:tabs>
          <w:tab w:val="clear" w:pos="852"/>
        </w:tabs>
      </w:pPr>
      <w:r>
        <w:rPr>
          <w:rFonts w:hint="eastAsia"/>
        </w:rPr>
        <w:t>机位可根据航空器安全停放需要设置系留装置，防止航空器在机位上移动或被风吹动；系留装置应采用嵌入式安装方式，安装后不应突出道面表面；</w:t>
      </w:r>
    </w:p>
    <w:p w14:paraId="37F1C6E2">
      <w:pPr>
        <w:pStyle w:val="180"/>
        <w:widowControl w:val="0"/>
        <w:tabs>
          <w:tab w:val="clear" w:pos="852"/>
        </w:tabs>
      </w:pPr>
      <w:r>
        <w:rPr>
          <w:rFonts w:hint="eastAsia"/>
        </w:rPr>
        <w:t>多机位相邻布置时，临近机位之间、机位与建筑物或构筑物之间的净距要求为：对于预计承载</w:t>
      </w:r>
      <w:r>
        <w:t>D</w:t>
      </w:r>
      <w:r>
        <w:rPr>
          <w:rFonts w:hint="eastAsia"/>
        </w:rPr>
        <w:t>不超过</w:t>
      </w:r>
      <w:r>
        <w:t>18</w:t>
      </w:r>
      <w:r>
        <w:rPr>
          <w:rFonts w:hint="eastAsia"/>
        </w:rPr>
        <w:t>米的机位，净距不宜小于3米或0.2</w:t>
      </w:r>
      <w:r>
        <w:t>5</w:t>
      </w:r>
      <w:r>
        <w:rPr>
          <w:rFonts w:hint="eastAsia"/>
        </w:rPr>
        <w:t>D，取两者中的较大值；对于预计承载D大于</w:t>
      </w:r>
      <w:r>
        <w:t>18</w:t>
      </w:r>
      <w:r>
        <w:rPr>
          <w:rFonts w:hint="eastAsia"/>
        </w:rPr>
        <w:t>米的机位，净距不应小于4.5米；上述D采用预计运行航空器的最大值；</w:t>
      </w:r>
    </w:p>
    <w:p w14:paraId="0FE754D6">
      <w:pPr>
        <w:pStyle w:val="180"/>
        <w:widowControl w:val="0"/>
        <w:numPr>
          <w:ilvl w:val="0"/>
          <w:numId w:val="14"/>
        </w:numPr>
        <w:tabs>
          <w:tab w:val="clear" w:pos="852"/>
        </w:tabs>
      </w:pPr>
      <w:r>
        <w:t>机位应设置机位边</w:t>
      </w:r>
      <w:r>
        <w:rPr>
          <w:rFonts w:hint="eastAsia"/>
        </w:rPr>
        <w:t>界</w:t>
      </w:r>
      <w:r>
        <w:t>线</w:t>
      </w:r>
      <w:r>
        <w:rPr>
          <w:rFonts w:hint="eastAsia"/>
        </w:rPr>
        <w:t>和定位</w:t>
      </w:r>
      <w:r>
        <w:t>标志</w:t>
      </w:r>
      <w:r>
        <w:rPr>
          <w:rFonts w:hint="eastAsia"/>
        </w:rPr>
        <w:t>，</w:t>
      </w:r>
      <w:r>
        <w:t>采用黄线</w:t>
      </w:r>
      <w:r>
        <w:rPr>
          <w:rFonts w:hint="eastAsia"/>
        </w:rPr>
        <w:t>实线、</w:t>
      </w:r>
      <w:r>
        <w:t>线条宽度</w:t>
      </w:r>
      <w:r>
        <w:rPr>
          <w:rFonts w:hint="eastAsia"/>
        </w:rPr>
        <w:t>宜为0.</w:t>
      </w:r>
      <w:r>
        <w:t>15</w:t>
      </w:r>
      <w:r>
        <w:rPr>
          <w:rFonts w:hint="eastAsia"/>
        </w:rPr>
        <w:t>米；</w:t>
      </w:r>
      <w:r>
        <w:t>定位标志</w:t>
      </w:r>
      <w:r>
        <w:rPr>
          <w:rFonts w:hint="eastAsia"/>
        </w:rPr>
        <w:t>的形态宜为内</w:t>
      </w:r>
      <w:r>
        <w:t>径为0.</w:t>
      </w:r>
      <w:r>
        <w:rPr>
          <w:rFonts w:hint="eastAsia"/>
        </w:rPr>
        <w:t>5</w:t>
      </w:r>
      <w:r>
        <w:t>D的</w:t>
      </w:r>
      <w:r>
        <w:rPr>
          <w:rFonts w:hint="eastAsia"/>
        </w:rPr>
        <w:t>圆、以线宽0.5米的</w:t>
      </w:r>
      <w:r>
        <w:t>黄色实线</w:t>
      </w:r>
      <w:r>
        <w:rPr>
          <w:rFonts w:hint="eastAsia"/>
        </w:rPr>
        <w:t>画成，如图8所示。</w:t>
      </w:r>
    </w:p>
    <w:p w14:paraId="43152214">
      <w:pPr>
        <w:pStyle w:val="180"/>
        <w:keepNext/>
        <w:widowControl w:val="0"/>
        <w:numPr>
          <w:ilvl w:val="0"/>
          <w:numId w:val="0"/>
        </w:numPr>
        <w:ind w:left="426"/>
        <w:jc w:val="center"/>
      </w:pPr>
      <w:r>
        <w:rPr>
          <w:rFonts w:hint="eastAsia"/>
        </w:rPr>
        <w:drawing>
          <wp:inline distT="0" distB="0" distL="0" distR="0">
            <wp:extent cx="3335655" cy="2238375"/>
            <wp:effectExtent l="0" t="0" r="0" b="9525"/>
            <wp:docPr id="15127570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57021" name="Picture 12"/>
                    <pic:cNvPicPr>
                      <a:picLocks noChangeAspect="1"/>
                    </pic:cNvPicPr>
                  </pic:nvPicPr>
                  <pic:blipFill>
                    <a:blip r:embed="rId24"/>
                    <a:stretch>
                      <a:fillRect/>
                    </a:stretch>
                  </pic:blipFill>
                  <pic:spPr>
                    <a:xfrm>
                      <a:off x="0" y="0"/>
                      <a:ext cx="3335849" cy="2238658"/>
                    </a:xfrm>
                    <a:prstGeom prst="rect">
                      <a:avLst/>
                    </a:prstGeom>
                  </pic:spPr>
                </pic:pic>
              </a:graphicData>
            </a:graphic>
          </wp:inline>
        </w:drawing>
      </w:r>
    </w:p>
    <w:p w14:paraId="53094F20">
      <w:pPr>
        <w:pStyle w:val="120"/>
        <w:spacing w:before="156" w:after="156"/>
      </w:pPr>
      <w:r>
        <w:rPr>
          <w:rFonts w:hint="eastAsia"/>
        </w:rPr>
        <w:t>机位标志示意图</w:t>
      </w:r>
    </w:p>
    <w:p w14:paraId="76DFF98A">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3.2</w:t>
      </w:r>
      <w:r>
        <w:rPr>
          <w:rFonts w:hint="eastAsia" w:ascii="黑体" w:hAnsi="黑体" w:eastAsia="黑体"/>
          <w:color w:val="000000" w:themeColor="text1"/>
          <w14:textFill>
            <w14:solidFill>
              <w14:schemeClr w14:val="tx1"/>
            </w14:solidFill>
          </w14:textFill>
        </w:rPr>
        <w:tab/>
      </w:r>
      <w:r>
        <w:t>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可根据停放、检修和保养等需求建设机库。机库可分为存放机库、维修机库，存放机库可兼做维修机库。</w:t>
      </w:r>
      <w:r>
        <w:rPr>
          <w:rFonts w:hint="eastAsia"/>
        </w:rPr>
        <w:t>具体要求如下：</w:t>
      </w:r>
    </w:p>
    <w:p w14:paraId="5CFA51CA">
      <w:pPr>
        <w:pStyle w:val="180"/>
        <w:widowControl w:val="0"/>
        <w:numPr>
          <w:ilvl w:val="0"/>
          <w:numId w:val="46"/>
        </w:numPr>
      </w:pPr>
      <w:r>
        <w:t>机库结构</w:t>
      </w:r>
      <w:r>
        <w:rPr>
          <w:rFonts w:hint="eastAsia"/>
        </w:rPr>
        <w:t>应</w:t>
      </w:r>
      <w:r>
        <w:t>考虑抗风设计，在机库内可布置航材存放设施</w:t>
      </w:r>
      <w:r>
        <w:rPr>
          <w:rFonts w:hint="eastAsia"/>
        </w:rPr>
        <w:t>；</w:t>
      </w:r>
    </w:p>
    <w:p w14:paraId="1E5BDA3A">
      <w:pPr>
        <w:pStyle w:val="180"/>
        <w:widowControl w:val="0"/>
      </w:pPr>
      <w:r>
        <w:t>机库尺寸内部空间应满足</w:t>
      </w:r>
      <w:r>
        <w:rPr>
          <w:rFonts w:hint="eastAsia"/>
        </w:rPr>
        <w:t>适配</w:t>
      </w:r>
      <w:r>
        <w:t>机型的存放要求，机库面积视拟停放的</w:t>
      </w:r>
      <w:r>
        <w:rPr>
          <w:rFonts w:hint="eastAsia"/>
        </w:rPr>
        <w:t>航空器</w:t>
      </w:r>
      <w:r>
        <w:t>数量确定</w:t>
      </w:r>
      <w:r>
        <w:rPr>
          <w:rFonts w:hint="eastAsia"/>
        </w:rPr>
        <w:t>；</w:t>
      </w:r>
    </w:p>
    <w:p w14:paraId="783AD40E">
      <w:pPr>
        <w:pStyle w:val="180"/>
        <w:widowControl w:val="0"/>
      </w:pPr>
      <w:r>
        <w:t>机库应预留安全、宽敞、视野开阔的进出通道，通道应与</w:t>
      </w:r>
      <w:r>
        <w:rPr>
          <w:rFonts w:hint="eastAsia"/>
        </w:rPr>
        <w:t>起降单元</w:t>
      </w:r>
      <w:r>
        <w:t>顺畅衔接，便于航空器在机库与起降单元之间的地面转运</w:t>
      </w:r>
      <w:r>
        <w:rPr>
          <w:rFonts w:hint="eastAsia"/>
        </w:rPr>
        <w:t>；</w:t>
      </w:r>
    </w:p>
    <w:p w14:paraId="0864ED24">
      <w:pPr>
        <w:pStyle w:val="180"/>
        <w:widowControl w:val="0"/>
      </w:pPr>
      <w:r>
        <w:t>一级</w:t>
      </w:r>
      <w:r>
        <w:rPr>
          <w:rFonts w:hint="eastAsia"/>
        </w:rPr>
        <w:t>低空垂直</w:t>
      </w:r>
      <w:r>
        <w:t>起降</w:t>
      </w:r>
      <w:r>
        <w:rPr>
          <w:rFonts w:hint="eastAsia"/>
        </w:rPr>
        <w:t>设施</w:t>
      </w:r>
      <w:r>
        <w:t>宜配置不少于4机位综合机库，包含专用维修机库，满足</w:t>
      </w:r>
      <w:r>
        <w:rPr>
          <w:rFonts w:hint="eastAsia"/>
        </w:rPr>
        <w:t>低空垂直起降</w:t>
      </w:r>
      <w:r>
        <w:t>航空器停放、防护、维保、航材存放需求；二级起降</w:t>
      </w:r>
      <w:r>
        <w:rPr>
          <w:rFonts w:hint="eastAsia"/>
        </w:rPr>
        <w:t>设施</w:t>
      </w:r>
      <w:r>
        <w:t>按需选配机库</w:t>
      </w:r>
      <w:r>
        <w:rPr>
          <w:rFonts w:hint="eastAsia"/>
        </w:rPr>
        <w:t>。</w:t>
      </w:r>
    </w:p>
    <w:p w14:paraId="5EA3C4ED">
      <w:pPr>
        <w:pStyle w:val="71"/>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指挥室</w:t>
      </w:r>
    </w:p>
    <w:p w14:paraId="4BC69456">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8.4.4.1</w:t>
      </w:r>
      <w:r>
        <w:rPr>
          <w:rFonts w:hint="eastAsia" w:ascii="黑体" w:hAnsi="黑体" w:eastAsia="黑体"/>
          <w:color w:val="000000" w:themeColor="text1"/>
          <w14:textFill>
            <w14:solidFill>
              <w14:schemeClr w14:val="tx1"/>
            </w14:solidFill>
          </w14:textFill>
        </w:rPr>
        <w:tab/>
      </w:r>
      <w:r>
        <w:t>一</w:t>
      </w:r>
      <w:r>
        <w:rPr>
          <w:rFonts w:hint="eastAsia"/>
        </w:rPr>
        <w:t>级和</w:t>
      </w:r>
      <w:r>
        <w:t>二级</w:t>
      </w:r>
      <w:r>
        <w:rPr>
          <w:rFonts w:hint="eastAsia"/>
        </w:rPr>
        <w:t>垂直起降</w:t>
      </w:r>
      <w:r>
        <w:t>起降</w:t>
      </w:r>
      <w:r>
        <w:rPr>
          <w:rFonts w:hint="eastAsia"/>
        </w:rPr>
        <w:t>设施宜</w:t>
      </w:r>
      <w:r>
        <w:t>配置固定专用指挥室，承担空管</w:t>
      </w:r>
      <w:r>
        <w:rPr>
          <w:rFonts w:hint="eastAsia"/>
        </w:rPr>
        <w:t>服务</w:t>
      </w:r>
      <w:r>
        <w:t>、气象</w:t>
      </w:r>
      <w:r>
        <w:rPr>
          <w:rFonts w:hint="eastAsia"/>
        </w:rPr>
        <w:t>监测</w:t>
      </w:r>
      <w:r>
        <w:t>、应急指挥功能。三级起降</w:t>
      </w:r>
      <w:r>
        <w:rPr>
          <w:rFonts w:hint="eastAsia"/>
        </w:rPr>
        <w:t>设施</w:t>
      </w:r>
      <w:r>
        <w:t>可采用简易远程指挥模式，按需选配</w:t>
      </w:r>
      <w:r>
        <w:rPr>
          <w:rFonts w:hint="eastAsia"/>
        </w:rPr>
        <w:t>指挥室</w:t>
      </w:r>
      <w:r>
        <w:t>。</w:t>
      </w:r>
    </w:p>
    <w:p w14:paraId="02ECCA4F">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8.4.4.2</w:t>
      </w:r>
      <w:r>
        <w:rPr>
          <w:rFonts w:hint="eastAsia" w:ascii="黑体" w:hAnsi="黑体" w:eastAsia="黑体"/>
          <w:color w:val="000000" w:themeColor="text1"/>
          <w14:textFill>
            <w14:solidFill>
              <w14:schemeClr w14:val="tx1"/>
            </w14:solidFill>
          </w14:textFill>
        </w:rPr>
        <w:tab/>
      </w:r>
      <w:r>
        <w:t>指挥室应设置在能无遮挡观察整个飞行</w:t>
      </w:r>
      <w:r>
        <w:rPr>
          <w:rFonts w:hint="eastAsia"/>
        </w:rPr>
        <w:t>场地</w:t>
      </w:r>
      <w:r>
        <w:t>的位置，宜通过目视或视频监控系统实现全场可视化覆盖。指挥室</w:t>
      </w:r>
      <w:r>
        <w:rPr>
          <w:rFonts w:hint="eastAsia"/>
        </w:rPr>
        <w:t>的位置和高度不应穿透起降场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rPr>
        <w:t>的OLS</w:t>
      </w:r>
      <w:r>
        <w:t>。</w:t>
      </w:r>
    </w:p>
    <w:p w14:paraId="0FF411F2">
      <w:pPr>
        <w:pStyle w:val="71"/>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候机区与安检区</w:t>
      </w:r>
    </w:p>
    <w:p w14:paraId="154C59F6">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8.4.5.1</w:t>
      </w:r>
      <w:r>
        <w:rPr>
          <w:rFonts w:hint="eastAsia" w:ascii="黑体" w:hAnsi="黑体" w:eastAsia="黑体"/>
          <w:color w:val="000000" w:themeColor="text1"/>
          <w14:textFill>
            <w14:solidFill>
              <w14:schemeClr w14:val="tx1"/>
            </w14:solidFill>
          </w14:textFill>
        </w:rPr>
        <w:tab/>
      </w:r>
      <w:r>
        <w:t>载人运营的起降场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应设置候机区，配套候机设施。</w:t>
      </w:r>
    </w:p>
    <w:p w14:paraId="2D23FE6C">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8.4.5.2</w:t>
      </w:r>
      <w:r>
        <w:rPr>
          <w:rFonts w:hint="eastAsia" w:ascii="黑体" w:hAnsi="黑体" w:eastAsia="黑体"/>
          <w:color w:val="000000" w:themeColor="text1"/>
          <w14:textFill>
            <w14:solidFill>
              <w14:schemeClr w14:val="tx1"/>
            </w14:solidFill>
          </w14:textFill>
        </w:rPr>
        <w:tab/>
      </w:r>
      <w:r>
        <w:t>载人运营的起降场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t>必须设置专用安检区，实现乘客、行李安全检查、重量核验。</w:t>
      </w:r>
    </w:p>
    <w:p w14:paraId="26DA048E">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8.4.5.3</w:t>
      </w:r>
      <w:r>
        <w:rPr>
          <w:rFonts w:hint="eastAsia" w:ascii="黑体" w:hAnsi="黑体" w:eastAsia="黑体"/>
          <w:color w:val="000000" w:themeColor="text1"/>
          <w14:textFill>
            <w14:solidFill>
              <w14:schemeClr w14:val="tx1"/>
            </w14:solidFill>
          </w14:textFill>
        </w:rPr>
        <w:tab/>
      </w:r>
      <w:r>
        <w:t>应严格落实人货流线分离，候机区与</w:t>
      </w:r>
      <w:r>
        <w:rPr>
          <w:rFonts w:hint="eastAsia"/>
        </w:rPr>
        <w:t>飞行场地</w:t>
      </w:r>
      <w:r>
        <w:t>物理隔离，杜绝安全隐患，紧急情况下互不影响。</w:t>
      </w:r>
    </w:p>
    <w:p w14:paraId="7D1203F3">
      <w:pPr>
        <w:pStyle w:val="71"/>
        <w:spacing w:before="156" w:after="156"/>
        <w:ind w:left="0"/>
        <w:rPr>
          <w:color w:val="000000" w:themeColor="text1"/>
          <w14:textFill>
            <w14:solidFill>
              <w14:schemeClr w14:val="tx1"/>
            </w14:solidFill>
          </w14:textFill>
        </w:rPr>
      </w:pPr>
      <w:r>
        <w:rPr>
          <w:rFonts w:hint="eastAsia"/>
          <w:color w:val="000000" w:themeColor="text1"/>
          <w14:textFill>
            <w14:solidFill>
              <w14:schemeClr w14:val="tx1"/>
            </w14:solidFill>
          </w14:textFill>
        </w:rPr>
        <w:t>堆货区</w:t>
      </w:r>
    </w:p>
    <w:p w14:paraId="372E6DED">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8.4.6.1</w:t>
      </w:r>
      <w:r>
        <w:rPr>
          <w:rFonts w:hint="eastAsia" w:ascii="黑体" w:hAnsi="黑体" w:eastAsia="黑体"/>
          <w:color w:val="000000" w:themeColor="text1"/>
          <w14:textFill>
            <w14:solidFill>
              <w14:schemeClr w14:val="tx1"/>
            </w14:solidFill>
          </w14:textFill>
        </w:rPr>
        <w:tab/>
      </w:r>
      <w:r>
        <w:t>一</w:t>
      </w:r>
      <w:r>
        <w:rPr>
          <w:rFonts w:hint="eastAsia"/>
        </w:rPr>
        <w:t>级和</w:t>
      </w:r>
      <w:r>
        <w:t>二级起降</w:t>
      </w:r>
      <w:r>
        <w:rPr>
          <w:rFonts w:hint="eastAsia"/>
        </w:rPr>
        <w:t>设施</w:t>
      </w:r>
      <w:r>
        <w:t>宜配置专用货物堆存、分拣、装卸区域，满足低空货运暂存、流转需求。</w:t>
      </w:r>
    </w:p>
    <w:p w14:paraId="0B3BDF1D">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8.4.6.2</w:t>
      </w:r>
      <w:r>
        <w:rPr>
          <w:rFonts w:hint="eastAsia" w:ascii="黑体" w:hAnsi="黑体" w:eastAsia="黑体"/>
          <w:color w:val="000000" w:themeColor="text1"/>
          <w14:textFill>
            <w14:solidFill>
              <w14:schemeClr w14:val="tx1"/>
            </w14:solidFill>
          </w14:textFill>
        </w:rPr>
        <w:tab/>
      </w:r>
      <w:r>
        <w:t>应合理布局堆货区、分拣区、装卸区和货车停车区等，确保货运组织便捷通畅，同时不对乘客服务区功能和交通组织造成影响。</w:t>
      </w:r>
    </w:p>
    <w:p w14:paraId="12EB0FFD">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8.4.6.3</w:t>
      </w:r>
      <w:r>
        <w:rPr>
          <w:rFonts w:hint="eastAsia" w:ascii="黑体" w:hAnsi="黑体" w:eastAsia="黑体"/>
          <w:color w:val="000000" w:themeColor="text1"/>
          <w14:textFill>
            <w14:solidFill>
              <w14:schemeClr w14:val="tx1"/>
            </w14:solidFill>
          </w14:textFill>
        </w:rPr>
        <w:tab/>
      </w:r>
      <w:r>
        <w:t>堆货区与</w:t>
      </w:r>
      <w:r>
        <w:rPr>
          <w:rFonts w:hint="eastAsia"/>
        </w:rPr>
        <w:t>飞行场地</w:t>
      </w:r>
      <w:r>
        <w:t>之间应做好安全防护。货物流转路线应减少对</w:t>
      </w:r>
      <w:r>
        <w:rPr>
          <w:rFonts w:hint="eastAsia"/>
        </w:rPr>
        <w:t>飞行场地</w:t>
      </w:r>
      <w:r>
        <w:t>的穿越</w:t>
      </w:r>
      <w:r>
        <w:rPr>
          <w:rFonts w:hint="eastAsia"/>
        </w:rPr>
        <w:t>。</w:t>
      </w:r>
      <w:r>
        <w:t>紧急情况</w:t>
      </w:r>
      <w:r>
        <w:rPr>
          <w:rFonts w:hint="eastAsia"/>
        </w:rPr>
        <w:t>下互</w:t>
      </w:r>
      <w:r>
        <w:t>不影响。</w:t>
      </w:r>
    </w:p>
    <w:p w14:paraId="2323F2F0">
      <w:pPr>
        <w:pStyle w:val="62"/>
        <w:widowControl w:val="0"/>
        <w:ind w:firstLine="0" w:firstLineChars="0"/>
        <w:outlineLvl w:val="3"/>
      </w:pPr>
      <w:r>
        <w:rPr>
          <w:rFonts w:hint="eastAsia" w:ascii="黑体" w:hAnsi="黑体" w:eastAsia="黑体"/>
          <w:color w:val="000000" w:themeColor="text1"/>
          <w14:textFill>
            <w14:solidFill>
              <w14:schemeClr w14:val="tx1"/>
            </w14:solidFill>
          </w14:textFill>
        </w:rPr>
        <w:t>8.4.6.4</w:t>
      </w:r>
      <w:r>
        <w:rPr>
          <w:rFonts w:hint="eastAsia" w:ascii="黑体" w:hAnsi="黑体" w:eastAsia="黑体"/>
          <w:color w:val="000000" w:themeColor="text1"/>
          <w14:textFill>
            <w14:solidFill>
              <w14:schemeClr w14:val="tx1"/>
            </w14:solidFill>
          </w14:textFill>
        </w:rPr>
        <w:tab/>
      </w:r>
      <w:r>
        <w:rPr>
          <w:rFonts w:hint="eastAsia"/>
        </w:rPr>
        <w:t>宜为堆货区配备安检设备</w:t>
      </w:r>
      <w:r>
        <w:t>。</w:t>
      </w:r>
    </w:p>
    <w:p w14:paraId="06B36299">
      <w:pPr>
        <w:pStyle w:val="110"/>
        <w:widowControl w:val="0"/>
        <w:spacing w:before="312" w:after="312"/>
        <w:ind w:left="0"/>
        <w:rPr>
          <w:color w:val="000000" w:themeColor="text1"/>
          <w14:textFill>
            <w14:solidFill>
              <w14:schemeClr w14:val="tx1"/>
            </w14:solidFill>
          </w14:textFill>
        </w:rPr>
      </w:pPr>
      <w:bookmarkStart w:id="644" w:name="_Toc240387896"/>
      <w:r>
        <w:rPr>
          <w:rFonts w:hint="eastAsia"/>
          <w:color w:val="000000" w:themeColor="text1"/>
          <w14:textFill>
            <w14:solidFill>
              <w14:schemeClr w14:val="tx1"/>
            </w14:solidFill>
          </w14:textFill>
        </w:rPr>
        <w:t>起降场/起降</w:t>
      </w:r>
      <w:r>
        <w:rPr>
          <w:color w:val="000000" w:themeColor="text1"/>
          <w14:textFill>
            <w14:solidFill>
              <w14:schemeClr w14:val="tx1"/>
            </w14:solidFill>
          </w14:textFill>
        </w:rPr>
        <w:t>点</w:t>
      </w:r>
      <w:r>
        <w:rPr>
          <w:rFonts w:hint="eastAsia"/>
          <w:color w:val="000000" w:themeColor="text1"/>
          <w14:textFill>
            <w14:solidFill>
              <w14:schemeClr w14:val="tx1"/>
            </w14:solidFill>
          </w14:textFill>
        </w:rPr>
        <w:t>运行管理要求</w:t>
      </w:r>
      <w:bookmarkEnd w:id="644"/>
    </w:p>
    <w:p w14:paraId="2ADA4C4B">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日常运营管理</w:t>
      </w:r>
    </w:p>
    <w:p w14:paraId="7B921E8F">
      <w:pPr>
        <w:pStyle w:val="71"/>
        <w:spacing w:beforeLines="0" w:afterLines="0"/>
        <w:ind w:left="0"/>
        <w:rPr>
          <w:rFonts w:hAnsi="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起降场/起降点运营单位应建立健全</w:t>
      </w:r>
      <w:r>
        <w:rPr>
          <w:rFonts w:hint="eastAsia" w:ascii="宋体" w:hAnsi="宋体" w:eastAsia="宋体"/>
          <w:color w:val="000000" w:themeColor="text1"/>
          <w14:textFill>
            <w14:solidFill>
              <w14:schemeClr w14:val="tx1"/>
            </w14:solidFill>
          </w14:textFill>
        </w:rPr>
        <w:t>运营</w:t>
      </w:r>
      <w:r>
        <w:rPr>
          <w:rFonts w:ascii="宋体" w:hAnsi="宋体" w:eastAsia="宋体"/>
          <w:color w:val="000000" w:themeColor="text1"/>
          <w14:textFill>
            <w14:solidFill>
              <w14:schemeClr w14:val="tx1"/>
            </w14:solidFill>
          </w14:textFill>
        </w:rPr>
        <w:t>管理制度，</w:t>
      </w:r>
      <w:r>
        <w:rPr>
          <w:rFonts w:hint="eastAsia" w:ascii="宋体" w:hAnsi="宋体" w:eastAsia="宋体"/>
          <w:color w:val="000000" w:themeColor="text1"/>
          <w14:textFill>
            <w14:solidFill>
              <w14:schemeClr w14:val="tx1"/>
            </w14:solidFill>
          </w14:textFill>
        </w:rPr>
        <w:t>作为闭环管理流程的制度依据。应至少明确以下方面的管理要求和操作程序：</w:t>
      </w:r>
    </w:p>
    <w:p w14:paraId="116907E7">
      <w:pPr>
        <w:pStyle w:val="180"/>
        <w:widowControl w:val="0"/>
        <w:numPr>
          <w:ilvl w:val="0"/>
          <w:numId w:val="47"/>
        </w:numPr>
      </w:pPr>
      <w:r>
        <w:rPr>
          <w:rFonts w:hint="eastAsia"/>
        </w:rPr>
        <w:t>低空垂直起降航空器基本运行程序，应包括以下环节；</w:t>
      </w:r>
    </w:p>
    <w:p w14:paraId="37FFCBB2">
      <w:pPr>
        <w:pStyle w:val="180"/>
        <w:widowControl w:val="0"/>
        <w:numPr>
          <w:ilvl w:val="0"/>
          <w:numId w:val="48"/>
        </w:numPr>
        <w:ind w:left="1134" w:hanging="282"/>
      </w:pPr>
      <w:r>
        <w:rPr>
          <w:rFonts w:hint="eastAsia"/>
        </w:rPr>
        <w:t>任务申请与评估：运营单位应在飞行任务实施前完成飞行计划申报与审批，对任务可行性进行评估，确认飞行场地状况、空域可用性和气象条件等满足运行要求；</w:t>
      </w:r>
    </w:p>
    <w:p w14:paraId="6971CC22">
      <w:pPr>
        <w:pStyle w:val="180"/>
        <w:widowControl w:val="0"/>
        <w:numPr>
          <w:ilvl w:val="0"/>
          <w:numId w:val="48"/>
        </w:numPr>
        <w:ind w:left="1134" w:hanging="282"/>
      </w:pPr>
      <w:r>
        <w:rPr>
          <w:rFonts w:hint="eastAsia"/>
        </w:rPr>
        <w:t>航空器放行：确认航空器适航状态、载荷配置以及通信导航监视反制设备状况，符合放行条件后方可实施运行；</w:t>
      </w:r>
    </w:p>
    <w:p w14:paraId="7744250E">
      <w:pPr>
        <w:pStyle w:val="180"/>
        <w:widowControl w:val="0"/>
        <w:numPr>
          <w:ilvl w:val="0"/>
          <w:numId w:val="48"/>
        </w:numPr>
        <w:ind w:left="1134" w:hanging="282"/>
      </w:pPr>
      <w:r>
        <w:rPr>
          <w:rFonts w:hint="eastAsia"/>
        </w:rPr>
        <w:t>运行实时监控：航空器起降过程中，运营单位应对航空器、起降场</w:t>
      </w:r>
      <w:r>
        <w:rPr>
          <w:rFonts w:hint="eastAsia"/>
          <w:color w:val="000000" w:themeColor="text1"/>
          <w14:textFill>
            <w14:solidFill>
              <w14:schemeClr w14:val="tx1"/>
            </w14:solidFill>
          </w14:textFill>
        </w:rPr>
        <w:t>/起降</w:t>
      </w:r>
      <w:r>
        <w:rPr>
          <w:color w:val="000000" w:themeColor="text1"/>
          <w14:textFill>
            <w14:solidFill>
              <w14:schemeClr w14:val="tx1"/>
            </w14:solidFill>
          </w14:textFill>
        </w:rPr>
        <w:t>点</w:t>
      </w:r>
      <w:r>
        <w:rPr>
          <w:rFonts w:hint="eastAsia"/>
        </w:rPr>
        <w:t>以及周边空域实施实时监控，确保运行安全；</w:t>
      </w:r>
    </w:p>
    <w:p w14:paraId="57E68825">
      <w:pPr>
        <w:pStyle w:val="180"/>
        <w:widowControl w:val="0"/>
        <w:numPr>
          <w:ilvl w:val="0"/>
          <w:numId w:val="48"/>
        </w:numPr>
        <w:ind w:left="1134" w:hanging="282"/>
      </w:pPr>
      <w:r>
        <w:rPr>
          <w:rFonts w:hint="eastAsia"/>
        </w:rPr>
        <w:t>异常情形处置：遇有异常或紧急情况，运营单位应立即启动相应处置程序，确保人员与航空器安全；</w:t>
      </w:r>
    </w:p>
    <w:p w14:paraId="3C28D3E9">
      <w:pPr>
        <w:pStyle w:val="180"/>
        <w:widowControl w:val="0"/>
        <w:numPr>
          <w:ilvl w:val="0"/>
          <w:numId w:val="48"/>
        </w:numPr>
        <w:ind w:left="1134" w:hanging="282"/>
      </w:pPr>
      <w:r>
        <w:rPr>
          <w:rFonts w:hint="eastAsia"/>
        </w:rPr>
        <w:t>任务结束与数据记录：起降任务结束后，运营单位应完成数据记录归档、设施设备复位，定期进行运行业务复盘总结。</w:t>
      </w:r>
    </w:p>
    <w:p w14:paraId="28CD2406">
      <w:pPr>
        <w:pStyle w:val="180"/>
        <w:widowControl w:val="0"/>
        <w:numPr>
          <w:ilvl w:val="0"/>
          <w:numId w:val="14"/>
        </w:numPr>
      </w:pPr>
      <w:r>
        <w:t>航空器地面移动</w:t>
      </w:r>
      <w:r>
        <w:rPr>
          <w:rFonts w:hint="eastAsia"/>
        </w:rPr>
        <w:t>、</w:t>
      </w:r>
      <w:r>
        <w:t>停放</w:t>
      </w:r>
      <w:r>
        <w:rPr>
          <w:rFonts w:hint="eastAsia"/>
        </w:rPr>
        <w:t>、充/换电以及保养维修</w:t>
      </w:r>
      <w:r>
        <w:t>程序</w:t>
      </w:r>
      <w:r>
        <w:rPr>
          <w:rFonts w:hint="eastAsia"/>
        </w:rPr>
        <w:t>；</w:t>
      </w:r>
    </w:p>
    <w:p w14:paraId="3DC5A77F">
      <w:pPr>
        <w:pStyle w:val="180"/>
        <w:widowControl w:val="0"/>
      </w:pPr>
      <w:r>
        <w:t>恶劣气象条件下的运行限制及低能见度运行程序</w:t>
      </w:r>
      <w:r>
        <w:rPr>
          <w:rFonts w:hint="eastAsia"/>
        </w:rPr>
        <w:t>；</w:t>
      </w:r>
    </w:p>
    <w:p w14:paraId="4BCD6D4A">
      <w:pPr>
        <w:pStyle w:val="180"/>
        <w:widowControl w:val="0"/>
        <w:numPr>
          <w:ilvl w:val="0"/>
          <w:numId w:val="14"/>
        </w:numPr>
      </w:pPr>
      <w:r>
        <w:t>夜间运行程序（</w:t>
      </w:r>
      <w:r>
        <w:rPr>
          <w:rFonts w:hint="eastAsia"/>
        </w:rPr>
        <w:t>若</w:t>
      </w:r>
      <w:r>
        <w:t>适用）。</w:t>
      </w:r>
    </w:p>
    <w:p w14:paraId="2BFFEA9C">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运营单位应建立安全管理体系</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识别起降场/起降点运行中</w:t>
      </w:r>
      <w:r>
        <w:rPr>
          <w:rFonts w:hint="eastAsia" w:ascii="宋体" w:hAnsi="宋体" w:eastAsia="宋体"/>
          <w:color w:val="000000" w:themeColor="text1"/>
          <w14:textFill>
            <w14:solidFill>
              <w14:schemeClr w14:val="tx1"/>
            </w14:solidFill>
          </w14:textFill>
        </w:rPr>
        <w:t>的危险源、评估风险、</w:t>
      </w:r>
      <w:r>
        <w:rPr>
          <w:rFonts w:ascii="宋体" w:hAnsi="宋体" w:eastAsia="宋体"/>
          <w:color w:val="000000" w:themeColor="text1"/>
          <w14:textFill>
            <w14:solidFill>
              <w14:schemeClr w14:val="tx1"/>
            </w14:solidFill>
          </w14:textFill>
        </w:rPr>
        <w:t>制定相应的风险</w:t>
      </w:r>
      <w:r>
        <w:rPr>
          <w:rFonts w:hint="eastAsia" w:ascii="宋体" w:hAnsi="宋体" w:eastAsia="宋体"/>
          <w:color w:val="000000" w:themeColor="text1"/>
          <w14:textFill>
            <w14:solidFill>
              <w14:schemeClr w14:val="tx1"/>
            </w14:solidFill>
          </w14:textFill>
        </w:rPr>
        <w:t>管控和隐患排查</w:t>
      </w:r>
      <w:r>
        <w:rPr>
          <w:rFonts w:ascii="宋体" w:hAnsi="宋体" w:eastAsia="宋体"/>
          <w:color w:val="000000" w:themeColor="text1"/>
          <w14:textFill>
            <w14:solidFill>
              <w14:schemeClr w14:val="tx1"/>
            </w14:solidFill>
          </w14:textFill>
        </w:rPr>
        <w:t>措施。</w:t>
      </w:r>
    </w:p>
    <w:p w14:paraId="60A848C7">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w:t>
      </w:r>
      <w:r>
        <w:rPr>
          <w:rFonts w:hint="eastAsia" w:ascii="宋体" w:hAnsi="宋体" w:eastAsia="宋体"/>
          <w:color w:val="000000" w:themeColor="text1"/>
          <w14:textFill>
            <w14:solidFill>
              <w14:schemeClr w14:val="tx1"/>
            </w14:solidFill>
          </w14:textFill>
        </w:rPr>
        <w:t>建立</w:t>
      </w:r>
      <w:r>
        <w:rPr>
          <w:rFonts w:ascii="宋体" w:hAnsi="宋体" w:eastAsia="宋体"/>
          <w:color w:val="000000" w:themeColor="text1"/>
          <w14:textFill>
            <w14:solidFill>
              <w14:schemeClr w14:val="tx1"/>
            </w14:solidFill>
          </w14:textFill>
        </w:rPr>
        <w:t>安全保卫</w:t>
      </w:r>
      <w:r>
        <w:rPr>
          <w:rFonts w:hint="eastAsia" w:ascii="宋体" w:hAnsi="宋体" w:eastAsia="宋体"/>
          <w:color w:val="000000" w:themeColor="text1"/>
          <w14:textFill>
            <w14:solidFill>
              <w14:schemeClr w14:val="tx1"/>
            </w14:solidFill>
          </w14:textFill>
        </w:rPr>
        <w:t>体系</w:t>
      </w:r>
      <w:r>
        <w:rPr>
          <w:rFonts w:ascii="宋体" w:hAnsi="宋体" w:eastAsia="宋体"/>
          <w:color w:val="000000" w:themeColor="text1"/>
          <w14:textFill>
            <w14:solidFill>
              <w14:schemeClr w14:val="tx1"/>
            </w14:solidFill>
          </w14:textFill>
        </w:rPr>
        <w:t>，防止未经授权的人员</w:t>
      </w:r>
      <w:r>
        <w:rPr>
          <w:rFonts w:hint="eastAsia" w:ascii="宋体" w:hAnsi="宋体" w:eastAsia="宋体"/>
          <w:color w:val="000000" w:themeColor="text1"/>
          <w14:textFill>
            <w14:solidFill>
              <w14:schemeClr w14:val="tx1"/>
            </w14:solidFill>
          </w14:textFill>
        </w:rPr>
        <w:t>和</w:t>
      </w:r>
      <w:r>
        <w:rPr>
          <w:rFonts w:ascii="宋体" w:hAnsi="宋体" w:eastAsia="宋体"/>
          <w:color w:val="000000" w:themeColor="text1"/>
          <w14:textFill>
            <w14:solidFill>
              <w14:schemeClr w14:val="tx1"/>
            </w14:solidFill>
          </w14:textFill>
        </w:rPr>
        <w:t>车辆进入</w:t>
      </w:r>
      <w:r>
        <w:rPr>
          <w:rFonts w:hint="eastAsia" w:ascii="宋体" w:hAnsi="宋体" w:eastAsia="宋体"/>
          <w:color w:val="000000" w:themeColor="text1"/>
          <w14:textFill>
            <w14:solidFill>
              <w14:schemeClr w14:val="tx1"/>
            </w14:solidFill>
          </w14:textFill>
        </w:rPr>
        <w:t>起降场</w:t>
      </w:r>
      <w:r>
        <w:rPr>
          <w:rFonts w:ascii="宋体" w:hAnsi="宋体" w:eastAsia="宋体"/>
          <w:color w:val="000000" w:themeColor="text1"/>
          <w14:textFill>
            <w14:solidFill>
              <w14:schemeClr w14:val="tx1"/>
            </w14:solidFill>
          </w14:textFill>
        </w:rPr>
        <w:t>/起降点</w:t>
      </w:r>
      <w:r>
        <w:rPr>
          <w:rFonts w:hint="eastAsia" w:ascii="宋体" w:hAnsi="宋体" w:eastAsia="宋体"/>
          <w:color w:val="000000" w:themeColor="text1"/>
          <w14:textFill>
            <w14:solidFill>
              <w14:schemeClr w14:val="tx1"/>
            </w14:solidFill>
          </w14:textFill>
        </w:rPr>
        <w:t>，注意设置起降场</w:t>
      </w:r>
      <w:r>
        <w:rPr>
          <w:rFonts w:ascii="宋体" w:hAnsi="宋体" w:eastAsia="宋体"/>
          <w:color w:val="000000" w:themeColor="text1"/>
          <w14:textFill>
            <w14:solidFill>
              <w14:schemeClr w14:val="tx1"/>
            </w14:solidFill>
          </w14:textFill>
        </w:rPr>
        <w:t>/起降点与公共区域之间的物理隔离设施</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出入口控制</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安全警示标识</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视频监控设施</w:t>
      </w:r>
      <w:r>
        <w:rPr>
          <w:rFonts w:hint="eastAsia" w:ascii="宋体" w:hAnsi="宋体" w:eastAsia="宋体"/>
          <w:color w:val="000000" w:themeColor="text1"/>
          <w14:textFill>
            <w14:solidFill>
              <w14:schemeClr w14:val="tx1"/>
            </w14:solidFill>
          </w14:textFill>
        </w:rPr>
        <w:t>等</w:t>
      </w:r>
      <w:r>
        <w:rPr>
          <w:rFonts w:ascii="宋体" w:hAnsi="宋体" w:eastAsia="宋体"/>
          <w:color w:val="000000" w:themeColor="text1"/>
          <w14:textFill>
            <w14:solidFill>
              <w14:schemeClr w14:val="tx1"/>
            </w14:solidFill>
          </w14:textFill>
        </w:rPr>
        <w:t>。</w:t>
      </w:r>
    </w:p>
    <w:p w14:paraId="07FB8DD6">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运营单位应建立净空巡视检查制度，定期对起降场/起降点</w:t>
      </w:r>
      <w:r>
        <w:rPr>
          <w:rFonts w:hint="eastAsia" w:ascii="宋体" w:hAnsi="宋体" w:eastAsia="宋体"/>
          <w:color w:val="000000" w:themeColor="text1"/>
          <w14:textFill>
            <w14:solidFill>
              <w14:schemeClr w14:val="tx1"/>
            </w14:solidFill>
          </w14:textFill>
        </w:rPr>
        <w:t>OLS</w:t>
      </w:r>
      <w:r>
        <w:rPr>
          <w:rFonts w:ascii="宋体" w:hAnsi="宋体" w:eastAsia="宋体"/>
          <w:color w:val="000000" w:themeColor="text1"/>
          <w14:textFill>
            <w14:solidFill>
              <w14:schemeClr w14:val="tx1"/>
            </w14:solidFill>
          </w14:textFill>
        </w:rPr>
        <w:t>范围内的净空环境进行巡查</w:t>
      </w:r>
      <w:r>
        <w:rPr>
          <w:rFonts w:hint="eastAsia" w:ascii="宋体" w:hAnsi="宋体" w:eastAsia="宋体"/>
          <w:color w:val="000000" w:themeColor="text1"/>
          <w14:textFill>
            <w14:solidFill>
              <w14:schemeClr w14:val="tx1"/>
            </w14:solidFill>
          </w14:textFill>
        </w:rPr>
        <w:t>，观察周边障碍物的变化情况并设立观察台账</w:t>
      </w:r>
      <w:r>
        <w:rPr>
          <w:rFonts w:ascii="宋体" w:hAnsi="宋体" w:eastAsia="宋体"/>
          <w:color w:val="000000" w:themeColor="text1"/>
          <w14:textFill>
            <w14:solidFill>
              <w14:schemeClr w14:val="tx1"/>
            </w14:solidFill>
          </w14:textFill>
        </w:rPr>
        <w:t>。发现新出现或超高的障碍物时应及时处置，并按规定报告。</w:t>
      </w:r>
    </w:p>
    <w:p w14:paraId="034D1E6F">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运营单位应配合所在地无线电管理机构确定电磁环境保护区域，加强电磁环境巡视检查。通信导航监视设施应满足电磁兼容性要求，防止电磁干扰影响数据质量。</w:t>
      </w:r>
    </w:p>
    <w:p w14:paraId="2A477C7D">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数据信息管理</w:t>
      </w:r>
    </w:p>
    <w:p w14:paraId="137FA11A">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运营单位应建立数据信息管理制度，对运行过程中</w:t>
      </w:r>
      <w:r>
        <w:rPr>
          <w:rFonts w:hint="eastAsia" w:ascii="宋体" w:hAnsi="宋体" w:eastAsia="宋体"/>
          <w:color w:val="000000" w:themeColor="text1"/>
          <w14:textFill>
            <w14:solidFill>
              <w14:schemeClr w14:val="tx1"/>
            </w14:solidFill>
          </w14:textFill>
        </w:rPr>
        <w:t>采集、传输、处理、存储和共享</w:t>
      </w:r>
      <w:r>
        <w:rPr>
          <w:rFonts w:ascii="宋体" w:hAnsi="宋体" w:eastAsia="宋体"/>
          <w:color w:val="000000" w:themeColor="text1"/>
          <w14:textFill>
            <w14:solidFill>
              <w14:schemeClr w14:val="tx1"/>
            </w14:solidFill>
          </w14:textFill>
        </w:rPr>
        <w:t>的数据</w:t>
      </w:r>
      <w:r>
        <w:rPr>
          <w:rFonts w:hint="eastAsia" w:ascii="宋体" w:hAnsi="宋体" w:eastAsia="宋体"/>
          <w:color w:val="000000" w:themeColor="text1"/>
          <w14:textFill>
            <w14:solidFill>
              <w14:schemeClr w14:val="tx1"/>
            </w14:solidFill>
          </w14:textFill>
        </w:rPr>
        <w:t>信息</w:t>
      </w:r>
      <w:r>
        <w:rPr>
          <w:rFonts w:ascii="宋体" w:hAnsi="宋体" w:eastAsia="宋体"/>
          <w:color w:val="000000" w:themeColor="text1"/>
          <w14:textFill>
            <w14:solidFill>
              <w14:schemeClr w14:val="tx1"/>
            </w14:solidFill>
          </w14:textFill>
        </w:rPr>
        <w:t>进行安全管理</w:t>
      </w:r>
      <w:r>
        <w:rPr>
          <w:rFonts w:hint="eastAsia" w:ascii="宋体" w:hAnsi="宋体" w:eastAsia="宋体"/>
          <w:color w:val="000000" w:themeColor="text1"/>
          <w14:textFill>
            <w14:solidFill>
              <w14:schemeClr w14:val="tx1"/>
            </w14:solidFill>
          </w14:textFill>
        </w:rPr>
        <w:t>，数据信息应做好留存备查，宜建设数字化系统实现高效管理。</w:t>
      </w:r>
    </w:p>
    <w:p w14:paraId="5D6E47B3">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数据信息管理应至少涵盖以下数据类型：飞行活动数据（</w:t>
      </w:r>
      <w:r>
        <w:rPr>
          <w:rFonts w:hint="eastAsia" w:ascii="宋体" w:hAnsi="宋体" w:eastAsia="宋体"/>
          <w:color w:val="000000" w:themeColor="text1"/>
          <w14:textFill>
            <w14:solidFill>
              <w14:schemeClr w14:val="tx1"/>
            </w14:solidFill>
          </w14:textFill>
        </w:rPr>
        <w:t>例如</w:t>
      </w:r>
      <w:r>
        <w:rPr>
          <w:rFonts w:ascii="宋体" w:hAnsi="宋体" w:eastAsia="宋体"/>
          <w:color w:val="000000" w:themeColor="text1"/>
          <w14:textFill>
            <w14:solidFill>
              <w14:schemeClr w14:val="tx1"/>
            </w14:solidFill>
          </w14:textFill>
        </w:rPr>
        <w:t>飞行计划、起降记录</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飞行轨迹等）</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航空器数据（</w:t>
      </w:r>
      <w:r>
        <w:rPr>
          <w:rFonts w:hint="eastAsia" w:ascii="宋体" w:hAnsi="宋体" w:eastAsia="宋体"/>
          <w:color w:val="000000" w:themeColor="text1"/>
          <w14:textFill>
            <w14:solidFill>
              <w14:schemeClr w14:val="tx1"/>
            </w14:solidFill>
          </w14:textFill>
        </w:rPr>
        <w:t>例如</w:t>
      </w:r>
      <w:r>
        <w:rPr>
          <w:rFonts w:ascii="宋体" w:hAnsi="宋体" w:eastAsia="宋体"/>
          <w:color w:val="000000" w:themeColor="text1"/>
          <w14:textFill>
            <w14:solidFill>
              <w14:schemeClr w14:val="tx1"/>
            </w14:solidFill>
          </w14:textFill>
        </w:rPr>
        <w:t>航空器身份信息、技术参数、运行状态等）</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气象数据（</w:t>
      </w:r>
      <w:r>
        <w:rPr>
          <w:rFonts w:hint="eastAsia" w:ascii="宋体" w:hAnsi="宋体" w:eastAsia="宋体"/>
          <w:color w:val="000000" w:themeColor="text1"/>
          <w14:textFill>
            <w14:solidFill>
              <w14:schemeClr w14:val="tx1"/>
            </w14:solidFill>
          </w14:textFill>
        </w:rPr>
        <w:t>例如</w:t>
      </w:r>
      <w:r>
        <w:rPr>
          <w:rFonts w:ascii="宋体" w:hAnsi="宋体" w:eastAsia="宋体"/>
          <w:color w:val="000000" w:themeColor="text1"/>
          <w14:textFill>
            <w14:solidFill>
              <w14:schemeClr w14:val="tx1"/>
            </w14:solidFill>
          </w14:textFill>
        </w:rPr>
        <w:t>风速、风向、温度、气压、能见度等）</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设施设备运行数据</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人员信息（</w:t>
      </w:r>
      <w:r>
        <w:rPr>
          <w:rFonts w:hint="eastAsia" w:ascii="宋体" w:hAnsi="宋体" w:eastAsia="宋体"/>
          <w:color w:val="000000" w:themeColor="text1"/>
          <w14:textFill>
            <w14:solidFill>
              <w14:schemeClr w14:val="tx1"/>
            </w14:solidFill>
          </w14:textFill>
        </w:rPr>
        <w:t>例如低空航空器飞行员/操控员，飞行场地工作人员</w:t>
      </w:r>
      <w:r>
        <w:rPr>
          <w:rFonts w:ascii="宋体" w:hAnsi="宋体" w:eastAsia="宋体"/>
          <w:color w:val="000000" w:themeColor="text1"/>
          <w14:textFill>
            <w14:solidFill>
              <w14:schemeClr w14:val="tx1"/>
            </w14:solidFill>
          </w14:textFill>
        </w:rPr>
        <w:t>等）</w:t>
      </w:r>
      <w:r>
        <w:rPr>
          <w:rFonts w:hint="eastAsia" w:ascii="宋体" w:hAnsi="宋体" w:eastAsia="宋体"/>
          <w:color w:val="000000" w:themeColor="text1"/>
          <w14:textFill>
            <w14:solidFill>
              <w14:schemeClr w14:val="tx1"/>
            </w14:solidFill>
          </w14:textFill>
        </w:rPr>
        <w:t>。</w:t>
      </w:r>
    </w:p>
    <w:p w14:paraId="3279B0D1">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运营单位应对涉及个人</w:t>
      </w:r>
      <w:r>
        <w:rPr>
          <w:rFonts w:hint="eastAsia" w:ascii="宋体" w:hAnsi="宋体" w:eastAsia="宋体"/>
          <w:color w:val="000000" w:themeColor="text1"/>
          <w14:textFill>
            <w14:solidFill>
              <w14:schemeClr w14:val="tx1"/>
            </w14:solidFill>
          </w14:textFill>
        </w:rPr>
        <w:t>隐私</w:t>
      </w:r>
      <w:r>
        <w:rPr>
          <w:rFonts w:ascii="宋体" w:hAnsi="宋体" w:eastAsia="宋体"/>
          <w:color w:val="000000" w:themeColor="text1"/>
          <w14:textFill>
            <w14:solidFill>
              <w14:schemeClr w14:val="tx1"/>
            </w14:solidFill>
          </w14:textFill>
        </w:rPr>
        <w:t>数据</w:t>
      </w:r>
      <w:r>
        <w:rPr>
          <w:rFonts w:hint="eastAsia" w:ascii="宋体" w:hAnsi="宋体" w:eastAsia="宋体"/>
          <w:color w:val="000000" w:themeColor="text1"/>
          <w14:textFill>
            <w14:solidFill>
              <w14:schemeClr w14:val="tx1"/>
            </w14:solidFill>
          </w14:textFill>
        </w:rPr>
        <w:t>信息</w:t>
      </w:r>
      <w:r>
        <w:rPr>
          <w:rFonts w:ascii="宋体" w:hAnsi="宋体" w:eastAsia="宋体"/>
          <w:color w:val="000000" w:themeColor="text1"/>
          <w14:textFill>
            <w14:solidFill>
              <w14:schemeClr w14:val="tx1"/>
            </w14:solidFill>
          </w14:textFill>
        </w:rPr>
        <w:t>进行处理时，遵循合法、正当、必要和诚信原则，并采取必要的技术措施保护</w:t>
      </w:r>
      <w:r>
        <w:rPr>
          <w:rFonts w:hint="eastAsia" w:ascii="宋体" w:hAnsi="宋体" w:eastAsia="宋体"/>
          <w:color w:val="000000" w:themeColor="text1"/>
          <w14:textFill>
            <w14:solidFill>
              <w14:schemeClr w14:val="tx1"/>
            </w14:solidFill>
          </w14:textFill>
        </w:rPr>
        <w:t>数据</w:t>
      </w:r>
      <w:r>
        <w:rPr>
          <w:rFonts w:ascii="宋体" w:hAnsi="宋体" w:eastAsia="宋体"/>
          <w:color w:val="000000" w:themeColor="text1"/>
          <w14:textFill>
            <w14:solidFill>
              <w14:schemeClr w14:val="tx1"/>
            </w14:solidFill>
          </w14:textFill>
        </w:rPr>
        <w:t>信息安全。</w:t>
      </w:r>
    </w:p>
    <w:p w14:paraId="5042A106">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起降场</w:t>
      </w:r>
      <w:r>
        <w:rPr>
          <w:rFonts w:ascii="黑体" w:hAnsi="黑体" w:eastAsia="黑体"/>
          <w:color w:val="000000" w:themeColor="text1"/>
          <w14:textFill>
            <w14:solidFill>
              <w14:schemeClr w14:val="tx1"/>
            </w14:solidFill>
          </w14:textFill>
        </w:rPr>
        <w:t>/</w:t>
      </w:r>
      <w:r>
        <w:rPr>
          <w:rFonts w:hint="eastAsia" w:ascii="黑体" w:hAnsi="黑体" w:eastAsia="黑体"/>
          <w:color w:val="000000" w:themeColor="text1"/>
          <w14:textFill>
            <w14:solidFill>
              <w14:schemeClr w14:val="tx1"/>
            </w14:solidFill>
          </w14:textFill>
        </w:rPr>
        <w:t>起降点维护</w:t>
      </w:r>
    </w:p>
    <w:p w14:paraId="6A882618">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运营单位应建立</w:t>
      </w:r>
      <w:r>
        <w:rPr>
          <w:rFonts w:hint="eastAsia" w:ascii="宋体" w:hAnsi="宋体" w:eastAsia="宋体"/>
          <w:color w:val="000000" w:themeColor="text1"/>
          <w14:textFill>
            <w14:solidFill>
              <w14:schemeClr w14:val="tx1"/>
            </w14:solidFill>
          </w14:textFill>
        </w:rPr>
        <w:t>起降</w:t>
      </w:r>
      <w:r>
        <w:rPr>
          <w:rFonts w:ascii="宋体" w:hAnsi="宋体" w:eastAsia="宋体"/>
          <w:color w:val="000000" w:themeColor="text1"/>
          <w14:textFill>
            <w14:solidFill>
              <w14:schemeClr w14:val="tx1"/>
            </w14:solidFill>
          </w14:textFill>
        </w:rPr>
        <w:t>场/起降点与设施设备的定期检查、检测和维护制度。设施设备包括但不限于：</w:t>
      </w:r>
      <w:r>
        <w:rPr>
          <w:rFonts w:hint="eastAsia" w:ascii="宋体" w:hAnsi="宋体" w:eastAsia="宋体"/>
          <w:color w:val="000000" w:themeColor="text1"/>
          <w14:textFill>
            <w14:solidFill>
              <w14:schemeClr w14:val="tx1"/>
            </w14:solidFill>
          </w14:textFill>
        </w:rPr>
        <w:t>飞行场地表面</w:t>
      </w:r>
      <w:r>
        <w:rPr>
          <w:rFonts w:ascii="宋体" w:hAnsi="宋体" w:eastAsia="宋体"/>
          <w:color w:val="000000" w:themeColor="text1"/>
          <w14:textFill>
            <w14:solidFill>
              <w14:schemeClr w14:val="tx1"/>
            </w14:solidFill>
          </w14:textFill>
        </w:rPr>
        <w:t>及结构设施</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助航灯光设施</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通信导航监视设施</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气象设施</w:t>
      </w:r>
      <w:r>
        <w:rPr>
          <w:rFonts w:hint="eastAsia" w:ascii="宋体" w:hAnsi="宋体" w:eastAsia="宋体"/>
          <w:color w:val="000000" w:themeColor="text1"/>
          <w14:textFill>
            <w14:solidFill>
              <w14:schemeClr w14:val="tx1"/>
            </w14:solidFill>
          </w14:textFill>
        </w:rPr>
        <w:t>，反制与安全设施，</w:t>
      </w:r>
      <w:r>
        <w:rPr>
          <w:rFonts w:ascii="宋体" w:hAnsi="宋体" w:eastAsia="宋体"/>
          <w:color w:val="000000" w:themeColor="text1"/>
          <w14:textFill>
            <w14:solidFill>
              <w14:schemeClr w14:val="tx1"/>
            </w14:solidFill>
          </w14:textFill>
        </w:rPr>
        <w:t>能源补给设施</w:t>
      </w:r>
      <w:r>
        <w:rPr>
          <w:rFonts w:hint="eastAsia" w:ascii="宋体" w:hAnsi="宋体" w:eastAsia="宋体"/>
          <w:color w:val="000000" w:themeColor="text1"/>
          <w14:textFill>
            <w14:solidFill>
              <w14:schemeClr w14:val="tx1"/>
            </w14:solidFill>
          </w14:textFill>
        </w:rPr>
        <w:t>，排水与防雷设施，</w:t>
      </w:r>
      <w:r>
        <w:rPr>
          <w:rFonts w:ascii="宋体" w:hAnsi="宋体" w:eastAsia="宋体"/>
          <w:color w:val="000000" w:themeColor="text1"/>
          <w14:textFill>
            <w14:solidFill>
              <w14:schemeClr w14:val="tx1"/>
            </w14:solidFill>
          </w14:textFill>
        </w:rPr>
        <w:t>消防设施和应急救援器材</w:t>
      </w:r>
      <w:r>
        <w:rPr>
          <w:rFonts w:hint="eastAsia" w:ascii="宋体" w:hAnsi="宋体" w:eastAsia="宋体"/>
          <w:color w:val="000000" w:themeColor="text1"/>
          <w14:textFill>
            <w14:solidFill>
              <w14:schemeClr w14:val="tx1"/>
            </w14:solidFill>
          </w14:textFill>
        </w:rPr>
        <w:t>。</w:t>
      </w:r>
    </w:p>
    <w:p w14:paraId="7C37C9E4">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每日运营前应完成巡检，大雨、大风、沙尘、飞行事故后应开展专项巡检。应建立外来物常态化清扫、管控机制，专职人员定点巡查、及时清理，记录并限时修复道面破损、排水堵塞等问题</w:t>
      </w:r>
      <w:r>
        <w:rPr>
          <w:rFonts w:hint="eastAsia" w:ascii="宋体" w:hAnsi="宋体" w:eastAsia="宋体"/>
          <w:color w:val="000000" w:themeColor="text1"/>
          <w14:textFill>
            <w14:solidFill>
              <w14:schemeClr w14:val="tx1"/>
            </w14:solidFill>
          </w14:textFill>
        </w:rPr>
        <w:t>。</w:t>
      </w:r>
    </w:p>
    <w:p w14:paraId="66AA7F64">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人员管理</w:t>
      </w:r>
    </w:p>
    <w:p w14:paraId="57EA1ADD">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运营单位应建立从业人员资质管理制度，管理人员</w:t>
      </w:r>
      <w:r>
        <w:rPr>
          <w:rFonts w:hint="eastAsia" w:ascii="宋体" w:hAnsi="宋体" w:eastAsia="宋体"/>
          <w:color w:val="000000" w:themeColor="text1"/>
          <w14:textFill>
            <w14:solidFill>
              <w14:schemeClr w14:val="tx1"/>
            </w14:solidFill>
          </w14:textFill>
        </w:rPr>
        <w:t>和</w:t>
      </w:r>
      <w:r>
        <w:rPr>
          <w:rFonts w:ascii="宋体" w:hAnsi="宋体" w:eastAsia="宋体"/>
          <w:color w:val="000000" w:themeColor="text1"/>
          <w14:textFill>
            <w14:solidFill>
              <w14:schemeClr w14:val="tx1"/>
            </w14:solidFill>
          </w14:textFill>
        </w:rPr>
        <w:t>一线作业人员应</w:t>
      </w:r>
      <w:r>
        <w:rPr>
          <w:rFonts w:hint="eastAsia" w:ascii="宋体" w:hAnsi="宋体" w:eastAsia="宋体"/>
          <w:color w:val="000000" w:themeColor="text1"/>
          <w14:textFill>
            <w14:solidFill>
              <w14:schemeClr w14:val="tx1"/>
            </w14:solidFill>
          </w14:textFill>
        </w:rPr>
        <w:t>经过相应业务培训</w:t>
      </w:r>
      <w:r>
        <w:rPr>
          <w:rFonts w:ascii="宋体" w:hAnsi="宋体" w:eastAsia="宋体"/>
          <w:color w:val="000000" w:themeColor="text1"/>
          <w14:textFill>
            <w14:solidFill>
              <w14:schemeClr w14:val="tx1"/>
            </w14:solidFill>
          </w14:textFill>
        </w:rPr>
        <w:t>。</w:t>
      </w:r>
      <w:r>
        <w:rPr>
          <w:rFonts w:hint="eastAsia" w:ascii="宋体" w:hAnsi="宋体" w:eastAsia="宋体"/>
          <w:color w:val="000000" w:themeColor="text1"/>
          <w14:textFill>
            <w14:solidFill>
              <w14:schemeClr w14:val="tx1"/>
            </w14:solidFill>
          </w14:textFill>
        </w:rPr>
        <w:t>修改为“</w:t>
      </w:r>
      <w:r>
        <w:rPr>
          <w:rFonts w:ascii="宋体" w:hAnsi="宋体" w:eastAsia="宋体"/>
          <w:color w:val="000000" w:themeColor="text1"/>
          <w14:textFill>
            <w14:solidFill>
              <w14:schemeClr w14:val="tx1"/>
            </w14:solidFill>
          </w14:textFill>
        </w:rPr>
        <w:t>运营单位应建立从业人员能力管理制度，管理人员和一线作业人员需具备对应岗位的业务经验，经过与岗位要求匹配的业务培训并考核合格后方可上岗。</w:t>
      </w:r>
      <w:r>
        <w:rPr>
          <w:rFonts w:hint="eastAsia" w:ascii="宋体" w:hAnsi="宋体" w:eastAsia="宋体"/>
          <w:color w:val="000000" w:themeColor="text1"/>
          <w14:textFill>
            <w14:solidFill>
              <w14:schemeClr w14:val="tx1"/>
            </w14:solidFill>
          </w14:textFill>
        </w:rPr>
        <w:t>”如何？</w:t>
      </w:r>
    </w:p>
    <w:p w14:paraId="6B825365">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运营单位应建立起降场/起降点从业人员违章记分管理制度，根据人员违章情况，对其实施重新培训和考核、暂停作业等管理手段</w:t>
      </w:r>
      <w:r>
        <w:rPr>
          <w:rFonts w:hint="eastAsia" w:ascii="宋体" w:hAnsi="宋体" w:eastAsia="宋体"/>
          <w:color w:val="000000" w:themeColor="text1"/>
          <w14:textFill>
            <w14:solidFill>
              <w14:schemeClr w14:val="tx1"/>
            </w14:solidFill>
          </w14:textFill>
        </w:rPr>
        <w:t>。</w:t>
      </w:r>
    </w:p>
    <w:p w14:paraId="44C664DB">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运营单位应定期开展安全培训、技能考核，完善培训档案、考核记录。培训内容应</w:t>
      </w:r>
      <w:r>
        <w:rPr>
          <w:rFonts w:hint="eastAsia" w:ascii="宋体" w:hAnsi="宋体" w:eastAsia="宋体"/>
          <w:color w:val="000000" w:themeColor="text1"/>
          <w14:textFill>
            <w14:solidFill>
              <w14:schemeClr w14:val="tx1"/>
            </w14:solidFill>
          </w14:textFill>
        </w:rPr>
        <w:t>至少</w:t>
      </w:r>
      <w:r>
        <w:rPr>
          <w:rFonts w:ascii="宋体" w:hAnsi="宋体" w:eastAsia="宋体"/>
          <w:color w:val="000000" w:themeColor="text1"/>
          <w14:textFill>
            <w14:solidFill>
              <w14:schemeClr w14:val="tx1"/>
            </w14:solidFill>
          </w14:textFill>
        </w:rPr>
        <w:t>包括：起降场/起降点</w:t>
      </w:r>
      <w:r>
        <w:rPr>
          <w:rFonts w:hint="eastAsia" w:ascii="宋体" w:hAnsi="宋体" w:eastAsia="宋体"/>
          <w:color w:val="000000" w:themeColor="text1"/>
          <w14:textFill>
            <w14:solidFill>
              <w14:schemeClr w14:val="tx1"/>
            </w14:solidFill>
          </w14:textFill>
        </w:rPr>
        <w:t>运行</w:t>
      </w:r>
      <w:r>
        <w:rPr>
          <w:rFonts w:ascii="宋体" w:hAnsi="宋体" w:eastAsia="宋体"/>
          <w:color w:val="000000" w:themeColor="text1"/>
          <w14:textFill>
            <w14:solidFill>
              <w14:schemeClr w14:val="tx1"/>
            </w14:solidFill>
          </w14:textFill>
        </w:rPr>
        <w:t>管理规定</w:t>
      </w:r>
      <w:r>
        <w:rPr>
          <w:rFonts w:hint="eastAsia" w:ascii="宋体" w:hAnsi="宋体" w:eastAsia="宋体"/>
          <w:color w:val="000000" w:themeColor="text1"/>
          <w14:textFill>
            <w14:solidFill>
              <w14:schemeClr w14:val="tx1"/>
            </w14:solidFill>
          </w14:textFill>
        </w:rPr>
        <w:t>，低空</w:t>
      </w:r>
      <w:r>
        <w:rPr>
          <w:rFonts w:ascii="宋体" w:hAnsi="宋体" w:eastAsia="宋体"/>
          <w:color w:val="000000" w:themeColor="text1"/>
          <w14:textFill>
            <w14:solidFill>
              <w14:schemeClr w14:val="tx1"/>
            </w14:solidFill>
          </w14:textFill>
        </w:rPr>
        <w:t>航空器</w:t>
      </w:r>
      <w:r>
        <w:rPr>
          <w:rFonts w:hint="eastAsia" w:ascii="宋体" w:hAnsi="宋体" w:eastAsia="宋体"/>
          <w:color w:val="000000" w:themeColor="text1"/>
          <w14:textFill>
            <w14:solidFill>
              <w14:schemeClr w14:val="tx1"/>
            </w14:solidFill>
          </w14:textFill>
        </w:rPr>
        <w:t>相关</w:t>
      </w:r>
      <w:r>
        <w:rPr>
          <w:rFonts w:ascii="宋体" w:hAnsi="宋体" w:eastAsia="宋体"/>
          <w:color w:val="000000" w:themeColor="text1"/>
          <w14:textFill>
            <w14:solidFill>
              <w14:schemeClr w14:val="tx1"/>
            </w14:solidFill>
          </w14:textFill>
        </w:rPr>
        <w:t>知识</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应急处置程序</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消防设施和应急救援器材的使用方法</w:t>
      </w:r>
      <w:r>
        <w:rPr>
          <w:rFonts w:hint="eastAsia" w:ascii="宋体" w:hAnsi="宋体" w:eastAsia="宋体"/>
          <w:color w:val="000000" w:themeColor="text1"/>
          <w14:textFill>
            <w14:solidFill>
              <w14:schemeClr w14:val="tx1"/>
            </w14:solidFill>
          </w14:textFill>
        </w:rPr>
        <w:t>。</w:t>
      </w:r>
    </w:p>
    <w:p w14:paraId="32C2CFAF">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从业人员应佩带通行证，穿着工作服，并配有反光标识。运营单位应为从业人员配备足够的防护用品，设置必要的工间休息场所和卫生设施</w:t>
      </w:r>
      <w:r>
        <w:rPr>
          <w:rFonts w:hint="eastAsia" w:ascii="宋体" w:hAnsi="宋体" w:eastAsia="宋体"/>
          <w:color w:val="000000" w:themeColor="text1"/>
          <w14:textFill>
            <w14:solidFill>
              <w14:schemeClr w14:val="tx1"/>
            </w14:solidFill>
          </w14:textFill>
        </w:rPr>
        <w:t>。</w:t>
      </w:r>
    </w:p>
    <w:p w14:paraId="5B757C2B">
      <w:pPr>
        <w:pStyle w:val="229"/>
        <w:widowControl w:val="0"/>
        <w:spacing w:before="156" w:beforeLines="50" w:after="156" w:afterLines="50"/>
        <w:ind w:left="420" w:hanging="420" w:hangingChars="200"/>
        <w:outlineLvl w:val="1"/>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应急处置</w:t>
      </w:r>
    </w:p>
    <w:p w14:paraId="11629233">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运营单位应制定火情、航空器故障、净空入侵、极端天气、人员遇险等专项应急预案，明确各类应急处置程序和职责分工。</w:t>
      </w:r>
    </w:p>
    <w:p w14:paraId="2FA3AABB">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运营单位应定期开展联合应急演练，完善</w:t>
      </w:r>
      <w:r>
        <w:rPr>
          <w:rFonts w:hint="eastAsia" w:ascii="宋体" w:hAnsi="宋体" w:eastAsia="宋体"/>
          <w:color w:val="000000" w:themeColor="text1"/>
          <w14:textFill>
            <w14:solidFill>
              <w14:schemeClr w14:val="tx1"/>
            </w14:solidFill>
          </w14:textFill>
        </w:rPr>
        <w:t>与应急管理部门的</w:t>
      </w:r>
      <w:r>
        <w:rPr>
          <w:rFonts w:ascii="宋体" w:hAnsi="宋体" w:eastAsia="宋体"/>
          <w:color w:val="000000" w:themeColor="text1"/>
          <w14:textFill>
            <w14:solidFill>
              <w14:schemeClr w14:val="tx1"/>
            </w14:solidFill>
          </w14:textFill>
        </w:rPr>
        <w:t>联动处置机制</w:t>
      </w:r>
      <w:r>
        <w:rPr>
          <w:rFonts w:hint="eastAsia" w:ascii="宋体" w:hAnsi="宋体" w:eastAsia="宋体"/>
          <w:color w:val="000000" w:themeColor="text1"/>
          <w14:textFill>
            <w14:solidFill>
              <w14:schemeClr w14:val="tx1"/>
            </w14:solidFill>
          </w14:textFill>
        </w:rPr>
        <w:t>。</w:t>
      </w:r>
      <w:r>
        <w:rPr>
          <w:rFonts w:ascii="宋体" w:hAnsi="宋体" w:eastAsia="宋体"/>
          <w:color w:val="000000" w:themeColor="text1"/>
          <w14:textFill>
            <w14:solidFill>
              <w14:schemeClr w14:val="tx1"/>
            </w14:solidFill>
          </w14:textFill>
        </w:rPr>
        <w:t>演练结束后应进行评估总结，根据演练结果修订完善应急预案</w:t>
      </w:r>
      <w:r>
        <w:rPr>
          <w:rFonts w:hint="eastAsia" w:ascii="宋体" w:hAnsi="宋体" w:eastAsia="宋体"/>
          <w:color w:val="000000" w:themeColor="text1"/>
          <w14:textFill>
            <w14:solidFill>
              <w14:schemeClr w14:val="tx1"/>
            </w14:solidFill>
          </w14:textFill>
        </w:rPr>
        <w:t>。</w:t>
      </w:r>
    </w:p>
    <w:p w14:paraId="1C1FB4F1">
      <w:pPr>
        <w:pStyle w:val="71"/>
        <w:spacing w:beforeLines="0" w:afterLines="0"/>
        <w:ind w:left="0"/>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应急处置结束后，运营单位应对事件原因、处置过程、改进措施等进行复盘，形成记录并归档。</w:t>
      </w:r>
    </w:p>
    <w:p w14:paraId="34DC3690">
      <w:pPr>
        <w:pStyle w:val="110"/>
        <w:widowControl w:val="0"/>
        <w:spacing w:before="312" w:after="312"/>
        <w:ind w:left="0"/>
        <w:rPr>
          <w:color w:val="000000" w:themeColor="text1"/>
          <w14:textFill>
            <w14:solidFill>
              <w14:schemeClr w14:val="tx1"/>
            </w14:solidFill>
          </w14:textFill>
        </w:rPr>
      </w:pPr>
      <w:bookmarkStart w:id="645" w:name="_Toc239434201"/>
      <w:bookmarkEnd w:id="645"/>
      <w:bookmarkStart w:id="646" w:name="_Toc240381283"/>
      <w:bookmarkEnd w:id="646"/>
      <w:bookmarkStart w:id="647" w:name="_Toc240381322"/>
      <w:bookmarkEnd w:id="647"/>
      <w:bookmarkStart w:id="648" w:name="_Toc240387897"/>
      <w:r>
        <w:rPr>
          <w:rFonts w:hint="eastAsia"/>
          <w:color w:val="000000" w:themeColor="text1"/>
          <w14:textFill>
            <w14:solidFill>
              <w14:schemeClr w14:val="tx1"/>
            </w14:solidFill>
          </w14:textFill>
        </w:rPr>
        <w:t>标准实施及评价</w:t>
      </w:r>
      <w:bookmarkEnd w:id="648"/>
    </w:p>
    <w:p w14:paraId="39A38F2F">
      <w:pPr>
        <w:pStyle w:val="111"/>
        <w:widowControl w:val="0"/>
        <w:numPr>
          <w:ilvl w:val="0"/>
          <w:numId w:val="0"/>
        </w:numPr>
        <w:spacing w:beforeLines="0" w:afterLines="0"/>
        <w:rPr>
          <w:color w:val="000000" w:themeColor="text1"/>
          <w14:textFill>
            <w14:solidFill>
              <w14:schemeClr w14:val="tx1"/>
            </w14:solidFill>
          </w14:textFill>
        </w:rPr>
      </w:pPr>
      <w:r>
        <w:rPr>
          <w:rFonts w:hint="eastAsia" w:hAnsi="黑体"/>
          <w:color w:val="000000" w:themeColor="text1"/>
          <w14:textFill>
            <w14:solidFill>
              <w14:schemeClr w14:val="tx1"/>
            </w14:solidFill>
          </w14:textFill>
        </w:rPr>
        <w:t>10.1</w:t>
      </w:r>
      <w:r>
        <w:rPr>
          <w:rFonts w:hint="eastAsia" w:ascii="宋体" w:hAnsi="宋体" w:eastAsia="宋体"/>
          <w:color w:val="000000" w:themeColor="text1"/>
          <w14:textFill>
            <w14:solidFill>
              <w14:schemeClr w14:val="tx1"/>
            </w14:solidFill>
          </w14:textFill>
        </w:rPr>
        <w:t xml:space="preserve"> 结合实际，准备标准实施，包括但不限于标准实施的方案准备、组织准备、知识准备、手段准备和物质条件准备等</w:t>
      </w:r>
      <w:r>
        <w:rPr>
          <w:rFonts w:hint="eastAsia"/>
          <w:color w:val="000000" w:themeColor="text1"/>
          <w14:textFill>
            <w14:solidFill>
              <w14:schemeClr w14:val="tx1"/>
            </w14:solidFill>
          </w14:textFill>
        </w:rPr>
        <w:t>。</w:t>
      </w:r>
    </w:p>
    <w:p w14:paraId="52B8CD59">
      <w:pPr>
        <w:pStyle w:val="111"/>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10.2</w:t>
      </w:r>
      <w:r>
        <w:rPr>
          <w:rFonts w:hint="eastAsia" w:ascii="宋体" w:hAnsi="宋体" w:eastAsia="宋体"/>
          <w:color w:val="000000" w:themeColor="text1"/>
          <w14:textFill>
            <w14:solidFill>
              <w14:schemeClr w14:val="tx1"/>
            </w14:solidFill>
          </w14:textFill>
        </w:rPr>
        <w:t xml:space="preserve"> 制定标准实施方案，应明确适用对象和场景、提供实施必备条件和保障（组织、制度、资金、人员和设施设备等）、推荐方法路径，确定资源要素配置、关键环节和控制点，提出标准实施中的注意事项。</w:t>
      </w:r>
    </w:p>
    <w:p w14:paraId="16AAAFEB">
      <w:pPr>
        <w:pStyle w:val="111"/>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10.3</w:t>
      </w:r>
      <w:r>
        <w:rPr>
          <w:rFonts w:hint="eastAsia" w:ascii="宋体" w:hAnsi="宋体" w:eastAsia="宋体"/>
          <w:color w:val="000000" w:themeColor="text1"/>
          <w14:textFill>
            <w14:solidFill>
              <w14:schemeClr w14:val="tx1"/>
            </w14:solidFill>
          </w14:textFill>
        </w:rPr>
        <w:t xml:space="preserve"> 针对起降场</w:t>
      </w:r>
      <w:r>
        <w:rPr>
          <w:rFonts w:ascii="宋体" w:hAnsi="宋体" w:eastAsia="宋体"/>
          <w:color w:val="000000" w:themeColor="text1"/>
          <w14:textFill>
            <w14:solidFill>
              <w14:schemeClr w14:val="tx1"/>
            </w14:solidFill>
          </w14:textFill>
        </w:rPr>
        <w:t>/起降点</w:t>
      </w:r>
      <w:r>
        <w:rPr>
          <w:rFonts w:hint="eastAsia" w:ascii="宋体" w:hAnsi="宋体" w:eastAsia="宋体"/>
          <w:color w:val="000000" w:themeColor="text1"/>
          <w14:textFill>
            <w14:solidFill>
              <w14:schemeClr w14:val="tx1"/>
            </w14:solidFill>
          </w14:textFill>
        </w:rPr>
        <w:t>建设与运行工作人员进行标准宣贯和培训，结合标准要求，落实责任制，做到横向到边，纵向到底。</w:t>
      </w:r>
    </w:p>
    <w:p w14:paraId="2D2B8305">
      <w:pPr>
        <w:pStyle w:val="111"/>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10.4</w:t>
      </w:r>
      <w:r>
        <w:rPr>
          <w:rFonts w:hint="eastAsia" w:ascii="宋体" w:hAnsi="宋体" w:eastAsia="宋体"/>
          <w:color w:val="000000" w:themeColor="text1"/>
          <w14:textFill>
            <w14:solidFill>
              <w14:schemeClr w14:val="tx1"/>
            </w14:solidFill>
          </w14:textFill>
        </w:rPr>
        <w:t xml:space="preserve"> 标准实施主要在起降场</w:t>
      </w:r>
      <w:r>
        <w:rPr>
          <w:rFonts w:ascii="宋体" w:hAnsi="宋体" w:eastAsia="宋体"/>
          <w:color w:val="000000" w:themeColor="text1"/>
          <w14:textFill>
            <w14:solidFill>
              <w14:schemeClr w14:val="tx1"/>
            </w14:solidFill>
          </w14:textFill>
        </w:rPr>
        <w:t>/起降点</w:t>
      </w:r>
      <w:r>
        <w:rPr>
          <w:rFonts w:hint="eastAsia" w:ascii="宋体" w:hAnsi="宋体" w:eastAsia="宋体"/>
          <w:color w:val="000000" w:themeColor="text1"/>
          <w14:textFill>
            <w14:solidFill>
              <w14:schemeClr w14:val="tx1"/>
            </w14:solidFill>
          </w14:textFill>
        </w:rPr>
        <w:t>建设与运行的活动中开展。起降场</w:t>
      </w:r>
      <w:r>
        <w:rPr>
          <w:rFonts w:ascii="宋体" w:hAnsi="宋体" w:eastAsia="宋体"/>
          <w:color w:val="000000" w:themeColor="text1"/>
          <w14:textFill>
            <w14:solidFill>
              <w14:schemeClr w14:val="tx1"/>
            </w14:solidFill>
          </w14:textFill>
        </w:rPr>
        <w:t>/起降点</w:t>
      </w:r>
      <w:r>
        <w:rPr>
          <w:rFonts w:hint="eastAsia" w:ascii="宋体" w:hAnsi="宋体" w:eastAsia="宋体"/>
          <w:color w:val="000000" w:themeColor="text1"/>
          <w14:textFill>
            <w14:solidFill>
              <w14:schemeClr w14:val="tx1"/>
            </w14:solidFill>
          </w14:textFill>
        </w:rPr>
        <w:t>建设与运行标准实施的重点是落实国家的航空安全要求。</w:t>
      </w:r>
    </w:p>
    <w:p w14:paraId="794E1694">
      <w:pPr>
        <w:pStyle w:val="111"/>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10.5</w:t>
      </w:r>
      <w:r>
        <w:rPr>
          <w:rFonts w:hint="eastAsia" w:ascii="宋体" w:hAnsi="宋体" w:eastAsia="宋体"/>
          <w:color w:val="000000" w:themeColor="text1"/>
          <w14:textFill>
            <w14:solidFill>
              <w14:schemeClr w14:val="tx1"/>
            </w14:solidFill>
          </w14:textFill>
        </w:rPr>
        <w:t xml:space="preserve"> 标准实施评价的基本依据是《中华人民共和国标准化法》等。</w:t>
      </w:r>
    </w:p>
    <w:p w14:paraId="43C51BB5">
      <w:pPr>
        <w:pStyle w:val="111"/>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10.6</w:t>
      </w:r>
      <w:r>
        <w:rPr>
          <w:rFonts w:hint="eastAsia" w:ascii="宋体" w:hAnsi="宋体" w:eastAsia="宋体"/>
          <w:color w:val="000000" w:themeColor="text1"/>
          <w14:textFill>
            <w14:solidFill>
              <w14:schemeClr w14:val="tx1"/>
            </w14:solidFill>
          </w14:textFill>
        </w:rPr>
        <w:t xml:space="preserve"> 在标准实施一定时间后，对照标准实施方案，开展标准实施效果评价分析，总结实施经验成效，梳理存在的薄弱环节，标准实施的评价主要是评价标准实施的效果，主要从技术进步、质量水平提高、客户满意度、规范秩序、效率提高、节约费用、节省时间、履行社会责任等方面进行有益性评价，还应评价标准实施带来的问题，以便为未来改进提供参考。</w:t>
      </w:r>
    </w:p>
    <w:p w14:paraId="7BC4D6D3">
      <w:pPr>
        <w:pStyle w:val="111"/>
        <w:widowControl w:val="0"/>
        <w:numPr>
          <w:ilvl w:val="0"/>
          <w:numId w:val="0"/>
        </w:numPr>
        <w:spacing w:beforeLines="0" w:afterLines="0"/>
        <w:rPr>
          <w:rFonts w:ascii="宋体" w:hAnsi="宋体" w:eastAsia="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10.7</w:t>
      </w:r>
      <w:r>
        <w:rPr>
          <w:rFonts w:ascii="宋体" w:hAnsi="宋体" w:eastAsia="宋体"/>
          <w:color w:val="000000" w:themeColor="text1"/>
          <w14:textFill>
            <w14:solidFill>
              <w14:schemeClr w14:val="tx1"/>
            </w14:solidFill>
          </w14:textFill>
        </w:rPr>
        <w:t xml:space="preserve"> </w:t>
      </w:r>
      <w:r>
        <w:rPr>
          <w:rFonts w:hint="eastAsia" w:ascii="宋体" w:hAnsi="宋体" w:eastAsia="宋体"/>
          <w:color w:val="000000" w:themeColor="text1"/>
          <w14:textFill>
            <w14:solidFill>
              <w14:schemeClr w14:val="tx1"/>
            </w14:solidFill>
          </w14:textFill>
        </w:rPr>
        <w:t>适时向专业标准化技术委员会和标准归口管理单位反馈情况，提出标准推广、修改、补充、完善或者废止等意见建议。</w:t>
      </w:r>
    </w:p>
    <w:p w14:paraId="5325BE1F">
      <w:pPr>
        <w:pStyle w:val="111"/>
        <w:widowControl w:val="0"/>
        <w:numPr>
          <w:ilvl w:val="0"/>
          <w:numId w:val="0"/>
        </w:numPr>
        <w:spacing w:beforeLines="0" w:afterLines="0"/>
        <w:rPr>
          <w:rFonts w:hAnsi="宋体"/>
          <w:color w:val="000000" w:themeColor="text1"/>
          <w14:textFill>
            <w14:solidFill>
              <w14:schemeClr w14:val="tx1"/>
            </w14:solidFill>
          </w14:textFill>
        </w:rPr>
      </w:pPr>
      <w:r>
        <w:rPr>
          <w:rFonts w:hint="eastAsia" w:hAnsi="黑体"/>
          <w:color w:val="000000" w:themeColor="text1"/>
          <w14:textFill>
            <w14:solidFill>
              <w14:schemeClr w14:val="tx1"/>
            </w14:solidFill>
          </w14:textFill>
        </w:rPr>
        <w:t>10.8</w:t>
      </w:r>
      <w:r>
        <w:rPr>
          <w:rFonts w:ascii="宋体" w:hAnsi="宋体" w:eastAsia="宋体"/>
          <w:color w:val="000000" w:themeColor="text1"/>
          <w14:textFill>
            <w14:solidFill>
              <w14:schemeClr w14:val="tx1"/>
            </w14:solidFill>
          </w14:textFill>
        </w:rPr>
        <w:t xml:space="preserve"> </w:t>
      </w:r>
      <w:r>
        <w:rPr>
          <w:rFonts w:hint="eastAsia" w:ascii="宋体" w:hAnsi="宋体" w:eastAsia="宋体"/>
          <w:color w:val="000000" w:themeColor="text1"/>
          <w14:textFill>
            <w14:solidFill>
              <w14:schemeClr w14:val="tx1"/>
            </w14:solidFill>
          </w14:textFill>
        </w:rPr>
        <w:t>标准实施信息及意见反馈表相关示例见附录A。</w:t>
      </w:r>
    </w:p>
    <w:bookmarkEnd w:id="20"/>
    <w:p w14:paraId="5B88567C">
      <w:pPr>
        <w:pStyle w:val="62"/>
        <w:widowControl w:val="0"/>
        <w:ind w:firstLine="420"/>
        <w:rPr>
          <w:color w:val="000000" w:themeColor="text1"/>
          <w14:textFill>
            <w14:solidFill>
              <w14:schemeClr w14:val="tx1"/>
            </w14:solidFill>
          </w14:textFill>
        </w:rPr>
      </w:pPr>
      <w:r>
        <w:rPr>
          <w:color w:val="000000" w:themeColor="text1"/>
          <w14:textFill>
            <w14:solidFill>
              <w14:schemeClr w14:val="tx1"/>
            </w14:solidFill>
          </w14:textFill>
        </w:rPr>
        <w:br w:type="page"/>
      </w:r>
    </w:p>
    <w:p w14:paraId="0B3B3D52">
      <w:pPr>
        <w:pStyle w:val="82"/>
        <w:widowControl w:val="0"/>
        <w:spacing w:before="78" w:after="156"/>
        <w:rPr>
          <w:color w:val="000000" w:themeColor="text1"/>
          <w14:textFill>
            <w14:solidFill>
              <w14:schemeClr w14:val="tx1"/>
            </w14:solidFill>
          </w14:textFill>
        </w:rPr>
      </w:pPr>
      <w:bookmarkStart w:id="649" w:name="_Toc216949837"/>
      <w:bookmarkStart w:id="650" w:name="_Toc236215129"/>
      <w:bookmarkStart w:id="651" w:name="_Toc100824237"/>
      <w:r>
        <w:rPr>
          <w:color w:val="000000" w:themeColor="text1"/>
          <w14:textFill>
            <w14:solidFill>
              <w14:schemeClr w14:val="tx1"/>
            </w14:solidFill>
          </w14:textFill>
        </w:rPr>
        <w:br w:type="textWrapping"/>
      </w:r>
      <w:bookmarkStart w:id="652" w:name="_Toc240387898"/>
      <w:bookmarkStart w:id="653" w:name="_Toc236215128"/>
      <w:r>
        <w:rPr>
          <w:rFonts w:hint="eastAsia"/>
          <w:color w:val="000000" w:themeColor="text1"/>
          <w14:textFill>
            <w14:solidFill>
              <w14:schemeClr w14:val="tx1"/>
            </w14:solidFill>
          </w14:textFill>
        </w:rPr>
        <w:t>（资料性）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湖北省地方标准实施信息及意见反馈表</w:t>
      </w:r>
      <w:bookmarkEnd w:id="652"/>
      <w:bookmarkEnd w:id="653"/>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134"/>
        <w:gridCol w:w="2420"/>
        <w:gridCol w:w="2258"/>
        <w:gridCol w:w="1355"/>
      </w:tblGrid>
      <w:tr w14:paraId="4AEA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tcPr>
          <w:p w14:paraId="7AAC35C6">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标准名称及编号</w:t>
            </w:r>
          </w:p>
        </w:tc>
        <w:tc>
          <w:tcPr>
            <w:tcW w:w="6033" w:type="dxa"/>
            <w:gridSpan w:val="3"/>
          </w:tcPr>
          <w:p w14:paraId="3B97D59B">
            <w:pPr>
              <w:rPr>
                <w:rFonts w:ascii="宋体" w:hAnsi="宋体"/>
                <w:color w:val="000000" w:themeColor="text1"/>
                <w14:textFill>
                  <w14:solidFill>
                    <w14:schemeClr w14:val="tx1"/>
                  </w14:solidFill>
                </w14:textFill>
              </w:rPr>
            </w:pPr>
          </w:p>
        </w:tc>
      </w:tr>
      <w:tr w14:paraId="09F1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1E32D4C6">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总体评价</w:t>
            </w:r>
          </w:p>
        </w:tc>
        <w:tc>
          <w:tcPr>
            <w:tcW w:w="1134" w:type="dxa"/>
            <w:vAlign w:val="center"/>
          </w:tcPr>
          <w:p w14:paraId="1F19777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适用性</w:t>
            </w:r>
          </w:p>
        </w:tc>
        <w:tc>
          <w:tcPr>
            <w:tcW w:w="4678" w:type="dxa"/>
            <w:gridSpan w:val="2"/>
            <w:vAlign w:val="center"/>
          </w:tcPr>
          <w:p w14:paraId="2F09BBCC">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该标准与当前所在地的产业或社会发展水平是否相匹配？</w:t>
            </w:r>
          </w:p>
        </w:tc>
        <w:tc>
          <w:tcPr>
            <w:tcW w:w="1355" w:type="dxa"/>
            <w:vAlign w:val="center"/>
          </w:tcPr>
          <w:p w14:paraId="23763C3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114A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0C6EC580">
            <w:pPr>
              <w:jc w:val="center"/>
              <w:rPr>
                <w:rFonts w:ascii="宋体" w:hAnsi="宋体"/>
                <w:color w:val="000000" w:themeColor="text1"/>
                <w14:textFill>
                  <w14:solidFill>
                    <w14:schemeClr w14:val="tx1"/>
                  </w14:solidFill>
                </w14:textFill>
              </w:rPr>
            </w:pPr>
          </w:p>
        </w:tc>
        <w:tc>
          <w:tcPr>
            <w:tcW w:w="1134" w:type="dxa"/>
            <w:vAlign w:val="center"/>
          </w:tcPr>
          <w:p w14:paraId="109B6737">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协调性</w:t>
            </w:r>
          </w:p>
        </w:tc>
        <w:tc>
          <w:tcPr>
            <w:tcW w:w="4678" w:type="dxa"/>
            <w:gridSpan w:val="2"/>
            <w:vAlign w:val="center"/>
          </w:tcPr>
          <w:p w14:paraId="34D366CC">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该标准的特色要求与其他强制性标准的主要技术指标、相关法律法规、部门规章或产业政策是否协调？</w:t>
            </w:r>
          </w:p>
        </w:tc>
        <w:tc>
          <w:tcPr>
            <w:tcW w:w="1355" w:type="dxa"/>
            <w:vAlign w:val="center"/>
          </w:tcPr>
          <w:p w14:paraId="2D1B745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7207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761BADDD">
            <w:pPr>
              <w:jc w:val="center"/>
              <w:rPr>
                <w:rFonts w:ascii="宋体" w:hAnsi="宋体"/>
                <w:color w:val="000000" w:themeColor="text1"/>
                <w14:textFill>
                  <w14:solidFill>
                    <w14:schemeClr w14:val="tx1"/>
                  </w14:solidFill>
                </w14:textFill>
              </w:rPr>
            </w:pPr>
          </w:p>
        </w:tc>
        <w:tc>
          <w:tcPr>
            <w:tcW w:w="1134" w:type="dxa"/>
            <w:vAlign w:val="center"/>
          </w:tcPr>
          <w:p w14:paraId="1EE9F62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执行</w:t>
            </w:r>
          </w:p>
          <w:p w14:paraId="10948A7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情况</w:t>
            </w:r>
          </w:p>
        </w:tc>
        <w:tc>
          <w:tcPr>
            <w:tcW w:w="4678" w:type="dxa"/>
            <w:gridSpan w:val="2"/>
            <w:vAlign w:val="center"/>
          </w:tcPr>
          <w:p w14:paraId="2D9194DC">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标准执行单位或人员按照标准要求组织开展相关工作？</w:t>
            </w:r>
          </w:p>
        </w:tc>
        <w:tc>
          <w:tcPr>
            <w:tcW w:w="1355" w:type="dxa"/>
            <w:vAlign w:val="center"/>
          </w:tcPr>
          <w:p w14:paraId="45087F4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7843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311C02C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实施信息</w:t>
            </w:r>
          </w:p>
        </w:tc>
        <w:tc>
          <w:tcPr>
            <w:tcW w:w="5812" w:type="dxa"/>
            <w:gridSpan w:val="3"/>
          </w:tcPr>
          <w:p w14:paraId="1AA383A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标准实施过程中是否存在阻力或障碍？</w:t>
            </w:r>
          </w:p>
        </w:tc>
        <w:tc>
          <w:tcPr>
            <w:tcW w:w="1355" w:type="dxa"/>
          </w:tcPr>
          <w:p w14:paraId="0DFE851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是   </w:t>
            </w:r>
            <w:r>
              <w:rPr>
                <w:rFonts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否</w:t>
            </w:r>
          </w:p>
        </w:tc>
      </w:tr>
      <w:tr w14:paraId="1E5D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5CA23A27">
            <w:pPr>
              <w:rPr>
                <w:rFonts w:ascii="宋体" w:hAnsi="宋体"/>
                <w:color w:val="000000" w:themeColor="text1"/>
                <w14:textFill>
                  <w14:solidFill>
                    <w14:schemeClr w14:val="tx1"/>
                  </w14:solidFill>
                </w14:textFill>
              </w:rPr>
            </w:pPr>
          </w:p>
        </w:tc>
        <w:tc>
          <w:tcPr>
            <w:tcW w:w="3554" w:type="dxa"/>
            <w:gridSpan w:val="2"/>
          </w:tcPr>
          <w:p w14:paraId="569DD5D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实施过程中存在的主要问题</w:t>
            </w:r>
          </w:p>
        </w:tc>
        <w:tc>
          <w:tcPr>
            <w:tcW w:w="3613" w:type="dxa"/>
            <w:gridSpan w:val="2"/>
          </w:tcPr>
          <w:p w14:paraId="002173A0">
            <w:pPr>
              <w:rPr>
                <w:rFonts w:ascii="宋体" w:hAnsi="宋体"/>
                <w:color w:val="000000" w:themeColor="text1"/>
                <w14:textFill>
                  <w14:solidFill>
                    <w14:schemeClr w14:val="tx1"/>
                  </w14:solidFill>
                </w14:textFill>
              </w:rPr>
            </w:pPr>
          </w:p>
        </w:tc>
      </w:tr>
      <w:tr w14:paraId="2773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7EFC2FE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修改意见</w:t>
            </w:r>
          </w:p>
        </w:tc>
        <w:tc>
          <w:tcPr>
            <w:tcW w:w="1134" w:type="dxa"/>
          </w:tcPr>
          <w:p w14:paraId="2BC66A8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总体</w:t>
            </w:r>
          </w:p>
          <w:p w14:paraId="75F1FDD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意见</w:t>
            </w:r>
          </w:p>
        </w:tc>
        <w:tc>
          <w:tcPr>
            <w:tcW w:w="6033" w:type="dxa"/>
            <w:gridSpan w:val="3"/>
            <w:vAlign w:val="center"/>
          </w:tcPr>
          <w:p w14:paraId="5FA3BC1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适用     </w:t>
            </w: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 xml:space="preserve">修改     </w:t>
            </w: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废止</w:t>
            </w:r>
          </w:p>
        </w:tc>
      </w:tr>
      <w:tr w14:paraId="0777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09A2349E">
            <w:pPr>
              <w:rPr>
                <w:rFonts w:ascii="宋体" w:hAnsi="宋体"/>
                <w:color w:val="000000" w:themeColor="text1"/>
                <w14:textFill>
                  <w14:solidFill>
                    <w14:schemeClr w14:val="tx1"/>
                  </w14:solidFill>
                </w14:textFill>
              </w:rPr>
            </w:pPr>
          </w:p>
        </w:tc>
        <w:tc>
          <w:tcPr>
            <w:tcW w:w="1134" w:type="dxa"/>
          </w:tcPr>
          <w:p w14:paraId="2EC9583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具体修</w:t>
            </w:r>
          </w:p>
          <w:p w14:paraId="7D49B5AD">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改意见</w:t>
            </w:r>
          </w:p>
        </w:tc>
        <w:tc>
          <w:tcPr>
            <w:tcW w:w="6033" w:type="dxa"/>
            <w:gridSpan w:val="3"/>
          </w:tcPr>
          <w:p w14:paraId="0FCBB88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需修改章节：</w:t>
            </w:r>
          </w:p>
          <w:p w14:paraId="1573685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具体修改意见：</w:t>
            </w:r>
          </w:p>
        </w:tc>
      </w:tr>
      <w:tr w14:paraId="6B60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14:paraId="11DB102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反馈渠道</w:t>
            </w:r>
          </w:p>
        </w:tc>
        <w:tc>
          <w:tcPr>
            <w:tcW w:w="7167" w:type="dxa"/>
            <w:gridSpan w:val="4"/>
          </w:tcPr>
          <w:p w14:paraId="1C06BA2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标准化行政主管部门</w:t>
            </w:r>
          </w:p>
          <w:p w14:paraId="4921114F">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省直行业主管部门</w:t>
            </w:r>
          </w:p>
          <w:p w14:paraId="14A1F00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专业标准化技术委员会(工作组)</w:t>
            </w:r>
          </w:p>
          <w:p w14:paraId="2382C8D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sym w:font="Wingdings 2" w:char="F0A3"/>
            </w:r>
            <w:r>
              <w:rPr>
                <w:rFonts w:hint="eastAsia" w:ascii="宋体" w:hAnsi="宋体"/>
                <w:color w:val="000000" w:themeColor="text1"/>
                <w14:textFill>
                  <w14:solidFill>
                    <w14:schemeClr w14:val="tx1"/>
                  </w14:solidFill>
                </w14:textFill>
              </w:rPr>
              <w:t>标准起草组（牵头起草单位）</w:t>
            </w:r>
          </w:p>
        </w:tc>
      </w:tr>
      <w:tr w14:paraId="4E60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14:paraId="71C9C16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反馈人</w:t>
            </w:r>
          </w:p>
        </w:tc>
        <w:tc>
          <w:tcPr>
            <w:tcW w:w="7167" w:type="dxa"/>
            <w:gridSpan w:val="4"/>
          </w:tcPr>
          <w:p w14:paraId="640C7E9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姓名：         单位：              联系方式：</w:t>
            </w:r>
          </w:p>
        </w:tc>
      </w:tr>
    </w:tbl>
    <w:p w14:paraId="46810CFB">
      <w:pPr>
        <w:adjustRightInd/>
        <w:spacing w:line="240" w:lineRule="auto"/>
        <w:ind w:firstLine="42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填表说明：为及时掌握标准实施情况，了解地方标准实施过程中存在的问题，并为标准复审提供科学依据，特制定《湖北省地方标准实施信息及意见反馈表》。可根据实际情况在表格中对应方框打勾，有需要文字说明的反馈意见可在相应位置进行文字描述，也可另附页</w:t>
      </w:r>
      <w:bookmarkStart w:id="654" w:name="_Toc234856179"/>
      <w:bookmarkEnd w:id="654"/>
      <w:bookmarkStart w:id="655" w:name="_Toc234856573"/>
      <w:bookmarkEnd w:id="655"/>
      <w:bookmarkStart w:id="656" w:name="_Toc234855390"/>
      <w:bookmarkEnd w:id="656"/>
      <w:bookmarkStart w:id="657" w:name="_Toc234855391"/>
      <w:bookmarkEnd w:id="657"/>
      <w:bookmarkStart w:id="658" w:name="_Toc234855389"/>
      <w:bookmarkEnd w:id="658"/>
      <w:bookmarkStart w:id="659" w:name="_Toc234856575"/>
      <w:bookmarkEnd w:id="659"/>
      <w:bookmarkStart w:id="660" w:name="_Toc234855787"/>
      <w:bookmarkEnd w:id="660"/>
      <w:bookmarkStart w:id="661" w:name="_Toc234856576"/>
      <w:bookmarkEnd w:id="661"/>
      <w:bookmarkStart w:id="662" w:name="_Toc234856176"/>
      <w:bookmarkEnd w:id="662"/>
      <w:bookmarkStart w:id="663" w:name="_Toc234856578"/>
      <w:bookmarkEnd w:id="663"/>
      <w:bookmarkStart w:id="664" w:name="_Toc234855843"/>
      <w:bookmarkEnd w:id="664"/>
      <w:bookmarkStart w:id="665" w:name="_Toc234855392"/>
      <w:bookmarkEnd w:id="665"/>
      <w:bookmarkStart w:id="666" w:name="_Toc234855397"/>
      <w:bookmarkEnd w:id="666"/>
      <w:bookmarkStart w:id="667" w:name="_Toc234855794"/>
      <w:bookmarkEnd w:id="667"/>
      <w:bookmarkStart w:id="668" w:name="_Toc234856181"/>
      <w:bookmarkEnd w:id="668"/>
      <w:bookmarkStart w:id="669" w:name="_Toc234855793"/>
      <w:bookmarkEnd w:id="669"/>
      <w:bookmarkStart w:id="670" w:name="_Toc234855398"/>
      <w:bookmarkEnd w:id="670"/>
      <w:bookmarkStart w:id="671" w:name="_Toc234855788"/>
      <w:bookmarkEnd w:id="671"/>
      <w:bookmarkStart w:id="672" w:name="_Toc234856184"/>
      <w:bookmarkEnd w:id="672"/>
      <w:bookmarkStart w:id="673" w:name="_Toc234855394"/>
      <w:bookmarkEnd w:id="673"/>
      <w:bookmarkStart w:id="674" w:name="_Toc234856630"/>
      <w:bookmarkEnd w:id="674"/>
      <w:bookmarkStart w:id="675" w:name="_Toc234855791"/>
      <w:bookmarkEnd w:id="675"/>
      <w:bookmarkStart w:id="676" w:name="_Toc234856579"/>
      <w:bookmarkEnd w:id="676"/>
      <w:bookmarkStart w:id="677" w:name="_Toc234855447"/>
      <w:bookmarkEnd w:id="677"/>
      <w:bookmarkStart w:id="678" w:name="_Toc234856183"/>
      <w:bookmarkEnd w:id="678"/>
      <w:bookmarkStart w:id="679" w:name="_Toc234855792"/>
      <w:bookmarkEnd w:id="679"/>
      <w:bookmarkStart w:id="680" w:name="_Toc234856180"/>
      <w:bookmarkEnd w:id="680"/>
      <w:bookmarkStart w:id="681" w:name="_Toc234855844"/>
      <w:bookmarkEnd w:id="681"/>
      <w:bookmarkStart w:id="682" w:name="_Toc234856178"/>
      <w:bookmarkEnd w:id="682"/>
      <w:bookmarkStart w:id="683" w:name="_Toc234855789"/>
      <w:bookmarkEnd w:id="683"/>
      <w:bookmarkStart w:id="684" w:name="_Toc234856177"/>
      <w:bookmarkEnd w:id="684"/>
      <w:bookmarkStart w:id="685" w:name="_Toc234856574"/>
      <w:bookmarkEnd w:id="685"/>
      <w:bookmarkStart w:id="686" w:name="_Toc234855393"/>
      <w:bookmarkEnd w:id="686"/>
      <w:bookmarkStart w:id="687" w:name="_Toc234855786"/>
      <w:bookmarkEnd w:id="687"/>
      <w:bookmarkStart w:id="688" w:name="_Toc234856577"/>
      <w:bookmarkEnd w:id="688"/>
      <w:bookmarkStart w:id="689" w:name="_Toc234856185"/>
      <w:bookmarkEnd w:id="689"/>
      <w:bookmarkStart w:id="690" w:name="_Toc234856182"/>
      <w:bookmarkEnd w:id="690"/>
      <w:bookmarkStart w:id="691" w:name="_Toc234856580"/>
      <w:bookmarkEnd w:id="691"/>
      <w:bookmarkStart w:id="692" w:name="_Toc234856582"/>
      <w:bookmarkEnd w:id="692"/>
      <w:bookmarkStart w:id="693" w:name="_Toc234856233"/>
      <w:bookmarkEnd w:id="693"/>
      <w:bookmarkStart w:id="694" w:name="_Toc234855396"/>
      <w:bookmarkEnd w:id="694"/>
      <w:bookmarkStart w:id="695" w:name="_Toc234856235"/>
      <w:bookmarkEnd w:id="695"/>
      <w:bookmarkStart w:id="696" w:name="_Toc234856350"/>
      <w:bookmarkEnd w:id="696"/>
      <w:bookmarkStart w:id="697" w:name="_Toc234855450"/>
      <w:bookmarkEnd w:id="697"/>
      <w:bookmarkStart w:id="698" w:name="_Toc234855564"/>
      <w:bookmarkEnd w:id="698"/>
      <w:bookmarkStart w:id="699" w:name="_Toc234855629"/>
      <w:bookmarkEnd w:id="699"/>
      <w:bookmarkStart w:id="700" w:name="_Toc234856748"/>
      <w:bookmarkEnd w:id="700"/>
      <w:bookmarkStart w:id="701" w:name="_Toc234855911"/>
      <w:bookmarkEnd w:id="701"/>
      <w:bookmarkStart w:id="702" w:name="_Toc234856634"/>
      <w:bookmarkEnd w:id="702"/>
      <w:bookmarkStart w:id="703" w:name="_Toc234856026"/>
      <w:bookmarkEnd w:id="703"/>
      <w:bookmarkStart w:id="704" w:name="_Toc234855514"/>
      <w:bookmarkEnd w:id="704"/>
      <w:bookmarkStart w:id="705" w:name="_Toc234855960"/>
      <w:bookmarkEnd w:id="705"/>
      <w:bookmarkStart w:id="706" w:name="_Toc234855795"/>
      <w:bookmarkEnd w:id="706"/>
      <w:bookmarkStart w:id="707" w:name="_Toc234855395"/>
      <w:bookmarkEnd w:id="707"/>
      <w:bookmarkStart w:id="708" w:name="_Toc234855910"/>
      <w:bookmarkEnd w:id="708"/>
      <w:bookmarkStart w:id="709" w:name="_Toc234856633"/>
      <w:bookmarkEnd w:id="709"/>
      <w:bookmarkStart w:id="710" w:name="_Toc234856581"/>
      <w:bookmarkEnd w:id="710"/>
      <w:bookmarkStart w:id="711" w:name="_Toc234855513"/>
      <w:bookmarkEnd w:id="711"/>
      <w:bookmarkStart w:id="712" w:name="_Toc234855449"/>
      <w:bookmarkEnd w:id="712"/>
      <w:bookmarkStart w:id="713" w:name="_Toc234856747"/>
      <w:bookmarkEnd w:id="713"/>
      <w:bookmarkStart w:id="714" w:name="_Toc234856236"/>
      <w:bookmarkEnd w:id="714"/>
      <w:bookmarkStart w:id="715" w:name="_Toc234856813"/>
      <w:bookmarkEnd w:id="715"/>
      <w:bookmarkStart w:id="716" w:name="_Toc234855563"/>
      <w:bookmarkEnd w:id="716"/>
      <w:bookmarkStart w:id="717" w:name="_Toc234856697"/>
      <w:bookmarkEnd w:id="717"/>
      <w:bookmarkStart w:id="718" w:name="_Toc234856416"/>
      <w:bookmarkEnd w:id="718"/>
      <w:bookmarkStart w:id="719" w:name="_Toc234855845"/>
      <w:bookmarkEnd w:id="719"/>
      <w:bookmarkStart w:id="720" w:name="_Toc234856632"/>
      <w:bookmarkEnd w:id="720"/>
      <w:bookmarkStart w:id="721" w:name="_Toc234855446"/>
      <w:bookmarkEnd w:id="721"/>
      <w:bookmarkStart w:id="722" w:name="_Toc234856631"/>
      <w:bookmarkEnd w:id="722"/>
      <w:bookmarkStart w:id="723" w:name="_Toc234856234"/>
      <w:bookmarkEnd w:id="723"/>
      <w:bookmarkStart w:id="724" w:name="_Toc234855846"/>
      <w:bookmarkEnd w:id="724"/>
      <w:bookmarkStart w:id="725" w:name="_Toc234855790"/>
      <w:bookmarkEnd w:id="725"/>
      <w:bookmarkStart w:id="726" w:name="_Toc234855847"/>
      <w:bookmarkEnd w:id="726"/>
      <w:bookmarkStart w:id="727" w:name="_Toc234855961"/>
      <w:bookmarkEnd w:id="727"/>
      <w:bookmarkStart w:id="728" w:name="_Toc234856301"/>
      <w:bookmarkEnd w:id="728"/>
      <w:bookmarkStart w:id="729" w:name="_Toc234856814"/>
      <w:bookmarkEnd w:id="729"/>
      <w:bookmarkStart w:id="730" w:name="_Toc234856237"/>
      <w:bookmarkEnd w:id="730"/>
      <w:bookmarkStart w:id="731" w:name="_Toc234856698"/>
      <w:bookmarkEnd w:id="731"/>
      <w:bookmarkStart w:id="732" w:name="_Toc234855448"/>
      <w:bookmarkEnd w:id="732"/>
      <w:bookmarkStart w:id="733" w:name="_Toc234856351"/>
      <w:bookmarkEnd w:id="733"/>
      <w:bookmarkStart w:id="734" w:name="_Toc234856417"/>
      <w:bookmarkEnd w:id="734"/>
      <w:bookmarkStart w:id="735" w:name="_Toc234856027"/>
      <w:bookmarkEnd w:id="735"/>
      <w:bookmarkStart w:id="736" w:name="_Toc234856300"/>
      <w:bookmarkEnd w:id="736"/>
      <w:bookmarkStart w:id="737" w:name="_Toc234855630"/>
      <w:bookmarkEnd w:id="737"/>
      <w:r>
        <w:rPr>
          <w:rFonts w:hint="eastAsia"/>
          <w:color w:val="000000" w:themeColor="text1"/>
          <w14:textFill>
            <w14:solidFill>
              <w14:schemeClr w14:val="tx1"/>
            </w14:solidFill>
          </w14:textFill>
        </w:rPr>
        <w:t>。</w:t>
      </w:r>
      <w:bookmarkEnd w:id="649"/>
      <w:bookmarkEnd w:id="650"/>
      <w:bookmarkEnd w:id="651"/>
    </w:p>
    <w:sectPr>
      <w:footerReference r:id="rId14" w:type="default"/>
      <w:pgSz w:w="11906" w:h="16838"/>
      <w:pgMar w:top="2410"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D">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C">
    <w:pPr>
      <w:pStyle w:val="21"/>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F">
    <w:pPr>
      <w:pStyle w:val="21"/>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A2">
    <w:pPr>
      <w:pStyle w:val="58"/>
    </w:pPr>
    <w:r>
      <w:fldChar w:fldCharType="begin"/>
    </w:r>
    <w:r>
      <w:instrText xml:space="preserve">PAGE   \* MERGEFORMAT</w:instrText>
    </w:r>
    <w:r>
      <w:fldChar w:fldCharType="separate"/>
    </w:r>
    <w:r>
      <w:rPr>
        <w:lang w:val="zh-CN"/>
      </w:rP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7B1E0">
    <w:pPr>
      <w:pStyle w:val="58"/>
    </w:pPr>
    <w:r>
      <w:fldChar w:fldCharType="begin"/>
    </w:r>
    <w:r>
      <w:instrText xml:space="preserve">PAGE   \* MERGEFORMAT</w:instrText>
    </w:r>
    <w:r>
      <w:fldChar w:fldCharType="separate"/>
    </w:r>
    <w:r>
      <w:rPr>
        <w:lang w:val="zh-CN"/>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B">
    <w:pPr>
      <w:pStyle w:val="22"/>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A">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9E">
    <w:pPr>
      <w:pStyle w:val="22"/>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A1">
    <w:pPr>
      <w:pStyle w:val="67"/>
    </w:pPr>
    <w:r>
      <w:fldChar w:fldCharType="begin"/>
    </w:r>
    <w:r>
      <w:instrText xml:space="preserve"> STYLEREF  标准文件_文件编号  \* MERGEFORMAT </w:instrText>
    </w:r>
    <w:r>
      <w:fldChar w:fldCharType="separate"/>
    </w:r>
    <w:r>
      <w:t>DB42/TXXXX—XXXX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56A0">
    <w:pPr>
      <w:pStyle w:val="22"/>
      <w:jc w:val="right"/>
      <w:rPr>
        <w:lang w:val="fr-FR"/>
      </w:rPr>
    </w:pPr>
    <w:r>
      <w:fldChar w:fldCharType="begin"/>
    </w:r>
    <w:r>
      <w:instrText xml:space="preserve"> STYLEREF  标准文件_文件编号  \* MERGEFORMAT </w:instrText>
    </w:r>
    <w:r>
      <w:fldChar w:fldCharType="separate"/>
    </w:r>
    <w:r>
      <w:t>DB42/TXXXX—XXXX</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16"/>
      <w:lvlText w:val=""/>
      <w:lvlJc w:val="left"/>
      <w:pPr>
        <w:tabs>
          <w:tab w:val="left" w:pos="720"/>
        </w:tabs>
        <w:ind w:left="720" w:hanging="360"/>
      </w:pPr>
      <w:rPr>
        <w:rFonts w:hint="default" w:ascii="Symbol" w:hAnsi="Symbol"/>
      </w:rPr>
    </w:lvl>
  </w:abstractNum>
  <w:abstractNum w:abstractNumId="1">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5"/>
      <w:suff w:val="nothing"/>
      <w:lvlText w:val="%1%2.%3　"/>
      <w:lvlJc w:val="left"/>
      <w:pPr>
        <w:ind w:left="0" w:firstLine="0"/>
      </w:pPr>
    </w:lvl>
    <w:lvl w:ilvl="3" w:tentative="0">
      <w:start w:val="1"/>
      <w:numFmt w:val="decimal"/>
      <w:pStyle w:val="124"/>
      <w:suff w:val="nothing"/>
      <w:lvlText w:val="%1%2.%3.%4　"/>
      <w:lvlJc w:val="left"/>
      <w:pPr>
        <w:ind w:left="0" w:firstLine="0"/>
      </w:pPr>
    </w:lvl>
    <w:lvl w:ilvl="4" w:tentative="0">
      <w:start w:val="1"/>
      <w:numFmt w:val="decimal"/>
      <w:pStyle w:val="159"/>
      <w:suff w:val="nothing"/>
      <w:lvlText w:val="%1%2.%3.%4.%5　"/>
      <w:lvlJc w:val="left"/>
      <w:pPr>
        <w:ind w:left="0" w:firstLine="0"/>
      </w:pPr>
    </w:lvl>
    <w:lvl w:ilvl="5" w:tentative="0">
      <w:start w:val="1"/>
      <w:numFmt w:val="decimal"/>
      <w:pStyle w:val="161"/>
      <w:suff w:val="nothing"/>
      <w:lvlText w:val="%1%2.%3.%4.%5.%6　"/>
      <w:lvlJc w:val="left"/>
      <w:pPr>
        <w:ind w:left="0" w:firstLine="0"/>
      </w:pPr>
    </w:lvl>
    <w:lvl w:ilvl="6" w:tentative="0">
      <w:start w:val="1"/>
      <w:numFmt w:val="decimal"/>
      <w:pStyle w:val="16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79102AD"/>
    <w:multiLevelType w:val="multilevel"/>
    <w:tmpl w:val="079102AD"/>
    <w:lvl w:ilvl="0" w:tentative="0">
      <w:start w:val="1"/>
      <w:numFmt w:val="decimal"/>
      <w:pStyle w:val="1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6"/>
      <w:suff w:val="nothing"/>
      <w:lvlText w:val="%10.%2 "/>
      <w:lvlJc w:val="left"/>
      <w:pPr>
        <w:ind w:left="0" w:firstLine="0"/>
      </w:pPr>
      <w:rPr>
        <w:rFonts w:hint="eastAsia" w:ascii="黑体" w:eastAsia="黑体" w:hAnsiTheme="minorHAnsi"/>
        <w:b w:val="0"/>
        <w:i w:val="0"/>
        <w:sz w:val="21"/>
      </w:rPr>
    </w:lvl>
    <w:lvl w:ilvl="2" w:tentative="0">
      <w:start w:val="1"/>
      <w:numFmt w:val="decimal"/>
      <w:pStyle w:val="207"/>
      <w:suff w:val="nothing"/>
      <w:lvlText w:val="%10.%2.%3 "/>
      <w:lvlJc w:val="left"/>
      <w:pPr>
        <w:ind w:left="0" w:firstLine="0"/>
      </w:pPr>
      <w:rPr>
        <w:rFonts w:hint="eastAsia" w:ascii="黑体" w:eastAsia="黑体" w:hAnsiTheme="minorHAnsi"/>
        <w:b w:val="0"/>
        <w:i w:val="0"/>
        <w:sz w:val="21"/>
      </w:rPr>
    </w:lvl>
    <w:lvl w:ilvl="3" w:tentative="0">
      <w:start w:val="1"/>
      <w:numFmt w:val="decimal"/>
      <w:pStyle w:val="208"/>
      <w:suff w:val="nothing"/>
      <w:lvlText w:val="%10.%2.%3.%4 "/>
      <w:lvlJc w:val="left"/>
      <w:pPr>
        <w:ind w:left="0" w:firstLine="0"/>
      </w:pPr>
      <w:rPr>
        <w:rFonts w:hint="eastAsia" w:ascii="黑体" w:eastAsia="黑体" w:hAnsiTheme="minorHAnsi"/>
        <w:b w:val="0"/>
        <w:i w:val="0"/>
        <w:sz w:val="21"/>
      </w:rPr>
    </w:lvl>
    <w:lvl w:ilvl="4" w:tentative="0">
      <w:start w:val="1"/>
      <w:numFmt w:val="decimal"/>
      <w:pStyle w:val="209"/>
      <w:suff w:val="nothing"/>
      <w:lvlText w:val="%10.%2.%3.%4.%5 "/>
      <w:lvlJc w:val="left"/>
      <w:pPr>
        <w:ind w:left="0" w:firstLine="0"/>
      </w:pPr>
      <w:rPr>
        <w:rFonts w:hint="eastAsia" w:ascii="黑体" w:eastAsia="黑体" w:hAnsiTheme="minorHAnsi"/>
        <w:b w:val="0"/>
        <w:i w:val="0"/>
        <w:sz w:val="21"/>
      </w:rPr>
    </w:lvl>
    <w:lvl w:ilvl="5" w:tentative="0">
      <w:start w:val="1"/>
      <w:numFmt w:val="decimal"/>
      <w:pStyle w:val="210"/>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AE367E9"/>
    <w:multiLevelType w:val="multilevel"/>
    <w:tmpl w:val="0AE367E9"/>
    <w:lvl w:ilvl="0" w:tentative="0">
      <w:start w:val="1"/>
      <w:numFmt w:val="none"/>
      <w:pStyle w:val="18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C570D76"/>
    <w:multiLevelType w:val="multilevel"/>
    <w:tmpl w:val="0C570D76"/>
    <w:lvl w:ilvl="0" w:tentative="0">
      <w:start w:val="1"/>
      <w:numFmt w:val="bullet"/>
      <w:lvlText w:val=""/>
      <w:lvlJc w:val="left"/>
      <w:pPr>
        <w:ind w:left="1212" w:hanging="360"/>
      </w:pPr>
      <w:rPr>
        <w:rFonts w:hint="default" w:ascii="Symbol" w:hAnsi="Symbol"/>
      </w:rPr>
    </w:lvl>
    <w:lvl w:ilvl="1" w:tentative="0">
      <w:start w:val="1"/>
      <w:numFmt w:val="lowerLetter"/>
      <w:lvlText w:val="%2."/>
      <w:lvlJc w:val="left"/>
      <w:pPr>
        <w:ind w:left="1932" w:hanging="360"/>
      </w:pPr>
    </w:lvl>
    <w:lvl w:ilvl="2" w:tentative="0">
      <w:start w:val="1"/>
      <w:numFmt w:val="lowerRoman"/>
      <w:lvlText w:val="%3."/>
      <w:lvlJc w:val="right"/>
      <w:pPr>
        <w:ind w:left="2652" w:hanging="180"/>
      </w:pPr>
    </w:lvl>
    <w:lvl w:ilvl="3" w:tentative="0">
      <w:start w:val="1"/>
      <w:numFmt w:val="decimal"/>
      <w:lvlText w:val="%4."/>
      <w:lvlJc w:val="left"/>
      <w:pPr>
        <w:ind w:left="3372" w:hanging="360"/>
      </w:pPr>
    </w:lvl>
    <w:lvl w:ilvl="4" w:tentative="0">
      <w:start w:val="1"/>
      <w:numFmt w:val="lowerLetter"/>
      <w:lvlText w:val="%5."/>
      <w:lvlJc w:val="left"/>
      <w:pPr>
        <w:ind w:left="4092" w:hanging="360"/>
      </w:pPr>
    </w:lvl>
    <w:lvl w:ilvl="5" w:tentative="0">
      <w:start w:val="1"/>
      <w:numFmt w:val="lowerRoman"/>
      <w:lvlText w:val="%6."/>
      <w:lvlJc w:val="right"/>
      <w:pPr>
        <w:ind w:left="4812" w:hanging="180"/>
      </w:pPr>
    </w:lvl>
    <w:lvl w:ilvl="6" w:tentative="0">
      <w:start w:val="1"/>
      <w:numFmt w:val="decimal"/>
      <w:lvlText w:val="%7."/>
      <w:lvlJc w:val="left"/>
      <w:pPr>
        <w:ind w:left="5532" w:hanging="360"/>
      </w:pPr>
    </w:lvl>
    <w:lvl w:ilvl="7" w:tentative="0">
      <w:start w:val="1"/>
      <w:numFmt w:val="lowerLetter"/>
      <w:lvlText w:val="%8."/>
      <w:lvlJc w:val="left"/>
      <w:pPr>
        <w:ind w:left="6252" w:hanging="360"/>
      </w:pPr>
    </w:lvl>
    <w:lvl w:ilvl="8" w:tentative="0">
      <w:start w:val="1"/>
      <w:numFmt w:val="lowerRoman"/>
      <w:lvlText w:val="%9."/>
      <w:lvlJc w:val="right"/>
      <w:pPr>
        <w:ind w:left="6972" w:hanging="180"/>
      </w:pPr>
    </w:lvl>
  </w:abstractNum>
  <w:abstractNum w:abstractNumId="8">
    <w:nsid w:val="0D051F45"/>
    <w:multiLevelType w:val="multilevel"/>
    <w:tmpl w:val="0D051F45"/>
    <w:lvl w:ilvl="0" w:tentative="0">
      <w:start w:val="1"/>
      <w:numFmt w:val="lowerRoman"/>
      <w:pStyle w:val="1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9">
    <w:nsid w:val="1AD20F90"/>
    <w:multiLevelType w:val="multilevel"/>
    <w:tmpl w:val="1AD20F90"/>
    <w:lvl w:ilvl="0" w:tentative="0">
      <w:start w:val="1"/>
      <w:numFmt w:val="none"/>
      <w:pStyle w:val="116"/>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2">
    <w:nsid w:val="2C5917C3"/>
    <w:multiLevelType w:val="multilevel"/>
    <w:tmpl w:val="2C5917C3"/>
    <w:lvl w:ilvl="0" w:tentative="0">
      <w:start w:val="1"/>
      <w:numFmt w:val="none"/>
      <w:pStyle w:val="138"/>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3"/>
      <w:lvlText w:val=""/>
      <w:lvlJc w:val="left"/>
      <w:pPr>
        <w:ind w:left="851" w:hanging="431"/>
      </w:pPr>
      <w:rPr>
        <w:rFonts w:hint="default" w:ascii="Symbol" w:hAnsi="Symbol"/>
        <w:sz w:val="21"/>
      </w:rPr>
    </w:lvl>
    <w:lvl w:ilvl="2" w:tentative="0">
      <w:start w:val="1"/>
      <w:numFmt w:val="bullet"/>
      <w:pStyle w:val="178"/>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44C50F90"/>
    <w:multiLevelType w:val="multilevel"/>
    <w:tmpl w:val="44C50F90"/>
    <w:lvl w:ilvl="0" w:tentative="0">
      <w:start w:val="1"/>
      <w:numFmt w:val="lowerLetter"/>
      <w:pStyle w:val="180"/>
      <w:lvlText w:val="%1)"/>
      <w:lvlJc w:val="left"/>
      <w:pPr>
        <w:tabs>
          <w:tab w:val="left" w:pos="852"/>
        </w:tabs>
        <w:ind w:left="852" w:hanging="426"/>
      </w:pPr>
      <w:rPr>
        <w:rFonts w:hint="eastAsia" w:ascii="宋体" w:hAnsi="Times New Roman" w:eastAsia="宋体"/>
        <w:sz w:val="21"/>
      </w:rPr>
    </w:lvl>
    <w:lvl w:ilvl="1" w:tentative="0">
      <w:start w:val="1"/>
      <w:numFmt w:val="decimal"/>
      <w:pStyle w:val="115"/>
      <w:lvlText w:val="%2)"/>
      <w:lvlJc w:val="left"/>
      <w:pPr>
        <w:tabs>
          <w:tab w:val="left" w:pos="1276"/>
        </w:tabs>
        <w:ind w:left="1276" w:hanging="425"/>
      </w:pPr>
      <w:rPr>
        <w:rFonts w:hint="eastAsia" w:ascii="宋体" w:hAnsi="Times New Roman" w:eastAsia="宋体"/>
        <w:sz w:val="21"/>
      </w:rPr>
    </w:lvl>
    <w:lvl w:ilvl="2" w:tentative="0">
      <w:start w:val="1"/>
      <w:numFmt w:val="decimal"/>
      <w:pStyle w:val="123"/>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48802D1C"/>
    <w:multiLevelType w:val="multilevel"/>
    <w:tmpl w:val="48802D1C"/>
    <w:lvl w:ilvl="0" w:tentative="0">
      <w:start w:val="1"/>
      <w:numFmt w:val="upperLetter"/>
      <w:pStyle w:val="204"/>
      <w:lvlText w:val="%1"/>
      <w:lvlJc w:val="left"/>
      <w:pPr>
        <w:ind w:left="420" w:hanging="420"/>
      </w:pPr>
      <w:rPr>
        <w:rFonts w:hint="eastAsia"/>
      </w:rPr>
    </w:lvl>
    <w:lvl w:ilvl="1" w:tentative="0">
      <w:start w:val="1"/>
      <w:numFmt w:val="decimal"/>
      <w:pStyle w:val="89"/>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4B733A5F"/>
    <w:multiLevelType w:val="multilevel"/>
    <w:tmpl w:val="4B733A5F"/>
    <w:lvl w:ilvl="0" w:tentative="0">
      <w:start w:val="1"/>
      <w:numFmt w:val="decimal"/>
      <w:pStyle w:val="18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7">
    <w:nsid w:val="4E5D0534"/>
    <w:multiLevelType w:val="multilevel"/>
    <w:tmpl w:val="4E5D0534"/>
    <w:lvl w:ilvl="0" w:tentative="0">
      <w:start w:val="1"/>
      <w:numFmt w:val="decimal"/>
      <w:pStyle w:val="12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9">
    <w:nsid w:val="557C2AF5"/>
    <w:multiLevelType w:val="multilevel"/>
    <w:tmpl w:val="557C2AF5"/>
    <w:lvl w:ilvl="0" w:tentative="0">
      <w:start w:val="1"/>
      <w:numFmt w:val="decimal"/>
      <w:pStyle w:val="12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603797C"/>
    <w:multiLevelType w:val="multilevel"/>
    <w:tmpl w:val="5603797C"/>
    <w:lvl w:ilvl="0" w:tentative="0">
      <w:start w:val="1"/>
      <w:numFmt w:val="upperLetter"/>
      <w:pStyle w:val="205"/>
      <w:suff w:val="space"/>
      <w:lvlText w:val="%1"/>
      <w:lvlJc w:val="left"/>
      <w:pPr>
        <w:ind w:left="425" w:hanging="425"/>
      </w:pPr>
      <w:rPr>
        <w:rFonts w:hint="eastAsia"/>
      </w:rPr>
    </w:lvl>
    <w:lvl w:ilvl="1" w:tentative="0">
      <w:start w:val="1"/>
      <w:numFmt w:val="decimal"/>
      <w:pStyle w:val="83"/>
      <w:suff w:val="space"/>
      <w:lvlText w:val="表%1.%2"/>
      <w:lvlJc w:val="center"/>
      <w:pPr>
        <w:ind w:left="0" w:firstLine="0"/>
      </w:pPr>
      <w:rPr>
        <w:rFonts w:hint="eastAsia" w:ascii="黑体" w:eastAsia="黑体"/>
        <w:sz w:val="21"/>
        <w:lang w:val="en-U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564D2089"/>
    <w:multiLevelType w:val="multilevel"/>
    <w:tmpl w:val="564D2089"/>
    <w:lvl w:ilvl="0" w:tentative="0">
      <w:start w:val="1"/>
      <w:numFmt w:val="none"/>
      <w:pStyle w:val="11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38A7983"/>
    <w:multiLevelType w:val="multilevel"/>
    <w:tmpl w:val="638A7983"/>
    <w:lvl w:ilvl="0" w:tentative="0">
      <w:start w:val="1"/>
      <w:numFmt w:val="lowerLetter"/>
      <w:pStyle w:val="240"/>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39"/>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3">
    <w:nsid w:val="644622F9"/>
    <w:multiLevelType w:val="multilevel"/>
    <w:tmpl w:val="644622F9"/>
    <w:lvl w:ilvl="0" w:tentative="0">
      <w:start w:val="1"/>
      <w:numFmt w:val="upp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4">
    <w:nsid w:val="646260FA"/>
    <w:multiLevelType w:val="multilevel"/>
    <w:tmpl w:val="646260FA"/>
    <w:lvl w:ilvl="0" w:tentative="0">
      <w:start w:val="1"/>
      <w:numFmt w:val="decimal"/>
      <w:pStyle w:val="1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5">
    <w:nsid w:val="654A26C9"/>
    <w:multiLevelType w:val="multilevel"/>
    <w:tmpl w:val="654A26C9"/>
    <w:lvl w:ilvl="0" w:tentative="0">
      <w:start w:val="1"/>
      <w:numFmt w:val="none"/>
      <w:pStyle w:val="19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6">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69506ABF"/>
    <w:multiLevelType w:val="multilevel"/>
    <w:tmpl w:val="69506ABF"/>
    <w:lvl w:ilvl="0" w:tentative="0">
      <w:start w:val="1"/>
      <w:numFmt w:val="bullet"/>
      <w:pStyle w:val="19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8">
    <w:nsid w:val="6CA41985"/>
    <w:multiLevelType w:val="multilevel"/>
    <w:tmpl w:val="6CA41985"/>
    <w:lvl w:ilvl="0" w:tentative="0">
      <w:start w:val="1"/>
      <w:numFmt w:val="decimal"/>
      <w:pStyle w:val="103"/>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CE42AC1"/>
    <w:multiLevelType w:val="multilevel"/>
    <w:tmpl w:val="6CE42AC1"/>
    <w:lvl w:ilvl="0" w:tentative="0">
      <w:start w:val="1"/>
      <w:numFmt w:val="lowerLetter"/>
      <w:pStyle w:val="1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CEA2025"/>
    <w:multiLevelType w:val="multilevel"/>
    <w:tmpl w:val="6CEA2025"/>
    <w:lvl w:ilvl="0" w:tentative="0">
      <w:start w:val="1"/>
      <w:numFmt w:val="none"/>
      <w:pStyle w:val="158"/>
      <w:suff w:val="nothing"/>
      <w:lvlText w:val="%1"/>
      <w:lvlJc w:val="left"/>
      <w:pPr>
        <w:ind w:left="0" w:firstLine="0"/>
      </w:pPr>
      <w:rPr>
        <w:rFonts w:hint="eastAsia"/>
      </w:rPr>
    </w:lvl>
    <w:lvl w:ilvl="1" w:tentative="0">
      <w:start w:val="1"/>
      <w:numFmt w:val="decimal"/>
      <w:pStyle w:val="110"/>
      <w:suff w:val="nothing"/>
      <w:lvlText w:val="%1%2　"/>
      <w:lvlJc w:val="left"/>
      <w:pPr>
        <w:ind w:left="142" w:firstLine="0"/>
      </w:pPr>
      <w:rPr>
        <w:rFonts w:hint="eastAsia" w:ascii="黑体" w:eastAsia="黑体"/>
        <w:b w:val="0"/>
        <w:i w:val="0"/>
        <w:sz w:val="21"/>
      </w:rPr>
    </w:lvl>
    <w:lvl w:ilvl="2" w:tentative="0">
      <w:start w:val="1"/>
      <w:numFmt w:val="decimal"/>
      <w:pStyle w:val="111"/>
      <w:suff w:val="nothing"/>
      <w:lvlText w:val="%1%2.%3　"/>
      <w:lvlJc w:val="left"/>
      <w:pPr>
        <w:ind w:left="993"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1"/>
      <w:suff w:val="nothing"/>
      <w:lvlText w:val="%1%2.%3.%4　"/>
      <w:lvlJc w:val="left"/>
      <w:pPr>
        <w:ind w:left="2411" w:firstLine="0"/>
      </w:pPr>
      <w:rPr>
        <w:rFonts w:hint="eastAsia" w:ascii="黑体" w:eastAsia="黑体"/>
        <w:b w:val="0"/>
        <w:i w:val="0"/>
        <w:sz w:val="21"/>
      </w:rPr>
    </w:lvl>
    <w:lvl w:ilvl="4" w:tentative="0">
      <w:start w:val="1"/>
      <w:numFmt w:val="decimal"/>
      <w:pStyle w:val="100"/>
      <w:suff w:val="nothing"/>
      <w:lvlText w:val="%1%2.%3.%4.%5　"/>
      <w:lvlJc w:val="left"/>
      <w:pPr>
        <w:ind w:left="0" w:firstLine="0"/>
      </w:pPr>
      <w:rPr>
        <w:rFonts w:hint="eastAsia" w:ascii="黑体" w:eastAsia="黑体"/>
        <w:b w:val="0"/>
        <w:i w:val="0"/>
        <w:sz w:val="21"/>
      </w:rPr>
    </w:lvl>
    <w:lvl w:ilvl="5" w:tentative="0">
      <w:start w:val="1"/>
      <w:numFmt w:val="decimal"/>
      <w:pStyle w:val="104"/>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1">
    <w:nsid w:val="6DBF04F4"/>
    <w:multiLevelType w:val="multilevel"/>
    <w:tmpl w:val="6DBF04F4"/>
    <w:lvl w:ilvl="0" w:tentative="0">
      <w:start w:val="1"/>
      <w:numFmt w:val="none"/>
      <w:pStyle w:val="185"/>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2">
    <w:nsid w:val="6DF35F19"/>
    <w:multiLevelType w:val="multilevel"/>
    <w:tmpl w:val="6DF35F19"/>
    <w:lvl w:ilvl="0" w:tentative="0">
      <w:start w:val="1"/>
      <w:numFmt w:val="decimal"/>
      <w:pStyle w:val="121"/>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3">
    <w:nsid w:val="76933334"/>
    <w:multiLevelType w:val="multilevel"/>
    <w:tmpl w:val="76933334"/>
    <w:lvl w:ilvl="0" w:tentative="0">
      <w:start w:val="1"/>
      <w:numFmt w:val="none"/>
      <w:pStyle w:val="145"/>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30"/>
  </w:num>
  <w:num w:numId="4">
    <w:abstractNumId w:val="6"/>
  </w:num>
  <w:num w:numId="5">
    <w:abstractNumId w:val="26"/>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0"/>
  </w:num>
  <w:num w:numId="9">
    <w:abstractNumId w:val="4"/>
  </w:num>
  <w:num w:numId="10">
    <w:abstractNumId w:val="11"/>
  </w:num>
  <w:num w:numId="11">
    <w:abstractNumId w:val="18"/>
  </w:num>
  <w:num w:numId="12">
    <w:abstractNumId w:val="28"/>
  </w:num>
  <w:num w:numId="13">
    <w:abstractNumId w:val="13"/>
  </w:num>
  <w:num w:numId="14">
    <w:abstractNumId w:val="14"/>
  </w:num>
  <w:num w:numId="15">
    <w:abstractNumId w:val="9"/>
  </w:num>
  <w:num w:numId="16">
    <w:abstractNumId w:val="21"/>
  </w:num>
  <w:num w:numId="17">
    <w:abstractNumId w:val="24"/>
  </w:num>
  <w:num w:numId="18">
    <w:abstractNumId w:val="19"/>
  </w:num>
  <w:num w:numId="19">
    <w:abstractNumId w:val="32"/>
  </w:num>
  <w:num w:numId="20">
    <w:abstractNumId w:val="17"/>
  </w:num>
  <w:num w:numId="21">
    <w:abstractNumId w:val="2"/>
  </w:num>
  <w:num w:numId="22">
    <w:abstractNumId w:val="12"/>
  </w:num>
  <w:num w:numId="23">
    <w:abstractNumId w:val="33"/>
  </w:num>
  <w:num w:numId="24">
    <w:abstractNumId w:val="23"/>
  </w:num>
  <w:num w:numId="25">
    <w:abstractNumId w:val="8"/>
  </w:num>
  <w:num w:numId="26">
    <w:abstractNumId w:val="29"/>
  </w:num>
  <w:num w:numId="27">
    <w:abstractNumId w:val="31"/>
  </w:num>
  <w:num w:numId="28">
    <w:abstractNumId w:val="3"/>
  </w:num>
  <w:num w:numId="29">
    <w:abstractNumId w:val="5"/>
  </w:num>
  <w:num w:numId="30">
    <w:abstractNumId w:val="16"/>
  </w:num>
  <w:num w:numId="31">
    <w:abstractNumId w:val="27"/>
  </w:num>
  <w:num w:numId="32">
    <w:abstractNumId w:val="25"/>
  </w:num>
  <w:num w:numId="33">
    <w:abstractNumId w:val="22"/>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5EF"/>
    <w:rsid w:val="0000040A"/>
    <w:rsid w:val="00000A94"/>
    <w:rsid w:val="00000E0B"/>
    <w:rsid w:val="00001972"/>
    <w:rsid w:val="00001D9A"/>
    <w:rsid w:val="00001F67"/>
    <w:rsid w:val="000021F0"/>
    <w:rsid w:val="00002406"/>
    <w:rsid w:val="0000241C"/>
    <w:rsid w:val="00002B39"/>
    <w:rsid w:val="00002CC5"/>
    <w:rsid w:val="00003081"/>
    <w:rsid w:val="0000329A"/>
    <w:rsid w:val="0000375E"/>
    <w:rsid w:val="00003AB4"/>
    <w:rsid w:val="000048AB"/>
    <w:rsid w:val="000051C3"/>
    <w:rsid w:val="000052BD"/>
    <w:rsid w:val="0000591B"/>
    <w:rsid w:val="00006057"/>
    <w:rsid w:val="00006589"/>
    <w:rsid w:val="00006746"/>
    <w:rsid w:val="00006991"/>
    <w:rsid w:val="00006FBF"/>
    <w:rsid w:val="00007206"/>
    <w:rsid w:val="00007B3A"/>
    <w:rsid w:val="00007D3B"/>
    <w:rsid w:val="00007FD9"/>
    <w:rsid w:val="0001005A"/>
    <w:rsid w:val="00010264"/>
    <w:rsid w:val="000107E0"/>
    <w:rsid w:val="000110AC"/>
    <w:rsid w:val="00011122"/>
    <w:rsid w:val="00011185"/>
    <w:rsid w:val="00011655"/>
    <w:rsid w:val="00011658"/>
    <w:rsid w:val="0001169D"/>
    <w:rsid w:val="000117F6"/>
    <w:rsid w:val="00011814"/>
    <w:rsid w:val="00011FDE"/>
    <w:rsid w:val="0001204C"/>
    <w:rsid w:val="0001208E"/>
    <w:rsid w:val="000121F1"/>
    <w:rsid w:val="00012231"/>
    <w:rsid w:val="00012727"/>
    <w:rsid w:val="00012886"/>
    <w:rsid w:val="00012FFD"/>
    <w:rsid w:val="00013B12"/>
    <w:rsid w:val="00013B1E"/>
    <w:rsid w:val="00013C4B"/>
    <w:rsid w:val="00013D1A"/>
    <w:rsid w:val="00014162"/>
    <w:rsid w:val="00014340"/>
    <w:rsid w:val="00014456"/>
    <w:rsid w:val="00014738"/>
    <w:rsid w:val="00014BF1"/>
    <w:rsid w:val="0001507C"/>
    <w:rsid w:val="00015641"/>
    <w:rsid w:val="00015CB3"/>
    <w:rsid w:val="00015E70"/>
    <w:rsid w:val="000162B1"/>
    <w:rsid w:val="0001687D"/>
    <w:rsid w:val="00016961"/>
    <w:rsid w:val="00016A9C"/>
    <w:rsid w:val="00016C53"/>
    <w:rsid w:val="00017426"/>
    <w:rsid w:val="0001752E"/>
    <w:rsid w:val="00017579"/>
    <w:rsid w:val="00017F07"/>
    <w:rsid w:val="000208E1"/>
    <w:rsid w:val="000208E6"/>
    <w:rsid w:val="00020986"/>
    <w:rsid w:val="00020C9A"/>
    <w:rsid w:val="0002184E"/>
    <w:rsid w:val="00022184"/>
    <w:rsid w:val="00022762"/>
    <w:rsid w:val="00022905"/>
    <w:rsid w:val="00022B30"/>
    <w:rsid w:val="000238E0"/>
    <w:rsid w:val="00023ECD"/>
    <w:rsid w:val="00024872"/>
    <w:rsid w:val="00024966"/>
    <w:rsid w:val="000249DB"/>
    <w:rsid w:val="00024F78"/>
    <w:rsid w:val="00024FBC"/>
    <w:rsid w:val="00025800"/>
    <w:rsid w:val="0002595E"/>
    <w:rsid w:val="000259BB"/>
    <w:rsid w:val="00025B16"/>
    <w:rsid w:val="00025DA5"/>
    <w:rsid w:val="00026239"/>
    <w:rsid w:val="0002642A"/>
    <w:rsid w:val="00026DE2"/>
    <w:rsid w:val="000273CF"/>
    <w:rsid w:val="000273EB"/>
    <w:rsid w:val="00027856"/>
    <w:rsid w:val="0003035B"/>
    <w:rsid w:val="00030396"/>
    <w:rsid w:val="000303C3"/>
    <w:rsid w:val="000307B4"/>
    <w:rsid w:val="00030F03"/>
    <w:rsid w:val="00030F47"/>
    <w:rsid w:val="00032437"/>
    <w:rsid w:val="00032A1D"/>
    <w:rsid w:val="00032E71"/>
    <w:rsid w:val="00032FA6"/>
    <w:rsid w:val="000331D3"/>
    <w:rsid w:val="00033840"/>
    <w:rsid w:val="000346A5"/>
    <w:rsid w:val="000359C3"/>
    <w:rsid w:val="00035A7D"/>
    <w:rsid w:val="00035AB6"/>
    <w:rsid w:val="00035B20"/>
    <w:rsid w:val="000365ED"/>
    <w:rsid w:val="00036F44"/>
    <w:rsid w:val="00037BE9"/>
    <w:rsid w:val="00037EAF"/>
    <w:rsid w:val="00040D12"/>
    <w:rsid w:val="0004161B"/>
    <w:rsid w:val="0004188A"/>
    <w:rsid w:val="0004195A"/>
    <w:rsid w:val="0004195B"/>
    <w:rsid w:val="00041AE2"/>
    <w:rsid w:val="00042409"/>
    <w:rsid w:val="0004249A"/>
    <w:rsid w:val="000429EB"/>
    <w:rsid w:val="000429F8"/>
    <w:rsid w:val="00042A45"/>
    <w:rsid w:val="00043282"/>
    <w:rsid w:val="00043536"/>
    <w:rsid w:val="00043A75"/>
    <w:rsid w:val="00043F84"/>
    <w:rsid w:val="00044286"/>
    <w:rsid w:val="0004458E"/>
    <w:rsid w:val="00044724"/>
    <w:rsid w:val="00044A50"/>
    <w:rsid w:val="00044D38"/>
    <w:rsid w:val="00045082"/>
    <w:rsid w:val="000454B7"/>
    <w:rsid w:val="000461D1"/>
    <w:rsid w:val="0004630A"/>
    <w:rsid w:val="00046546"/>
    <w:rsid w:val="0004725B"/>
    <w:rsid w:val="00047F28"/>
    <w:rsid w:val="00047F4B"/>
    <w:rsid w:val="000503AA"/>
    <w:rsid w:val="00050403"/>
    <w:rsid w:val="0005058D"/>
    <w:rsid w:val="000506A1"/>
    <w:rsid w:val="000513C2"/>
    <w:rsid w:val="000515DD"/>
    <w:rsid w:val="00051665"/>
    <w:rsid w:val="00051C40"/>
    <w:rsid w:val="00052580"/>
    <w:rsid w:val="0005265A"/>
    <w:rsid w:val="00052867"/>
    <w:rsid w:val="00052B5F"/>
    <w:rsid w:val="00052F26"/>
    <w:rsid w:val="0005303F"/>
    <w:rsid w:val="000534FA"/>
    <w:rsid w:val="000539DD"/>
    <w:rsid w:val="00053BBB"/>
    <w:rsid w:val="00053BD3"/>
    <w:rsid w:val="0005431E"/>
    <w:rsid w:val="00054399"/>
    <w:rsid w:val="00054514"/>
    <w:rsid w:val="000545A9"/>
    <w:rsid w:val="000553E7"/>
    <w:rsid w:val="000554A9"/>
    <w:rsid w:val="000556A6"/>
    <w:rsid w:val="000556ED"/>
    <w:rsid w:val="00055FE2"/>
    <w:rsid w:val="0005616F"/>
    <w:rsid w:val="000564F2"/>
    <w:rsid w:val="0005686D"/>
    <w:rsid w:val="000568AE"/>
    <w:rsid w:val="000572E5"/>
    <w:rsid w:val="00057B64"/>
    <w:rsid w:val="00057E10"/>
    <w:rsid w:val="00060514"/>
    <w:rsid w:val="0006084E"/>
    <w:rsid w:val="00060C2E"/>
    <w:rsid w:val="00061033"/>
    <w:rsid w:val="00061130"/>
    <w:rsid w:val="000616B5"/>
    <w:rsid w:val="000619E9"/>
    <w:rsid w:val="00062216"/>
    <w:rsid w:val="000622D4"/>
    <w:rsid w:val="000622F1"/>
    <w:rsid w:val="00062D82"/>
    <w:rsid w:val="00062F33"/>
    <w:rsid w:val="00063353"/>
    <w:rsid w:val="000633EF"/>
    <w:rsid w:val="0006357D"/>
    <w:rsid w:val="00063831"/>
    <w:rsid w:val="00063AF7"/>
    <w:rsid w:val="00065708"/>
    <w:rsid w:val="00065E4B"/>
    <w:rsid w:val="00066817"/>
    <w:rsid w:val="00066AE5"/>
    <w:rsid w:val="00066CD1"/>
    <w:rsid w:val="00067258"/>
    <w:rsid w:val="0006725F"/>
    <w:rsid w:val="000672BD"/>
    <w:rsid w:val="000675E4"/>
    <w:rsid w:val="000676A1"/>
    <w:rsid w:val="00067C57"/>
    <w:rsid w:val="00067F1C"/>
    <w:rsid w:val="00067F1E"/>
    <w:rsid w:val="00067F27"/>
    <w:rsid w:val="0007021C"/>
    <w:rsid w:val="00070293"/>
    <w:rsid w:val="00070440"/>
    <w:rsid w:val="00070A3C"/>
    <w:rsid w:val="00070D20"/>
    <w:rsid w:val="00071916"/>
    <w:rsid w:val="000719AF"/>
    <w:rsid w:val="00071CC0"/>
    <w:rsid w:val="000726C0"/>
    <w:rsid w:val="000727D2"/>
    <w:rsid w:val="00072A54"/>
    <w:rsid w:val="00073C8C"/>
    <w:rsid w:val="0007416A"/>
    <w:rsid w:val="00074667"/>
    <w:rsid w:val="000756F6"/>
    <w:rsid w:val="00075C4B"/>
    <w:rsid w:val="00075F06"/>
    <w:rsid w:val="00076DEE"/>
    <w:rsid w:val="000778E9"/>
    <w:rsid w:val="00077A4A"/>
    <w:rsid w:val="00077B64"/>
    <w:rsid w:val="00077BF8"/>
    <w:rsid w:val="0008059E"/>
    <w:rsid w:val="000805EA"/>
    <w:rsid w:val="00080715"/>
    <w:rsid w:val="00080A1C"/>
    <w:rsid w:val="00080B83"/>
    <w:rsid w:val="00080EA4"/>
    <w:rsid w:val="00080FDA"/>
    <w:rsid w:val="00082317"/>
    <w:rsid w:val="00082468"/>
    <w:rsid w:val="000827B5"/>
    <w:rsid w:val="00082870"/>
    <w:rsid w:val="00082B42"/>
    <w:rsid w:val="00083D2C"/>
    <w:rsid w:val="00083D91"/>
    <w:rsid w:val="00084394"/>
    <w:rsid w:val="00086AA1"/>
    <w:rsid w:val="00086C5D"/>
    <w:rsid w:val="00087675"/>
    <w:rsid w:val="00087A77"/>
    <w:rsid w:val="000906E6"/>
    <w:rsid w:val="00090A31"/>
    <w:rsid w:val="00090CA6"/>
    <w:rsid w:val="00091528"/>
    <w:rsid w:val="00091938"/>
    <w:rsid w:val="00092170"/>
    <w:rsid w:val="00092A9C"/>
    <w:rsid w:val="00092B8A"/>
    <w:rsid w:val="00092FB0"/>
    <w:rsid w:val="00093091"/>
    <w:rsid w:val="000932EB"/>
    <w:rsid w:val="000934C5"/>
    <w:rsid w:val="00093690"/>
    <w:rsid w:val="00093B09"/>
    <w:rsid w:val="00093D25"/>
    <w:rsid w:val="00093DAB"/>
    <w:rsid w:val="00094563"/>
    <w:rsid w:val="00094584"/>
    <w:rsid w:val="00094B1A"/>
    <w:rsid w:val="00094D73"/>
    <w:rsid w:val="00094FD3"/>
    <w:rsid w:val="00095328"/>
    <w:rsid w:val="000966EC"/>
    <w:rsid w:val="000967F9"/>
    <w:rsid w:val="00096876"/>
    <w:rsid w:val="00096D63"/>
    <w:rsid w:val="0009734C"/>
    <w:rsid w:val="000978B0"/>
    <w:rsid w:val="00097E06"/>
    <w:rsid w:val="000A01C5"/>
    <w:rsid w:val="000A0427"/>
    <w:rsid w:val="000A065F"/>
    <w:rsid w:val="000A0B60"/>
    <w:rsid w:val="000A0C6C"/>
    <w:rsid w:val="000A0C83"/>
    <w:rsid w:val="000A0D79"/>
    <w:rsid w:val="000A0EB8"/>
    <w:rsid w:val="000A11C5"/>
    <w:rsid w:val="000A1851"/>
    <w:rsid w:val="000A19FC"/>
    <w:rsid w:val="000A1BA6"/>
    <w:rsid w:val="000A1E37"/>
    <w:rsid w:val="000A23C5"/>
    <w:rsid w:val="000A296B"/>
    <w:rsid w:val="000A2AC8"/>
    <w:rsid w:val="000A30FC"/>
    <w:rsid w:val="000A3DDF"/>
    <w:rsid w:val="000A4E53"/>
    <w:rsid w:val="000A539D"/>
    <w:rsid w:val="000A5583"/>
    <w:rsid w:val="000A566F"/>
    <w:rsid w:val="000A5B4D"/>
    <w:rsid w:val="000A5FA8"/>
    <w:rsid w:val="000A6312"/>
    <w:rsid w:val="000A6CA1"/>
    <w:rsid w:val="000A6D0B"/>
    <w:rsid w:val="000A6F3B"/>
    <w:rsid w:val="000A7311"/>
    <w:rsid w:val="000A77B7"/>
    <w:rsid w:val="000A7976"/>
    <w:rsid w:val="000B0057"/>
    <w:rsid w:val="000B02E3"/>
    <w:rsid w:val="000B0472"/>
    <w:rsid w:val="000B0478"/>
    <w:rsid w:val="000B060F"/>
    <w:rsid w:val="000B066A"/>
    <w:rsid w:val="000B086F"/>
    <w:rsid w:val="000B0CB3"/>
    <w:rsid w:val="000B1592"/>
    <w:rsid w:val="000B1E57"/>
    <w:rsid w:val="000B1FF2"/>
    <w:rsid w:val="000B291D"/>
    <w:rsid w:val="000B2A0C"/>
    <w:rsid w:val="000B2CDA"/>
    <w:rsid w:val="000B314F"/>
    <w:rsid w:val="000B38E0"/>
    <w:rsid w:val="000B3CDA"/>
    <w:rsid w:val="000B4047"/>
    <w:rsid w:val="000B4DD9"/>
    <w:rsid w:val="000B52B0"/>
    <w:rsid w:val="000B6A0B"/>
    <w:rsid w:val="000B6A13"/>
    <w:rsid w:val="000B6A65"/>
    <w:rsid w:val="000B74DA"/>
    <w:rsid w:val="000B79F5"/>
    <w:rsid w:val="000C012D"/>
    <w:rsid w:val="000C06C6"/>
    <w:rsid w:val="000C0F6C"/>
    <w:rsid w:val="000C11DB"/>
    <w:rsid w:val="000C144F"/>
    <w:rsid w:val="000C1492"/>
    <w:rsid w:val="000C1D36"/>
    <w:rsid w:val="000C1E61"/>
    <w:rsid w:val="000C27E9"/>
    <w:rsid w:val="000C2CCA"/>
    <w:rsid w:val="000C2FBD"/>
    <w:rsid w:val="000C3155"/>
    <w:rsid w:val="000C3208"/>
    <w:rsid w:val="000C33B2"/>
    <w:rsid w:val="000C34DD"/>
    <w:rsid w:val="000C39F9"/>
    <w:rsid w:val="000C4B41"/>
    <w:rsid w:val="000C53F5"/>
    <w:rsid w:val="000C57D6"/>
    <w:rsid w:val="000C5986"/>
    <w:rsid w:val="000C59E3"/>
    <w:rsid w:val="000C5E34"/>
    <w:rsid w:val="000C5F0E"/>
    <w:rsid w:val="000C6243"/>
    <w:rsid w:val="000C6362"/>
    <w:rsid w:val="000C7666"/>
    <w:rsid w:val="000C7780"/>
    <w:rsid w:val="000C7B87"/>
    <w:rsid w:val="000D0A8C"/>
    <w:rsid w:val="000D0A9C"/>
    <w:rsid w:val="000D0CF7"/>
    <w:rsid w:val="000D1795"/>
    <w:rsid w:val="000D187E"/>
    <w:rsid w:val="000D1887"/>
    <w:rsid w:val="000D1970"/>
    <w:rsid w:val="000D1C3E"/>
    <w:rsid w:val="000D21D7"/>
    <w:rsid w:val="000D2E81"/>
    <w:rsid w:val="000D329A"/>
    <w:rsid w:val="000D3B3B"/>
    <w:rsid w:val="000D4021"/>
    <w:rsid w:val="000D4B9C"/>
    <w:rsid w:val="000D4EB6"/>
    <w:rsid w:val="000D5225"/>
    <w:rsid w:val="000D55F5"/>
    <w:rsid w:val="000D575A"/>
    <w:rsid w:val="000D5804"/>
    <w:rsid w:val="000D68A4"/>
    <w:rsid w:val="000D6E83"/>
    <w:rsid w:val="000D741E"/>
    <w:rsid w:val="000D753B"/>
    <w:rsid w:val="000E030E"/>
    <w:rsid w:val="000E0841"/>
    <w:rsid w:val="000E0A6B"/>
    <w:rsid w:val="000E12A7"/>
    <w:rsid w:val="000E13D3"/>
    <w:rsid w:val="000E1534"/>
    <w:rsid w:val="000E1A26"/>
    <w:rsid w:val="000E1D82"/>
    <w:rsid w:val="000E2B23"/>
    <w:rsid w:val="000E2EF3"/>
    <w:rsid w:val="000E2FBF"/>
    <w:rsid w:val="000E32C5"/>
    <w:rsid w:val="000E3F95"/>
    <w:rsid w:val="000E41ED"/>
    <w:rsid w:val="000E489C"/>
    <w:rsid w:val="000E4ADA"/>
    <w:rsid w:val="000E4C9E"/>
    <w:rsid w:val="000E4F03"/>
    <w:rsid w:val="000E5E64"/>
    <w:rsid w:val="000E61D3"/>
    <w:rsid w:val="000E6E22"/>
    <w:rsid w:val="000E6FD7"/>
    <w:rsid w:val="000E732B"/>
    <w:rsid w:val="000E73E1"/>
    <w:rsid w:val="000E76CA"/>
    <w:rsid w:val="000E7B24"/>
    <w:rsid w:val="000E7B36"/>
    <w:rsid w:val="000E7E0E"/>
    <w:rsid w:val="000F01C3"/>
    <w:rsid w:val="000F06E1"/>
    <w:rsid w:val="000F0BAF"/>
    <w:rsid w:val="000F0E3C"/>
    <w:rsid w:val="000F11A2"/>
    <w:rsid w:val="000F19D5"/>
    <w:rsid w:val="000F2826"/>
    <w:rsid w:val="000F2CC3"/>
    <w:rsid w:val="000F33D1"/>
    <w:rsid w:val="000F3813"/>
    <w:rsid w:val="000F39D8"/>
    <w:rsid w:val="000F4AEA"/>
    <w:rsid w:val="000F4BCF"/>
    <w:rsid w:val="000F4DD8"/>
    <w:rsid w:val="000F4ED5"/>
    <w:rsid w:val="000F5070"/>
    <w:rsid w:val="000F6312"/>
    <w:rsid w:val="000F633F"/>
    <w:rsid w:val="000F6496"/>
    <w:rsid w:val="000F67E9"/>
    <w:rsid w:val="000F75B7"/>
    <w:rsid w:val="000F7600"/>
    <w:rsid w:val="000F76E8"/>
    <w:rsid w:val="000F7AC8"/>
    <w:rsid w:val="00100463"/>
    <w:rsid w:val="001010E7"/>
    <w:rsid w:val="0010111C"/>
    <w:rsid w:val="00101681"/>
    <w:rsid w:val="00101704"/>
    <w:rsid w:val="0010223F"/>
    <w:rsid w:val="00102E93"/>
    <w:rsid w:val="0010325A"/>
    <w:rsid w:val="001033F5"/>
    <w:rsid w:val="00103A35"/>
    <w:rsid w:val="00104926"/>
    <w:rsid w:val="00104BB3"/>
    <w:rsid w:val="00104BBD"/>
    <w:rsid w:val="00105387"/>
    <w:rsid w:val="001059AA"/>
    <w:rsid w:val="00106074"/>
    <w:rsid w:val="001062F1"/>
    <w:rsid w:val="001068D9"/>
    <w:rsid w:val="00106DF9"/>
    <w:rsid w:val="00106E02"/>
    <w:rsid w:val="00106ECB"/>
    <w:rsid w:val="00107FE8"/>
    <w:rsid w:val="001100BE"/>
    <w:rsid w:val="001118ED"/>
    <w:rsid w:val="00111D74"/>
    <w:rsid w:val="00112051"/>
    <w:rsid w:val="00112249"/>
    <w:rsid w:val="00112477"/>
    <w:rsid w:val="0011287C"/>
    <w:rsid w:val="00113512"/>
    <w:rsid w:val="00113B1E"/>
    <w:rsid w:val="00113C36"/>
    <w:rsid w:val="00113ED5"/>
    <w:rsid w:val="00113F24"/>
    <w:rsid w:val="001149FB"/>
    <w:rsid w:val="0011524B"/>
    <w:rsid w:val="00115343"/>
    <w:rsid w:val="00115502"/>
    <w:rsid w:val="0011593C"/>
    <w:rsid w:val="00115D1E"/>
    <w:rsid w:val="00116539"/>
    <w:rsid w:val="00116554"/>
    <w:rsid w:val="00116664"/>
    <w:rsid w:val="0011711C"/>
    <w:rsid w:val="00117DD0"/>
    <w:rsid w:val="001200FF"/>
    <w:rsid w:val="0012059C"/>
    <w:rsid w:val="00120A02"/>
    <w:rsid w:val="00120C44"/>
    <w:rsid w:val="00120CE2"/>
    <w:rsid w:val="00122DAE"/>
    <w:rsid w:val="00122F53"/>
    <w:rsid w:val="00123020"/>
    <w:rsid w:val="001236E7"/>
    <w:rsid w:val="0012404C"/>
    <w:rsid w:val="0012433E"/>
    <w:rsid w:val="001246C3"/>
    <w:rsid w:val="001247CC"/>
    <w:rsid w:val="00124BF7"/>
    <w:rsid w:val="00124DDA"/>
    <w:rsid w:val="00124E4F"/>
    <w:rsid w:val="00125C32"/>
    <w:rsid w:val="001260B7"/>
    <w:rsid w:val="00126159"/>
    <w:rsid w:val="001265CB"/>
    <w:rsid w:val="00126A6B"/>
    <w:rsid w:val="00126D0B"/>
    <w:rsid w:val="00126EBE"/>
    <w:rsid w:val="001270CA"/>
    <w:rsid w:val="001271A3"/>
    <w:rsid w:val="001277A1"/>
    <w:rsid w:val="001303B4"/>
    <w:rsid w:val="00130507"/>
    <w:rsid w:val="00130565"/>
    <w:rsid w:val="00130743"/>
    <w:rsid w:val="001311FA"/>
    <w:rsid w:val="001321C6"/>
    <w:rsid w:val="001324E4"/>
    <w:rsid w:val="001325C4"/>
    <w:rsid w:val="00133010"/>
    <w:rsid w:val="001330AE"/>
    <w:rsid w:val="001338EE"/>
    <w:rsid w:val="00133AAE"/>
    <w:rsid w:val="00135323"/>
    <w:rsid w:val="001356C4"/>
    <w:rsid w:val="001359FA"/>
    <w:rsid w:val="00135BD2"/>
    <w:rsid w:val="00135D10"/>
    <w:rsid w:val="00136772"/>
    <w:rsid w:val="0013792B"/>
    <w:rsid w:val="00137AC1"/>
    <w:rsid w:val="00137D58"/>
    <w:rsid w:val="0014002B"/>
    <w:rsid w:val="001402A4"/>
    <w:rsid w:val="001405A3"/>
    <w:rsid w:val="00140E9B"/>
    <w:rsid w:val="00141114"/>
    <w:rsid w:val="0014181E"/>
    <w:rsid w:val="00141E27"/>
    <w:rsid w:val="00141E3D"/>
    <w:rsid w:val="001425D6"/>
    <w:rsid w:val="00142756"/>
    <w:rsid w:val="0014281D"/>
    <w:rsid w:val="0014292D"/>
    <w:rsid w:val="00142969"/>
    <w:rsid w:val="00142C33"/>
    <w:rsid w:val="00142D29"/>
    <w:rsid w:val="00142DC8"/>
    <w:rsid w:val="001446AA"/>
    <w:rsid w:val="001446C2"/>
    <w:rsid w:val="00144DAB"/>
    <w:rsid w:val="001452C3"/>
    <w:rsid w:val="00145687"/>
    <w:rsid w:val="001457E7"/>
    <w:rsid w:val="00145D9D"/>
    <w:rsid w:val="00146388"/>
    <w:rsid w:val="00146EB9"/>
    <w:rsid w:val="001472D5"/>
    <w:rsid w:val="0014733C"/>
    <w:rsid w:val="0014738E"/>
    <w:rsid w:val="001475AC"/>
    <w:rsid w:val="00150AC6"/>
    <w:rsid w:val="00151A19"/>
    <w:rsid w:val="00152278"/>
    <w:rsid w:val="00152676"/>
    <w:rsid w:val="001529E5"/>
    <w:rsid w:val="00152E71"/>
    <w:rsid w:val="00153475"/>
    <w:rsid w:val="00153C7E"/>
    <w:rsid w:val="00153D48"/>
    <w:rsid w:val="001542FD"/>
    <w:rsid w:val="001546DE"/>
    <w:rsid w:val="00154A75"/>
    <w:rsid w:val="00155294"/>
    <w:rsid w:val="00155588"/>
    <w:rsid w:val="0015568D"/>
    <w:rsid w:val="001561D9"/>
    <w:rsid w:val="001568DE"/>
    <w:rsid w:val="00156B25"/>
    <w:rsid w:val="00156E1A"/>
    <w:rsid w:val="00156E43"/>
    <w:rsid w:val="00156F71"/>
    <w:rsid w:val="00157894"/>
    <w:rsid w:val="00157B55"/>
    <w:rsid w:val="00157CE8"/>
    <w:rsid w:val="00157F56"/>
    <w:rsid w:val="001603EB"/>
    <w:rsid w:val="001610AD"/>
    <w:rsid w:val="001611A2"/>
    <w:rsid w:val="001612C5"/>
    <w:rsid w:val="001619E7"/>
    <w:rsid w:val="00161BE4"/>
    <w:rsid w:val="00162608"/>
    <w:rsid w:val="00162634"/>
    <w:rsid w:val="001631F6"/>
    <w:rsid w:val="001633C9"/>
    <w:rsid w:val="001634F7"/>
    <w:rsid w:val="001636D4"/>
    <w:rsid w:val="00163859"/>
    <w:rsid w:val="00163E24"/>
    <w:rsid w:val="001642FA"/>
    <w:rsid w:val="0016430A"/>
    <w:rsid w:val="001647D3"/>
    <w:rsid w:val="001649EB"/>
    <w:rsid w:val="00164A68"/>
    <w:rsid w:val="00164BAF"/>
    <w:rsid w:val="00164EDE"/>
    <w:rsid w:val="00164F51"/>
    <w:rsid w:val="00164FA8"/>
    <w:rsid w:val="00165065"/>
    <w:rsid w:val="00165434"/>
    <w:rsid w:val="0016580B"/>
    <w:rsid w:val="00165BD7"/>
    <w:rsid w:val="00165F49"/>
    <w:rsid w:val="00166773"/>
    <w:rsid w:val="00166B88"/>
    <w:rsid w:val="001671F8"/>
    <w:rsid w:val="00167372"/>
    <w:rsid w:val="0016770A"/>
    <w:rsid w:val="00167B6D"/>
    <w:rsid w:val="00170804"/>
    <w:rsid w:val="001708E9"/>
    <w:rsid w:val="00170DB1"/>
    <w:rsid w:val="00170EE3"/>
    <w:rsid w:val="0017104C"/>
    <w:rsid w:val="00171D37"/>
    <w:rsid w:val="00172082"/>
    <w:rsid w:val="00172AD7"/>
    <w:rsid w:val="0017340B"/>
    <w:rsid w:val="00173FB1"/>
    <w:rsid w:val="00174180"/>
    <w:rsid w:val="001743A1"/>
    <w:rsid w:val="00174979"/>
    <w:rsid w:val="00174D50"/>
    <w:rsid w:val="00174E50"/>
    <w:rsid w:val="00174F2B"/>
    <w:rsid w:val="0017534D"/>
    <w:rsid w:val="001755F9"/>
    <w:rsid w:val="0017583D"/>
    <w:rsid w:val="001758A0"/>
    <w:rsid w:val="00175BDD"/>
    <w:rsid w:val="00175C6A"/>
    <w:rsid w:val="00175E6A"/>
    <w:rsid w:val="00176055"/>
    <w:rsid w:val="001765ED"/>
    <w:rsid w:val="00176DFD"/>
    <w:rsid w:val="001770BB"/>
    <w:rsid w:val="0017754B"/>
    <w:rsid w:val="00180821"/>
    <w:rsid w:val="00180941"/>
    <w:rsid w:val="00180C0B"/>
    <w:rsid w:val="00180E44"/>
    <w:rsid w:val="00181220"/>
    <w:rsid w:val="00181629"/>
    <w:rsid w:val="00181BC1"/>
    <w:rsid w:val="00182770"/>
    <w:rsid w:val="001828F7"/>
    <w:rsid w:val="001833AD"/>
    <w:rsid w:val="00183D5E"/>
    <w:rsid w:val="00184668"/>
    <w:rsid w:val="001847C9"/>
    <w:rsid w:val="001852C9"/>
    <w:rsid w:val="00185365"/>
    <w:rsid w:val="00185E61"/>
    <w:rsid w:val="00185F0A"/>
    <w:rsid w:val="00186135"/>
    <w:rsid w:val="00186C3A"/>
    <w:rsid w:val="00186CCD"/>
    <w:rsid w:val="00187BAD"/>
    <w:rsid w:val="00190087"/>
    <w:rsid w:val="001900A5"/>
    <w:rsid w:val="001907BD"/>
    <w:rsid w:val="001908F1"/>
    <w:rsid w:val="00190974"/>
    <w:rsid w:val="00190C9E"/>
    <w:rsid w:val="001913C4"/>
    <w:rsid w:val="001915BA"/>
    <w:rsid w:val="0019348F"/>
    <w:rsid w:val="00193A07"/>
    <w:rsid w:val="00193DB0"/>
    <w:rsid w:val="00194A10"/>
    <w:rsid w:val="00194C95"/>
    <w:rsid w:val="00194EEC"/>
    <w:rsid w:val="00194F9D"/>
    <w:rsid w:val="001950F6"/>
    <w:rsid w:val="00195316"/>
    <w:rsid w:val="001954E8"/>
    <w:rsid w:val="00195706"/>
    <w:rsid w:val="0019574D"/>
    <w:rsid w:val="00195ACD"/>
    <w:rsid w:val="00195C34"/>
    <w:rsid w:val="00195ED2"/>
    <w:rsid w:val="00196D38"/>
    <w:rsid w:val="00196EF5"/>
    <w:rsid w:val="00197099"/>
    <w:rsid w:val="001A0847"/>
    <w:rsid w:val="001A09C7"/>
    <w:rsid w:val="001A178F"/>
    <w:rsid w:val="001A1A53"/>
    <w:rsid w:val="001A1D04"/>
    <w:rsid w:val="001A1F5E"/>
    <w:rsid w:val="001A2128"/>
    <w:rsid w:val="001A234A"/>
    <w:rsid w:val="001A259B"/>
    <w:rsid w:val="001A2911"/>
    <w:rsid w:val="001A2A33"/>
    <w:rsid w:val="001A31C6"/>
    <w:rsid w:val="001A3E7F"/>
    <w:rsid w:val="001A4CF3"/>
    <w:rsid w:val="001A4D25"/>
    <w:rsid w:val="001A4D4A"/>
    <w:rsid w:val="001A68D4"/>
    <w:rsid w:val="001A6DF2"/>
    <w:rsid w:val="001B0154"/>
    <w:rsid w:val="001B06E8"/>
    <w:rsid w:val="001B09F6"/>
    <w:rsid w:val="001B0A73"/>
    <w:rsid w:val="001B1644"/>
    <w:rsid w:val="001B1AC0"/>
    <w:rsid w:val="001B1DBA"/>
    <w:rsid w:val="001B2435"/>
    <w:rsid w:val="001B2713"/>
    <w:rsid w:val="001B27C5"/>
    <w:rsid w:val="001B2A58"/>
    <w:rsid w:val="001B2F30"/>
    <w:rsid w:val="001B323C"/>
    <w:rsid w:val="001B33DF"/>
    <w:rsid w:val="001B37C6"/>
    <w:rsid w:val="001B5585"/>
    <w:rsid w:val="001B5A30"/>
    <w:rsid w:val="001B6484"/>
    <w:rsid w:val="001B6A22"/>
    <w:rsid w:val="001B71D0"/>
    <w:rsid w:val="001B71EE"/>
    <w:rsid w:val="001B7B9D"/>
    <w:rsid w:val="001C04A8"/>
    <w:rsid w:val="001C2C03"/>
    <w:rsid w:val="001C2C80"/>
    <w:rsid w:val="001C38B6"/>
    <w:rsid w:val="001C3CD2"/>
    <w:rsid w:val="001C42F7"/>
    <w:rsid w:val="001C49E5"/>
    <w:rsid w:val="001C4B11"/>
    <w:rsid w:val="001C50A6"/>
    <w:rsid w:val="001C5BC1"/>
    <w:rsid w:val="001C5EA7"/>
    <w:rsid w:val="001C67B3"/>
    <w:rsid w:val="001C680C"/>
    <w:rsid w:val="001C6BBC"/>
    <w:rsid w:val="001C6CC8"/>
    <w:rsid w:val="001C6F3C"/>
    <w:rsid w:val="001C7400"/>
    <w:rsid w:val="001C775A"/>
    <w:rsid w:val="001C7A35"/>
    <w:rsid w:val="001C7FEA"/>
    <w:rsid w:val="001D002F"/>
    <w:rsid w:val="001D026B"/>
    <w:rsid w:val="001D0403"/>
    <w:rsid w:val="001D0499"/>
    <w:rsid w:val="001D0AB8"/>
    <w:rsid w:val="001D0BBE"/>
    <w:rsid w:val="001D0E40"/>
    <w:rsid w:val="001D0EAA"/>
    <w:rsid w:val="001D0ED4"/>
    <w:rsid w:val="001D1D06"/>
    <w:rsid w:val="001D2095"/>
    <w:rsid w:val="001D212F"/>
    <w:rsid w:val="001D29D7"/>
    <w:rsid w:val="001D2B72"/>
    <w:rsid w:val="001D2D49"/>
    <w:rsid w:val="001D2DCB"/>
    <w:rsid w:val="001D2DE7"/>
    <w:rsid w:val="001D2EAF"/>
    <w:rsid w:val="001D339C"/>
    <w:rsid w:val="001D387D"/>
    <w:rsid w:val="001D411C"/>
    <w:rsid w:val="001D4148"/>
    <w:rsid w:val="001D46F2"/>
    <w:rsid w:val="001D52F0"/>
    <w:rsid w:val="001D54DD"/>
    <w:rsid w:val="001D5771"/>
    <w:rsid w:val="001D5FAB"/>
    <w:rsid w:val="001D6D84"/>
    <w:rsid w:val="001D6EE2"/>
    <w:rsid w:val="001D7026"/>
    <w:rsid w:val="001D7549"/>
    <w:rsid w:val="001D766F"/>
    <w:rsid w:val="001D77F0"/>
    <w:rsid w:val="001D77FD"/>
    <w:rsid w:val="001D7C58"/>
    <w:rsid w:val="001D7FD2"/>
    <w:rsid w:val="001E0310"/>
    <w:rsid w:val="001E0B76"/>
    <w:rsid w:val="001E1B6A"/>
    <w:rsid w:val="001E2229"/>
    <w:rsid w:val="001E23D1"/>
    <w:rsid w:val="001E2484"/>
    <w:rsid w:val="001E2707"/>
    <w:rsid w:val="001E2BB6"/>
    <w:rsid w:val="001E33BC"/>
    <w:rsid w:val="001E39DC"/>
    <w:rsid w:val="001E3B8F"/>
    <w:rsid w:val="001E3CC4"/>
    <w:rsid w:val="001E3F8F"/>
    <w:rsid w:val="001E40EB"/>
    <w:rsid w:val="001E411C"/>
    <w:rsid w:val="001E4243"/>
    <w:rsid w:val="001E431D"/>
    <w:rsid w:val="001E4882"/>
    <w:rsid w:val="001E6144"/>
    <w:rsid w:val="001E665E"/>
    <w:rsid w:val="001E698A"/>
    <w:rsid w:val="001E6E54"/>
    <w:rsid w:val="001E7074"/>
    <w:rsid w:val="001E73AB"/>
    <w:rsid w:val="001E76F9"/>
    <w:rsid w:val="001E7DD7"/>
    <w:rsid w:val="001F0101"/>
    <w:rsid w:val="001F0613"/>
    <w:rsid w:val="001F092D"/>
    <w:rsid w:val="001F0C03"/>
    <w:rsid w:val="001F0CD0"/>
    <w:rsid w:val="001F143A"/>
    <w:rsid w:val="001F1605"/>
    <w:rsid w:val="001F1B8C"/>
    <w:rsid w:val="001F2247"/>
    <w:rsid w:val="001F2508"/>
    <w:rsid w:val="001F3484"/>
    <w:rsid w:val="001F3D8A"/>
    <w:rsid w:val="001F3F9C"/>
    <w:rsid w:val="001F4016"/>
    <w:rsid w:val="001F4816"/>
    <w:rsid w:val="001F48EC"/>
    <w:rsid w:val="001F4CD6"/>
    <w:rsid w:val="001F4EE9"/>
    <w:rsid w:val="001F521A"/>
    <w:rsid w:val="001F56A5"/>
    <w:rsid w:val="001F69B4"/>
    <w:rsid w:val="001F6F6D"/>
    <w:rsid w:val="001F77C7"/>
    <w:rsid w:val="001F78CE"/>
    <w:rsid w:val="00200183"/>
    <w:rsid w:val="00200333"/>
    <w:rsid w:val="002008B3"/>
    <w:rsid w:val="00200BE2"/>
    <w:rsid w:val="0020105C"/>
    <w:rsid w:val="0020107D"/>
    <w:rsid w:val="00201534"/>
    <w:rsid w:val="00202007"/>
    <w:rsid w:val="002022CD"/>
    <w:rsid w:val="00202AA4"/>
    <w:rsid w:val="00202BED"/>
    <w:rsid w:val="00202DBD"/>
    <w:rsid w:val="002031F7"/>
    <w:rsid w:val="00203E52"/>
    <w:rsid w:val="002040E6"/>
    <w:rsid w:val="00204F4B"/>
    <w:rsid w:val="0020512B"/>
    <w:rsid w:val="0020527B"/>
    <w:rsid w:val="00205435"/>
    <w:rsid w:val="002054C7"/>
    <w:rsid w:val="00205CAB"/>
    <w:rsid w:val="00205F2C"/>
    <w:rsid w:val="00206577"/>
    <w:rsid w:val="00206A17"/>
    <w:rsid w:val="00207293"/>
    <w:rsid w:val="002108F3"/>
    <w:rsid w:val="00210B15"/>
    <w:rsid w:val="00211093"/>
    <w:rsid w:val="00211371"/>
    <w:rsid w:val="002113C2"/>
    <w:rsid w:val="002113D2"/>
    <w:rsid w:val="002115D4"/>
    <w:rsid w:val="00211AD7"/>
    <w:rsid w:val="00211D29"/>
    <w:rsid w:val="00212840"/>
    <w:rsid w:val="00212E75"/>
    <w:rsid w:val="00213D0F"/>
    <w:rsid w:val="002142AD"/>
    <w:rsid w:val="002142EA"/>
    <w:rsid w:val="00214EF9"/>
    <w:rsid w:val="00214FCF"/>
    <w:rsid w:val="0021528E"/>
    <w:rsid w:val="0021532F"/>
    <w:rsid w:val="002166D3"/>
    <w:rsid w:val="0021679B"/>
    <w:rsid w:val="00216D04"/>
    <w:rsid w:val="00216FD4"/>
    <w:rsid w:val="0021789F"/>
    <w:rsid w:val="00217A28"/>
    <w:rsid w:val="00217FC6"/>
    <w:rsid w:val="00220343"/>
    <w:rsid w:val="002204BB"/>
    <w:rsid w:val="002207A0"/>
    <w:rsid w:val="002207E3"/>
    <w:rsid w:val="00220861"/>
    <w:rsid w:val="00221578"/>
    <w:rsid w:val="002215A1"/>
    <w:rsid w:val="00221B79"/>
    <w:rsid w:val="00221C6B"/>
    <w:rsid w:val="00221DA8"/>
    <w:rsid w:val="002224A7"/>
    <w:rsid w:val="002229F0"/>
    <w:rsid w:val="002231C5"/>
    <w:rsid w:val="002233B1"/>
    <w:rsid w:val="0022379F"/>
    <w:rsid w:val="00223A8E"/>
    <w:rsid w:val="00223DE0"/>
    <w:rsid w:val="0022422F"/>
    <w:rsid w:val="002253A1"/>
    <w:rsid w:val="0022568B"/>
    <w:rsid w:val="00225CF8"/>
    <w:rsid w:val="0022624D"/>
    <w:rsid w:val="0022790B"/>
    <w:rsid w:val="0022794E"/>
    <w:rsid w:val="00227A94"/>
    <w:rsid w:val="00230066"/>
    <w:rsid w:val="00230B7A"/>
    <w:rsid w:val="00230CD5"/>
    <w:rsid w:val="00230ED5"/>
    <w:rsid w:val="002329E5"/>
    <w:rsid w:val="00232AD9"/>
    <w:rsid w:val="002333CE"/>
    <w:rsid w:val="00233C85"/>
    <w:rsid w:val="00233D64"/>
    <w:rsid w:val="0023440D"/>
    <w:rsid w:val="0023482A"/>
    <w:rsid w:val="00234ADE"/>
    <w:rsid w:val="002351DD"/>
    <w:rsid w:val="0023531D"/>
    <w:rsid w:val="00235515"/>
    <w:rsid w:val="002359CB"/>
    <w:rsid w:val="00236453"/>
    <w:rsid w:val="002364FF"/>
    <w:rsid w:val="00236580"/>
    <w:rsid w:val="00236BF9"/>
    <w:rsid w:val="00236C30"/>
    <w:rsid w:val="002374BE"/>
    <w:rsid w:val="00240493"/>
    <w:rsid w:val="0024065D"/>
    <w:rsid w:val="00240C6E"/>
    <w:rsid w:val="00240F33"/>
    <w:rsid w:val="00242832"/>
    <w:rsid w:val="00242E0E"/>
    <w:rsid w:val="0024302B"/>
    <w:rsid w:val="00243540"/>
    <w:rsid w:val="00243BA3"/>
    <w:rsid w:val="00243CDC"/>
    <w:rsid w:val="0024446E"/>
    <w:rsid w:val="0024497B"/>
    <w:rsid w:val="002449D9"/>
    <w:rsid w:val="00244B4B"/>
    <w:rsid w:val="00244F88"/>
    <w:rsid w:val="0024515B"/>
    <w:rsid w:val="00245A9A"/>
    <w:rsid w:val="00246021"/>
    <w:rsid w:val="0024626D"/>
    <w:rsid w:val="0024666E"/>
    <w:rsid w:val="00246EBA"/>
    <w:rsid w:val="002479AE"/>
    <w:rsid w:val="00247F52"/>
    <w:rsid w:val="0025051B"/>
    <w:rsid w:val="00250B25"/>
    <w:rsid w:val="00250B92"/>
    <w:rsid w:val="00250BBE"/>
    <w:rsid w:val="00250E7C"/>
    <w:rsid w:val="00251463"/>
    <w:rsid w:val="002515C2"/>
    <w:rsid w:val="0025178E"/>
    <w:rsid w:val="0025194F"/>
    <w:rsid w:val="00252029"/>
    <w:rsid w:val="00252713"/>
    <w:rsid w:val="00252BA5"/>
    <w:rsid w:val="002531CB"/>
    <w:rsid w:val="00253276"/>
    <w:rsid w:val="0025329E"/>
    <w:rsid w:val="00253D6F"/>
    <w:rsid w:val="002540D3"/>
    <w:rsid w:val="002547F1"/>
    <w:rsid w:val="002549F1"/>
    <w:rsid w:val="00254C59"/>
    <w:rsid w:val="002551A7"/>
    <w:rsid w:val="002557F6"/>
    <w:rsid w:val="002570B7"/>
    <w:rsid w:val="002577D2"/>
    <w:rsid w:val="00260C06"/>
    <w:rsid w:val="0026148A"/>
    <w:rsid w:val="00261692"/>
    <w:rsid w:val="00262696"/>
    <w:rsid w:val="002626A9"/>
    <w:rsid w:val="00262874"/>
    <w:rsid w:val="00262C51"/>
    <w:rsid w:val="00263314"/>
    <w:rsid w:val="00263503"/>
    <w:rsid w:val="00263D13"/>
    <w:rsid w:val="00263D25"/>
    <w:rsid w:val="002643C3"/>
    <w:rsid w:val="00264A0C"/>
    <w:rsid w:val="00264AB6"/>
    <w:rsid w:val="00264DE1"/>
    <w:rsid w:val="00265148"/>
    <w:rsid w:val="00265334"/>
    <w:rsid w:val="00265620"/>
    <w:rsid w:val="00265990"/>
    <w:rsid w:val="002662AB"/>
    <w:rsid w:val="00266334"/>
    <w:rsid w:val="00266526"/>
    <w:rsid w:val="00266590"/>
    <w:rsid w:val="00266EEB"/>
    <w:rsid w:val="00267EF4"/>
    <w:rsid w:val="00270749"/>
    <w:rsid w:val="00270CB8"/>
    <w:rsid w:val="00271C85"/>
    <w:rsid w:val="0027218E"/>
    <w:rsid w:val="00272812"/>
    <w:rsid w:val="00272927"/>
    <w:rsid w:val="00272B08"/>
    <w:rsid w:val="00272B55"/>
    <w:rsid w:val="00273809"/>
    <w:rsid w:val="00273AA0"/>
    <w:rsid w:val="00273B78"/>
    <w:rsid w:val="002741D1"/>
    <w:rsid w:val="002742CC"/>
    <w:rsid w:val="00274399"/>
    <w:rsid w:val="002745F8"/>
    <w:rsid w:val="0027490E"/>
    <w:rsid w:val="00274BF8"/>
    <w:rsid w:val="0027517E"/>
    <w:rsid w:val="00275606"/>
    <w:rsid w:val="00275D78"/>
    <w:rsid w:val="0027628C"/>
    <w:rsid w:val="00276364"/>
    <w:rsid w:val="00276640"/>
    <w:rsid w:val="00277D01"/>
    <w:rsid w:val="00277DA3"/>
    <w:rsid w:val="00277DCC"/>
    <w:rsid w:val="002801B7"/>
    <w:rsid w:val="00280429"/>
    <w:rsid w:val="00280833"/>
    <w:rsid w:val="00280911"/>
    <w:rsid w:val="00280F4D"/>
    <w:rsid w:val="00281390"/>
    <w:rsid w:val="0028160B"/>
    <w:rsid w:val="00281BB8"/>
    <w:rsid w:val="00281E9E"/>
    <w:rsid w:val="00282405"/>
    <w:rsid w:val="00282736"/>
    <w:rsid w:val="00282A96"/>
    <w:rsid w:val="00282E8C"/>
    <w:rsid w:val="002830F1"/>
    <w:rsid w:val="00283E67"/>
    <w:rsid w:val="00284463"/>
    <w:rsid w:val="00284695"/>
    <w:rsid w:val="0028480A"/>
    <w:rsid w:val="00284FEB"/>
    <w:rsid w:val="00285170"/>
    <w:rsid w:val="00285361"/>
    <w:rsid w:val="0028541B"/>
    <w:rsid w:val="0028598C"/>
    <w:rsid w:val="0028651B"/>
    <w:rsid w:val="00286C00"/>
    <w:rsid w:val="00286E23"/>
    <w:rsid w:val="00287CFA"/>
    <w:rsid w:val="0029073B"/>
    <w:rsid w:val="00290744"/>
    <w:rsid w:val="00290D13"/>
    <w:rsid w:val="00290F5A"/>
    <w:rsid w:val="002913C9"/>
    <w:rsid w:val="002915BD"/>
    <w:rsid w:val="00291B54"/>
    <w:rsid w:val="00291B55"/>
    <w:rsid w:val="0029217E"/>
    <w:rsid w:val="00292D60"/>
    <w:rsid w:val="00293041"/>
    <w:rsid w:val="00293387"/>
    <w:rsid w:val="00293B30"/>
    <w:rsid w:val="00293F7A"/>
    <w:rsid w:val="00294787"/>
    <w:rsid w:val="00294D34"/>
    <w:rsid w:val="00294E3B"/>
    <w:rsid w:val="0029502B"/>
    <w:rsid w:val="0029523E"/>
    <w:rsid w:val="00296193"/>
    <w:rsid w:val="00296765"/>
    <w:rsid w:val="002968F5"/>
    <w:rsid w:val="00296C66"/>
    <w:rsid w:val="00296C6B"/>
    <w:rsid w:val="00296DB7"/>
    <w:rsid w:val="00296EBE"/>
    <w:rsid w:val="002971FB"/>
    <w:rsid w:val="002974E3"/>
    <w:rsid w:val="00297E3B"/>
    <w:rsid w:val="002A03EC"/>
    <w:rsid w:val="002A0407"/>
    <w:rsid w:val="002A084B"/>
    <w:rsid w:val="002A0946"/>
    <w:rsid w:val="002A1087"/>
    <w:rsid w:val="002A1192"/>
    <w:rsid w:val="002A1260"/>
    <w:rsid w:val="002A1589"/>
    <w:rsid w:val="002A1608"/>
    <w:rsid w:val="002A16D4"/>
    <w:rsid w:val="002A25DC"/>
    <w:rsid w:val="002A2619"/>
    <w:rsid w:val="002A2686"/>
    <w:rsid w:val="002A2EB6"/>
    <w:rsid w:val="002A2F7B"/>
    <w:rsid w:val="002A339B"/>
    <w:rsid w:val="002A3AAB"/>
    <w:rsid w:val="002A3B80"/>
    <w:rsid w:val="002A411B"/>
    <w:rsid w:val="002A415D"/>
    <w:rsid w:val="002A44A1"/>
    <w:rsid w:val="002A44C1"/>
    <w:rsid w:val="002A4AFD"/>
    <w:rsid w:val="002A4CEA"/>
    <w:rsid w:val="002A501A"/>
    <w:rsid w:val="002A5226"/>
    <w:rsid w:val="002A5977"/>
    <w:rsid w:val="002A5A13"/>
    <w:rsid w:val="002A757F"/>
    <w:rsid w:val="002A7607"/>
    <w:rsid w:val="002A7F44"/>
    <w:rsid w:val="002B0C40"/>
    <w:rsid w:val="002B1414"/>
    <w:rsid w:val="002B1966"/>
    <w:rsid w:val="002B23A6"/>
    <w:rsid w:val="002B2C08"/>
    <w:rsid w:val="002B2E2A"/>
    <w:rsid w:val="002B4508"/>
    <w:rsid w:val="002B4996"/>
    <w:rsid w:val="002B4EB8"/>
    <w:rsid w:val="002B4EDC"/>
    <w:rsid w:val="002B4F50"/>
    <w:rsid w:val="002B5779"/>
    <w:rsid w:val="002B6331"/>
    <w:rsid w:val="002B7332"/>
    <w:rsid w:val="002B74FB"/>
    <w:rsid w:val="002B7F51"/>
    <w:rsid w:val="002C000F"/>
    <w:rsid w:val="002C09E7"/>
    <w:rsid w:val="002C0B1B"/>
    <w:rsid w:val="002C1E06"/>
    <w:rsid w:val="002C1E1C"/>
    <w:rsid w:val="002C272B"/>
    <w:rsid w:val="002C3EAA"/>
    <w:rsid w:val="002C3F07"/>
    <w:rsid w:val="002C3FC0"/>
    <w:rsid w:val="002C5278"/>
    <w:rsid w:val="002C60C7"/>
    <w:rsid w:val="002C6823"/>
    <w:rsid w:val="002C7A96"/>
    <w:rsid w:val="002C7EBB"/>
    <w:rsid w:val="002D040E"/>
    <w:rsid w:val="002D062A"/>
    <w:rsid w:val="002D06C1"/>
    <w:rsid w:val="002D129A"/>
    <w:rsid w:val="002D1758"/>
    <w:rsid w:val="002D282D"/>
    <w:rsid w:val="002D3598"/>
    <w:rsid w:val="002D38A1"/>
    <w:rsid w:val="002D3946"/>
    <w:rsid w:val="002D3DB2"/>
    <w:rsid w:val="002D3FC8"/>
    <w:rsid w:val="002D42B5"/>
    <w:rsid w:val="002D4F1A"/>
    <w:rsid w:val="002D61E9"/>
    <w:rsid w:val="002D6EC6"/>
    <w:rsid w:val="002D73DB"/>
    <w:rsid w:val="002D7811"/>
    <w:rsid w:val="002D79AC"/>
    <w:rsid w:val="002D79BA"/>
    <w:rsid w:val="002E010F"/>
    <w:rsid w:val="002E039D"/>
    <w:rsid w:val="002E1E39"/>
    <w:rsid w:val="002E28AC"/>
    <w:rsid w:val="002E31B8"/>
    <w:rsid w:val="002E33FA"/>
    <w:rsid w:val="002E35EF"/>
    <w:rsid w:val="002E3A46"/>
    <w:rsid w:val="002E3CCA"/>
    <w:rsid w:val="002E4D5A"/>
    <w:rsid w:val="002E5D29"/>
    <w:rsid w:val="002E6326"/>
    <w:rsid w:val="002E6678"/>
    <w:rsid w:val="002E6FF7"/>
    <w:rsid w:val="002E7211"/>
    <w:rsid w:val="002E772A"/>
    <w:rsid w:val="002E7CD2"/>
    <w:rsid w:val="002E7CED"/>
    <w:rsid w:val="002F010E"/>
    <w:rsid w:val="002F0305"/>
    <w:rsid w:val="002F0DDB"/>
    <w:rsid w:val="002F17E0"/>
    <w:rsid w:val="002F2004"/>
    <w:rsid w:val="002F2CBE"/>
    <w:rsid w:val="002F2CC7"/>
    <w:rsid w:val="002F2DC6"/>
    <w:rsid w:val="002F2E5C"/>
    <w:rsid w:val="002F30E0"/>
    <w:rsid w:val="002F3190"/>
    <w:rsid w:val="002F35E4"/>
    <w:rsid w:val="002F3730"/>
    <w:rsid w:val="002F380C"/>
    <w:rsid w:val="002F38E1"/>
    <w:rsid w:val="002F3ACC"/>
    <w:rsid w:val="002F495E"/>
    <w:rsid w:val="002F5181"/>
    <w:rsid w:val="002F5536"/>
    <w:rsid w:val="002F5BBE"/>
    <w:rsid w:val="002F5BD0"/>
    <w:rsid w:val="002F5F52"/>
    <w:rsid w:val="002F5FE1"/>
    <w:rsid w:val="002F61AD"/>
    <w:rsid w:val="002F6983"/>
    <w:rsid w:val="002F7AF6"/>
    <w:rsid w:val="002F7C1A"/>
    <w:rsid w:val="003004B1"/>
    <w:rsid w:val="003009CB"/>
    <w:rsid w:val="00300E63"/>
    <w:rsid w:val="003010F5"/>
    <w:rsid w:val="0030127C"/>
    <w:rsid w:val="0030166E"/>
    <w:rsid w:val="00301ACF"/>
    <w:rsid w:val="00302B74"/>
    <w:rsid w:val="00302F5F"/>
    <w:rsid w:val="00303485"/>
    <w:rsid w:val="003039AA"/>
    <w:rsid w:val="00303C5C"/>
    <w:rsid w:val="00304284"/>
    <w:rsid w:val="0030441D"/>
    <w:rsid w:val="003044A0"/>
    <w:rsid w:val="00305663"/>
    <w:rsid w:val="003056F7"/>
    <w:rsid w:val="0030583D"/>
    <w:rsid w:val="00305A19"/>
    <w:rsid w:val="00305D85"/>
    <w:rsid w:val="00306063"/>
    <w:rsid w:val="00306213"/>
    <w:rsid w:val="0030644F"/>
    <w:rsid w:val="00307215"/>
    <w:rsid w:val="00307742"/>
    <w:rsid w:val="00307C2F"/>
    <w:rsid w:val="0031142F"/>
    <w:rsid w:val="00311EE5"/>
    <w:rsid w:val="00312588"/>
    <w:rsid w:val="0031258B"/>
    <w:rsid w:val="0031353E"/>
    <w:rsid w:val="00313647"/>
    <w:rsid w:val="00313AF1"/>
    <w:rsid w:val="00313B85"/>
    <w:rsid w:val="00314606"/>
    <w:rsid w:val="0031466A"/>
    <w:rsid w:val="00314B9E"/>
    <w:rsid w:val="00315F26"/>
    <w:rsid w:val="00315FAD"/>
    <w:rsid w:val="00316B1D"/>
    <w:rsid w:val="00316F27"/>
    <w:rsid w:val="00317021"/>
    <w:rsid w:val="00317988"/>
    <w:rsid w:val="003201BF"/>
    <w:rsid w:val="00320B76"/>
    <w:rsid w:val="003210A9"/>
    <w:rsid w:val="00321288"/>
    <w:rsid w:val="00321503"/>
    <w:rsid w:val="0032163A"/>
    <w:rsid w:val="0032169B"/>
    <w:rsid w:val="00322027"/>
    <w:rsid w:val="003221B4"/>
    <w:rsid w:val="0032258D"/>
    <w:rsid w:val="00322E62"/>
    <w:rsid w:val="00323339"/>
    <w:rsid w:val="00323D64"/>
    <w:rsid w:val="00323E88"/>
    <w:rsid w:val="0032418C"/>
    <w:rsid w:val="00324D13"/>
    <w:rsid w:val="00324D2A"/>
    <w:rsid w:val="00324E8D"/>
    <w:rsid w:val="00324EDD"/>
    <w:rsid w:val="00326027"/>
    <w:rsid w:val="00327A12"/>
    <w:rsid w:val="00330B40"/>
    <w:rsid w:val="00330FC3"/>
    <w:rsid w:val="00331027"/>
    <w:rsid w:val="00331EBC"/>
    <w:rsid w:val="00332D3C"/>
    <w:rsid w:val="003331E4"/>
    <w:rsid w:val="0033340D"/>
    <w:rsid w:val="0033397E"/>
    <w:rsid w:val="00333E0E"/>
    <w:rsid w:val="00333E3D"/>
    <w:rsid w:val="003354A6"/>
    <w:rsid w:val="0033551C"/>
    <w:rsid w:val="00335A7B"/>
    <w:rsid w:val="003364E9"/>
    <w:rsid w:val="00336C64"/>
    <w:rsid w:val="00337162"/>
    <w:rsid w:val="00337947"/>
    <w:rsid w:val="0034076C"/>
    <w:rsid w:val="0034135A"/>
    <w:rsid w:val="0034194F"/>
    <w:rsid w:val="00341D24"/>
    <w:rsid w:val="00341D45"/>
    <w:rsid w:val="00342A8C"/>
    <w:rsid w:val="0034384D"/>
    <w:rsid w:val="00344374"/>
    <w:rsid w:val="00344605"/>
    <w:rsid w:val="003448D3"/>
    <w:rsid w:val="00345513"/>
    <w:rsid w:val="003455BF"/>
    <w:rsid w:val="00345996"/>
    <w:rsid w:val="00345B38"/>
    <w:rsid w:val="00345E30"/>
    <w:rsid w:val="00345EF5"/>
    <w:rsid w:val="003460B0"/>
    <w:rsid w:val="00346138"/>
    <w:rsid w:val="00346817"/>
    <w:rsid w:val="00346C3D"/>
    <w:rsid w:val="00346DEF"/>
    <w:rsid w:val="003472DE"/>
    <w:rsid w:val="003474AA"/>
    <w:rsid w:val="003501EC"/>
    <w:rsid w:val="0035057F"/>
    <w:rsid w:val="0035085A"/>
    <w:rsid w:val="0035086C"/>
    <w:rsid w:val="00350D1D"/>
    <w:rsid w:val="00351AB9"/>
    <w:rsid w:val="00352C83"/>
    <w:rsid w:val="00353811"/>
    <w:rsid w:val="003540E5"/>
    <w:rsid w:val="00354382"/>
    <w:rsid w:val="0035440D"/>
    <w:rsid w:val="00354493"/>
    <w:rsid w:val="00354ACC"/>
    <w:rsid w:val="00354D1D"/>
    <w:rsid w:val="00355A2A"/>
    <w:rsid w:val="003563A3"/>
    <w:rsid w:val="00356503"/>
    <w:rsid w:val="00356A39"/>
    <w:rsid w:val="003574BB"/>
    <w:rsid w:val="00357F41"/>
    <w:rsid w:val="00357F48"/>
    <w:rsid w:val="003604DE"/>
    <w:rsid w:val="00360E90"/>
    <w:rsid w:val="00360F36"/>
    <w:rsid w:val="00361212"/>
    <w:rsid w:val="003615D2"/>
    <w:rsid w:val="003618C6"/>
    <w:rsid w:val="00361A1F"/>
    <w:rsid w:val="00361B1B"/>
    <w:rsid w:val="003620B1"/>
    <w:rsid w:val="00362E6B"/>
    <w:rsid w:val="00363275"/>
    <w:rsid w:val="00363920"/>
    <w:rsid w:val="0036429C"/>
    <w:rsid w:val="00364A53"/>
    <w:rsid w:val="00364EC6"/>
    <w:rsid w:val="003654CB"/>
    <w:rsid w:val="00365610"/>
    <w:rsid w:val="0036561F"/>
    <w:rsid w:val="00365667"/>
    <w:rsid w:val="00365AA9"/>
    <w:rsid w:val="00365F86"/>
    <w:rsid w:val="00365F87"/>
    <w:rsid w:val="0036607E"/>
    <w:rsid w:val="003664C8"/>
    <w:rsid w:val="003669CB"/>
    <w:rsid w:val="00366E89"/>
    <w:rsid w:val="003676A5"/>
    <w:rsid w:val="00367DA8"/>
    <w:rsid w:val="003700E8"/>
    <w:rsid w:val="003705F4"/>
    <w:rsid w:val="00370D58"/>
    <w:rsid w:val="00371316"/>
    <w:rsid w:val="00371357"/>
    <w:rsid w:val="0037213B"/>
    <w:rsid w:val="00373B21"/>
    <w:rsid w:val="0037408F"/>
    <w:rsid w:val="00374104"/>
    <w:rsid w:val="0037451E"/>
    <w:rsid w:val="00374AAF"/>
    <w:rsid w:val="00375725"/>
    <w:rsid w:val="0037608B"/>
    <w:rsid w:val="00376713"/>
    <w:rsid w:val="00377158"/>
    <w:rsid w:val="003771EF"/>
    <w:rsid w:val="00377A7D"/>
    <w:rsid w:val="0038094F"/>
    <w:rsid w:val="00381815"/>
    <w:rsid w:val="003819AF"/>
    <w:rsid w:val="00381C24"/>
    <w:rsid w:val="003820E9"/>
    <w:rsid w:val="0038280B"/>
    <w:rsid w:val="00382BDD"/>
    <w:rsid w:val="00382DE7"/>
    <w:rsid w:val="00383381"/>
    <w:rsid w:val="003834D6"/>
    <w:rsid w:val="00384BBF"/>
    <w:rsid w:val="00384C22"/>
    <w:rsid w:val="00384FFC"/>
    <w:rsid w:val="00385813"/>
    <w:rsid w:val="00386C8B"/>
    <w:rsid w:val="003872B7"/>
    <w:rsid w:val="003872E6"/>
    <w:rsid w:val="003872FC"/>
    <w:rsid w:val="00387627"/>
    <w:rsid w:val="00387ADC"/>
    <w:rsid w:val="00390020"/>
    <w:rsid w:val="003903D6"/>
    <w:rsid w:val="00390568"/>
    <w:rsid w:val="0039060D"/>
    <w:rsid w:val="00390751"/>
    <w:rsid w:val="00390877"/>
    <w:rsid w:val="00390A62"/>
    <w:rsid w:val="00390EE6"/>
    <w:rsid w:val="00391008"/>
    <w:rsid w:val="0039118F"/>
    <w:rsid w:val="003912D3"/>
    <w:rsid w:val="00391612"/>
    <w:rsid w:val="00391C66"/>
    <w:rsid w:val="00391D5D"/>
    <w:rsid w:val="00392453"/>
    <w:rsid w:val="0039252E"/>
    <w:rsid w:val="00392AD7"/>
    <w:rsid w:val="00392D83"/>
    <w:rsid w:val="00393728"/>
    <w:rsid w:val="003938D9"/>
    <w:rsid w:val="00393C2F"/>
    <w:rsid w:val="00393CFF"/>
    <w:rsid w:val="0039409E"/>
    <w:rsid w:val="00394376"/>
    <w:rsid w:val="003943FF"/>
    <w:rsid w:val="003955DB"/>
    <w:rsid w:val="00395700"/>
    <w:rsid w:val="003967A8"/>
    <w:rsid w:val="00396CC6"/>
    <w:rsid w:val="00396E43"/>
    <w:rsid w:val="00397353"/>
    <w:rsid w:val="003974EB"/>
    <w:rsid w:val="00397CC5"/>
    <w:rsid w:val="003A0522"/>
    <w:rsid w:val="003A0B2F"/>
    <w:rsid w:val="003A13E9"/>
    <w:rsid w:val="003A1582"/>
    <w:rsid w:val="003A162D"/>
    <w:rsid w:val="003A20ED"/>
    <w:rsid w:val="003A214D"/>
    <w:rsid w:val="003A22B6"/>
    <w:rsid w:val="003A2692"/>
    <w:rsid w:val="003A2B5A"/>
    <w:rsid w:val="003A3633"/>
    <w:rsid w:val="003A4077"/>
    <w:rsid w:val="003A4969"/>
    <w:rsid w:val="003A4B98"/>
    <w:rsid w:val="003A4F32"/>
    <w:rsid w:val="003A50FE"/>
    <w:rsid w:val="003A5516"/>
    <w:rsid w:val="003A59AE"/>
    <w:rsid w:val="003A6894"/>
    <w:rsid w:val="003A69C6"/>
    <w:rsid w:val="003A6C67"/>
    <w:rsid w:val="003A6F4A"/>
    <w:rsid w:val="003A74B8"/>
    <w:rsid w:val="003A7822"/>
    <w:rsid w:val="003A7951"/>
    <w:rsid w:val="003B011E"/>
    <w:rsid w:val="003B0148"/>
    <w:rsid w:val="003B0203"/>
    <w:rsid w:val="003B059B"/>
    <w:rsid w:val="003B06B5"/>
    <w:rsid w:val="003B091D"/>
    <w:rsid w:val="003B09AD"/>
    <w:rsid w:val="003B0A4D"/>
    <w:rsid w:val="003B0C4F"/>
    <w:rsid w:val="003B1C9C"/>
    <w:rsid w:val="003B1E6E"/>
    <w:rsid w:val="003B1F18"/>
    <w:rsid w:val="003B1F21"/>
    <w:rsid w:val="003B2C63"/>
    <w:rsid w:val="003B2DD5"/>
    <w:rsid w:val="003B389A"/>
    <w:rsid w:val="003B43E2"/>
    <w:rsid w:val="003B4814"/>
    <w:rsid w:val="003B5931"/>
    <w:rsid w:val="003B5955"/>
    <w:rsid w:val="003B5A41"/>
    <w:rsid w:val="003B5BBA"/>
    <w:rsid w:val="003B5BF0"/>
    <w:rsid w:val="003B5E2B"/>
    <w:rsid w:val="003B5FB4"/>
    <w:rsid w:val="003B5FC7"/>
    <w:rsid w:val="003B608C"/>
    <w:rsid w:val="003B60BF"/>
    <w:rsid w:val="003B69B0"/>
    <w:rsid w:val="003B6BE3"/>
    <w:rsid w:val="003B6E89"/>
    <w:rsid w:val="003B77C5"/>
    <w:rsid w:val="003B7A89"/>
    <w:rsid w:val="003C010C"/>
    <w:rsid w:val="003C02D2"/>
    <w:rsid w:val="003C091F"/>
    <w:rsid w:val="003C0A6C"/>
    <w:rsid w:val="003C0B41"/>
    <w:rsid w:val="003C132D"/>
    <w:rsid w:val="003C14F8"/>
    <w:rsid w:val="003C2338"/>
    <w:rsid w:val="003C3837"/>
    <w:rsid w:val="003C3AA6"/>
    <w:rsid w:val="003C3F4E"/>
    <w:rsid w:val="003C40DD"/>
    <w:rsid w:val="003C41E4"/>
    <w:rsid w:val="003C48B7"/>
    <w:rsid w:val="003C5A43"/>
    <w:rsid w:val="003C6179"/>
    <w:rsid w:val="003C6194"/>
    <w:rsid w:val="003C687D"/>
    <w:rsid w:val="003C68D4"/>
    <w:rsid w:val="003C6989"/>
    <w:rsid w:val="003C6A4B"/>
    <w:rsid w:val="003C6E3D"/>
    <w:rsid w:val="003C7414"/>
    <w:rsid w:val="003C79AD"/>
    <w:rsid w:val="003D03FB"/>
    <w:rsid w:val="003D0519"/>
    <w:rsid w:val="003D08C8"/>
    <w:rsid w:val="003D0C35"/>
    <w:rsid w:val="003D0FF6"/>
    <w:rsid w:val="003D1A80"/>
    <w:rsid w:val="003D262C"/>
    <w:rsid w:val="003D2965"/>
    <w:rsid w:val="003D296B"/>
    <w:rsid w:val="003D2ECD"/>
    <w:rsid w:val="003D3131"/>
    <w:rsid w:val="003D3212"/>
    <w:rsid w:val="003D33D7"/>
    <w:rsid w:val="003D3C5A"/>
    <w:rsid w:val="003D3C89"/>
    <w:rsid w:val="003D404B"/>
    <w:rsid w:val="003D404F"/>
    <w:rsid w:val="003D4B29"/>
    <w:rsid w:val="003D55CD"/>
    <w:rsid w:val="003D5B26"/>
    <w:rsid w:val="003D609B"/>
    <w:rsid w:val="003D6631"/>
    <w:rsid w:val="003D697E"/>
    <w:rsid w:val="003D6B6B"/>
    <w:rsid w:val="003D6D61"/>
    <w:rsid w:val="003D745A"/>
    <w:rsid w:val="003D77A9"/>
    <w:rsid w:val="003D7840"/>
    <w:rsid w:val="003E091D"/>
    <w:rsid w:val="003E131D"/>
    <w:rsid w:val="003E187E"/>
    <w:rsid w:val="003E1903"/>
    <w:rsid w:val="003E1C53"/>
    <w:rsid w:val="003E23DE"/>
    <w:rsid w:val="003E2702"/>
    <w:rsid w:val="003E29A3"/>
    <w:rsid w:val="003E2A69"/>
    <w:rsid w:val="003E2D46"/>
    <w:rsid w:val="003E2D49"/>
    <w:rsid w:val="003E2FD4"/>
    <w:rsid w:val="003E31F3"/>
    <w:rsid w:val="003E35DB"/>
    <w:rsid w:val="003E49F6"/>
    <w:rsid w:val="003E4F31"/>
    <w:rsid w:val="003E4F42"/>
    <w:rsid w:val="003E6478"/>
    <w:rsid w:val="003E660F"/>
    <w:rsid w:val="003E6624"/>
    <w:rsid w:val="003E6823"/>
    <w:rsid w:val="003E6B49"/>
    <w:rsid w:val="003E6FAF"/>
    <w:rsid w:val="003E70F9"/>
    <w:rsid w:val="003E77B4"/>
    <w:rsid w:val="003F0201"/>
    <w:rsid w:val="003F063E"/>
    <w:rsid w:val="003F0841"/>
    <w:rsid w:val="003F0BDE"/>
    <w:rsid w:val="003F0F2A"/>
    <w:rsid w:val="003F1002"/>
    <w:rsid w:val="003F103A"/>
    <w:rsid w:val="003F17A6"/>
    <w:rsid w:val="003F1CD7"/>
    <w:rsid w:val="003F23BC"/>
    <w:rsid w:val="003F23D3"/>
    <w:rsid w:val="003F241D"/>
    <w:rsid w:val="003F2527"/>
    <w:rsid w:val="003F28BD"/>
    <w:rsid w:val="003F2A5B"/>
    <w:rsid w:val="003F2C65"/>
    <w:rsid w:val="003F328B"/>
    <w:rsid w:val="003F3A8D"/>
    <w:rsid w:val="003F3F08"/>
    <w:rsid w:val="003F4408"/>
    <w:rsid w:val="003F4894"/>
    <w:rsid w:val="003F49F1"/>
    <w:rsid w:val="003F4F6D"/>
    <w:rsid w:val="003F5126"/>
    <w:rsid w:val="003F5301"/>
    <w:rsid w:val="003F5B6F"/>
    <w:rsid w:val="003F6272"/>
    <w:rsid w:val="003F62BB"/>
    <w:rsid w:val="003F6D32"/>
    <w:rsid w:val="003F71F8"/>
    <w:rsid w:val="003F7D09"/>
    <w:rsid w:val="003F7D83"/>
    <w:rsid w:val="0040082A"/>
    <w:rsid w:val="00400E72"/>
    <w:rsid w:val="00401400"/>
    <w:rsid w:val="004015C9"/>
    <w:rsid w:val="00401ED3"/>
    <w:rsid w:val="0040205A"/>
    <w:rsid w:val="00402091"/>
    <w:rsid w:val="00402D56"/>
    <w:rsid w:val="00402F2B"/>
    <w:rsid w:val="004033D7"/>
    <w:rsid w:val="00403B1D"/>
    <w:rsid w:val="00404420"/>
    <w:rsid w:val="00404869"/>
    <w:rsid w:val="00405334"/>
    <w:rsid w:val="00405884"/>
    <w:rsid w:val="00405D06"/>
    <w:rsid w:val="0040702E"/>
    <w:rsid w:val="0040762D"/>
    <w:rsid w:val="00407A84"/>
    <w:rsid w:val="00407D35"/>
    <w:rsid w:val="00407D39"/>
    <w:rsid w:val="0041099C"/>
    <w:rsid w:val="00411732"/>
    <w:rsid w:val="00411A35"/>
    <w:rsid w:val="00412AD2"/>
    <w:rsid w:val="00412CC5"/>
    <w:rsid w:val="00412E30"/>
    <w:rsid w:val="00414304"/>
    <w:rsid w:val="0041477A"/>
    <w:rsid w:val="00414D39"/>
    <w:rsid w:val="0041649E"/>
    <w:rsid w:val="004167A3"/>
    <w:rsid w:val="00416E14"/>
    <w:rsid w:val="00417249"/>
    <w:rsid w:val="004176BF"/>
    <w:rsid w:val="004178A0"/>
    <w:rsid w:val="00417958"/>
    <w:rsid w:val="0041799A"/>
    <w:rsid w:val="00420511"/>
    <w:rsid w:val="00420603"/>
    <w:rsid w:val="00420833"/>
    <w:rsid w:val="00420CC4"/>
    <w:rsid w:val="0042175A"/>
    <w:rsid w:val="004218F1"/>
    <w:rsid w:val="00421A2E"/>
    <w:rsid w:val="00422277"/>
    <w:rsid w:val="00422284"/>
    <w:rsid w:val="00422ECE"/>
    <w:rsid w:val="004233F1"/>
    <w:rsid w:val="00423581"/>
    <w:rsid w:val="00423C21"/>
    <w:rsid w:val="00423EA9"/>
    <w:rsid w:val="0042438E"/>
    <w:rsid w:val="004249AE"/>
    <w:rsid w:val="00424C00"/>
    <w:rsid w:val="004252F3"/>
    <w:rsid w:val="00425386"/>
    <w:rsid w:val="00425A09"/>
    <w:rsid w:val="00425B27"/>
    <w:rsid w:val="00426F7F"/>
    <w:rsid w:val="00427843"/>
    <w:rsid w:val="00427A31"/>
    <w:rsid w:val="00427E12"/>
    <w:rsid w:val="004300D4"/>
    <w:rsid w:val="00430A96"/>
    <w:rsid w:val="00431231"/>
    <w:rsid w:val="004319C7"/>
    <w:rsid w:val="00431BC2"/>
    <w:rsid w:val="00432452"/>
    <w:rsid w:val="00432DAA"/>
    <w:rsid w:val="00432FC8"/>
    <w:rsid w:val="00433840"/>
    <w:rsid w:val="0043393D"/>
    <w:rsid w:val="00433C1C"/>
    <w:rsid w:val="00434305"/>
    <w:rsid w:val="00434F93"/>
    <w:rsid w:val="00435764"/>
    <w:rsid w:val="00435820"/>
    <w:rsid w:val="00435DF7"/>
    <w:rsid w:val="00436CC6"/>
    <w:rsid w:val="004377ED"/>
    <w:rsid w:val="004400DF"/>
    <w:rsid w:val="0044083F"/>
    <w:rsid w:val="00440C5B"/>
    <w:rsid w:val="00440D3B"/>
    <w:rsid w:val="00440D47"/>
    <w:rsid w:val="00440E51"/>
    <w:rsid w:val="00440F09"/>
    <w:rsid w:val="004413C7"/>
    <w:rsid w:val="004418B3"/>
    <w:rsid w:val="004419F7"/>
    <w:rsid w:val="00441AE7"/>
    <w:rsid w:val="00441CD9"/>
    <w:rsid w:val="00441E1C"/>
    <w:rsid w:val="0044218B"/>
    <w:rsid w:val="0044244D"/>
    <w:rsid w:val="00443017"/>
    <w:rsid w:val="00443088"/>
    <w:rsid w:val="004430E8"/>
    <w:rsid w:val="0044316F"/>
    <w:rsid w:val="00443833"/>
    <w:rsid w:val="00443973"/>
    <w:rsid w:val="00444133"/>
    <w:rsid w:val="00444F56"/>
    <w:rsid w:val="00445033"/>
    <w:rsid w:val="0044509B"/>
    <w:rsid w:val="004453BD"/>
    <w:rsid w:val="0044548D"/>
    <w:rsid w:val="00445574"/>
    <w:rsid w:val="00445D03"/>
    <w:rsid w:val="00445F1F"/>
    <w:rsid w:val="0044614E"/>
    <w:rsid w:val="004464B5"/>
    <w:rsid w:val="00446649"/>
    <w:rsid w:val="004467FB"/>
    <w:rsid w:val="00446DC5"/>
    <w:rsid w:val="00446F36"/>
    <w:rsid w:val="00447F88"/>
    <w:rsid w:val="00450544"/>
    <w:rsid w:val="004508D7"/>
    <w:rsid w:val="00450A68"/>
    <w:rsid w:val="00452BCB"/>
    <w:rsid w:val="00452D6B"/>
    <w:rsid w:val="00453CAA"/>
    <w:rsid w:val="00453CCF"/>
    <w:rsid w:val="00453F11"/>
    <w:rsid w:val="00454484"/>
    <w:rsid w:val="00454983"/>
    <w:rsid w:val="0045517B"/>
    <w:rsid w:val="004553AF"/>
    <w:rsid w:val="00455540"/>
    <w:rsid w:val="0045576F"/>
    <w:rsid w:val="00455B2E"/>
    <w:rsid w:val="00455CB4"/>
    <w:rsid w:val="00456839"/>
    <w:rsid w:val="0045716C"/>
    <w:rsid w:val="004572DF"/>
    <w:rsid w:val="004576B1"/>
    <w:rsid w:val="004577D6"/>
    <w:rsid w:val="00457AE3"/>
    <w:rsid w:val="00457EA8"/>
    <w:rsid w:val="004606D7"/>
    <w:rsid w:val="00460BD3"/>
    <w:rsid w:val="00460FAE"/>
    <w:rsid w:val="0046166D"/>
    <w:rsid w:val="0046214D"/>
    <w:rsid w:val="00462966"/>
    <w:rsid w:val="00462B9E"/>
    <w:rsid w:val="00462CFB"/>
    <w:rsid w:val="00463093"/>
    <w:rsid w:val="00463231"/>
    <w:rsid w:val="004637BC"/>
    <w:rsid w:val="00463B77"/>
    <w:rsid w:val="00463C7B"/>
    <w:rsid w:val="004644A6"/>
    <w:rsid w:val="00464F50"/>
    <w:rsid w:val="00465011"/>
    <w:rsid w:val="004654BE"/>
    <w:rsid w:val="00465739"/>
    <w:rsid w:val="004659BD"/>
    <w:rsid w:val="0046614D"/>
    <w:rsid w:val="0046633F"/>
    <w:rsid w:val="00466DAD"/>
    <w:rsid w:val="004675F3"/>
    <w:rsid w:val="00467AE8"/>
    <w:rsid w:val="00470294"/>
    <w:rsid w:val="00470775"/>
    <w:rsid w:val="00471D06"/>
    <w:rsid w:val="00471F16"/>
    <w:rsid w:val="00472296"/>
    <w:rsid w:val="004728BE"/>
    <w:rsid w:val="004731CD"/>
    <w:rsid w:val="0047333D"/>
    <w:rsid w:val="004734E9"/>
    <w:rsid w:val="0047371D"/>
    <w:rsid w:val="004746B1"/>
    <w:rsid w:val="004749A5"/>
    <w:rsid w:val="0047549A"/>
    <w:rsid w:val="004754B0"/>
    <w:rsid w:val="0047556B"/>
    <w:rsid w:val="004755A5"/>
    <w:rsid w:val="004755EA"/>
    <w:rsid w:val="0047583F"/>
    <w:rsid w:val="00475AD5"/>
    <w:rsid w:val="00475AF2"/>
    <w:rsid w:val="00475D34"/>
    <w:rsid w:val="00475DE8"/>
    <w:rsid w:val="00476224"/>
    <w:rsid w:val="004765B1"/>
    <w:rsid w:val="00476D9D"/>
    <w:rsid w:val="00476E54"/>
    <w:rsid w:val="00476EB0"/>
    <w:rsid w:val="00477E32"/>
    <w:rsid w:val="00477FA4"/>
    <w:rsid w:val="004805F6"/>
    <w:rsid w:val="004817EF"/>
    <w:rsid w:val="00481811"/>
    <w:rsid w:val="00481BAA"/>
    <w:rsid w:val="00481C44"/>
    <w:rsid w:val="004822CA"/>
    <w:rsid w:val="004823C8"/>
    <w:rsid w:val="00482472"/>
    <w:rsid w:val="00482998"/>
    <w:rsid w:val="00482BD5"/>
    <w:rsid w:val="0048333F"/>
    <w:rsid w:val="0048455A"/>
    <w:rsid w:val="00484936"/>
    <w:rsid w:val="00484F17"/>
    <w:rsid w:val="0048516F"/>
    <w:rsid w:val="00485C89"/>
    <w:rsid w:val="00485D46"/>
    <w:rsid w:val="004868F7"/>
    <w:rsid w:val="00486BE3"/>
    <w:rsid w:val="0048753A"/>
    <w:rsid w:val="00487DE1"/>
    <w:rsid w:val="00490460"/>
    <w:rsid w:val="004905E4"/>
    <w:rsid w:val="00490A89"/>
    <w:rsid w:val="00490AB4"/>
    <w:rsid w:val="00491ABE"/>
    <w:rsid w:val="004929B5"/>
    <w:rsid w:val="00492F02"/>
    <w:rsid w:val="00492F24"/>
    <w:rsid w:val="004933A0"/>
    <w:rsid w:val="004939AE"/>
    <w:rsid w:val="00493EBF"/>
    <w:rsid w:val="004941AF"/>
    <w:rsid w:val="00494211"/>
    <w:rsid w:val="004943F7"/>
    <w:rsid w:val="004945C1"/>
    <w:rsid w:val="0049472B"/>
    <w:rsid w:val="004948D1"/>
    <w:rsid w:val="004950B4"/>
    <w:rsid w:val="004954F8"/>
    <w:rsid w:val="00495ABB"/>
    <w:rsid w:val="00495E00"/>
    <w:rsid w:val="00495ED3"/>
    <w:rsid w:val="00495F78"/>
    <w:rsid w:val="00496110"/>
    <w:rsid w:val="00496BF4"/>
    <w:rsid w:val="00496FBF"/>
    <w:rsid w:val="0049767D"/>
    <w:rsid w:val="00497711"/>
    <w:rsid w:val="00497D7E"/>
    <w:rsid w:val="004A0198"/>
    <w:rsid w:val="004A09B1"/>
    <w:rsid w:val="004A114F"/>
    <w:rsid w:val="004A12DF"/>
    <w:rsid w:val="004A149C"/>
    <w:rsid w:val="004A17E6"/>
    <w:rsid w:val="004A1BA8"/>
    <w:rsid w:val="004A1BEF"/>
    <w:rsid w:val="004A29D0"/>
    <w:rsid w:val="004A2BD2"/>
    <w:rsid w:val="004A445A"/>
    <w:rsid w:val="004A4A79"/>
    <w:rsid w:val="004A4B57"/>
    <w:rsid w:val="004A5277"/>
    <w:rsid w:val="004A55A7"/>
    <w:rsid w:val="004A5AEA"/>
    <w:rsid w:val="004A5C5B"/>
    <w:rsid w:val="004A5DF9"/>
    <w:rsid w:val="004A5FE2"/>
    <w:rsid w:val="004A63FA"/>
    <w:rsid w:val="004A6AE1"/>
    <w:rsid w:val="004A6E32"/>
    <w:rsid w:val="004A718C"/>
    <w:rsid w:val="004A7316"/>
    <w:rsid w:val="004A7E58"/>
    <w:rsid w:val="004B0177"/>
    <w:rsid w:val="004B0272"/>
    <w:rsid w:val="004B07C0"/>
    <w:rsid w:val="004B0F1D"/>
    <w:rsid w:val="004B236C"/>
    <w:rsid w:val="004B2701"/>
    <w:rsid w:val="004B2E1B"/>
    <w:rsid w:val="004B342F"/>
    <w:rsid w:val="004B3AA8"/>
    <w:rsid w:val="004B3E89"/>
    <w:rsid w:val="004B3E93"/>
    <w:rsid w:val="004B44F2"/>
    <w:rsid w:val="004B5AE5"/>
    <w:rsid w:val="004B60D8"/>
    <w:rsid w:val="004B6807"/>
    <w:rsid w:val="004B74B7"/>
    <w:rsid w:val="004B7C39"/>
    <w:rsid w:val="004C01D3"/>
    <w:rsid w:val="004C0B34"/>
    <w:rsid w:val="004C12BD"/>
    <w:rsid w:val="004C1353"/>
    <w:rsid w:val="004C1CB1"/>
    <w:rsid w:val="004C1FBC"/>
    <w:rsid w:val="004C2BB5"/>
    <w:rsid w:val="004C3CE9"/>
    <w:rsid w:val="004C3F1D"/>
    <w:rsid w:val="004C458D"/>
    <w:rsid w:val="004C4974"/>
    <w:rsid w:val="004C4BFB"/>
    <w:rsid w:val="004C52FE"/>
    <w:rsid w:val="004C59AC"/>
    <w:rsid w:val="004C5A87"/>
    <w:rsid w:val="004C63D0"/>
    <w:rsid w:val="004C6B30"/>
    <w:rsid w:val="004C6BC4"/>
    <w:rsid w:val="004C70E7"/>
    <w:rsid w:val="004C73FE"/>
    <w:rsid w:val="004C7556"/>
    <w:rsid w:val="004C77D2"/>
    <w:rsid w:val="004C7BEE"/>
    <w:rsid w:val="004C7E8B"/>
    <w:rsid w:val="004C7E9D"/>
    <w:rsid w:val="004C7F67"/>
    <w:rsid w:val="004D05B1"/>
    <w:rsid w:val="004D076D"/>
    <w:rsid w:val="004D0870"/>
    <w:rsid w:val="004D0EF1"/>
    <w:rsid w:val="004D1458"/>
    <w:rsid w:val="004D154B"/>
    <w:rsid w:val="004D1F6A"/>
    <w:rsid w:val="004D2253"/>
    <w:rsid w:val="004D29AC"/>
    <w:rsid w:val="004D2AD9"/>
    <w:rsid w:val="004D2C52"/>
    <w:rsid w:val="004D3056"/>
    <w:rsid w:val="004D347D"/>
    <w:rsid w:val="004D3D68"/>
    <w:rsid w:val="004D4406"/>
    <w:rsid w:val="004D4635"/>
    <w:rsid w:val="004D55A2"/>
    <w:rsid w:val="004D55B3"/>
    <w:rsid w:val="004D5EE2"/>
    <w:rsid w:val="004D6A6D"/>
    <w:rsid w:val="004D70B1"/>
    <w:rsid w:val="004D7C42"/>
    <w:rsid w:val="004E0465"/>
    <w:rsid w:val="004E0CD1"/>
    <w:rsid w:val="004E1150"/>
    <w:rsid w:val="004E125D"/>
    <w:rsid w:val="004E127B"/>
    <w:rsid w:val="004E135A"/>
    <w:rsid w:val="004E1764"/>
    <w:rsid w:val="004E1C0A"/>
    <w:rsid w:val="004E1C25"/>
    <w:rsid w:val="004E1F14"/>
    <w:rsid w:val="004E21B1"/>
    <w:rsid w:val="004E222E"/>
    <w:rsid w:val="004E235F"/>
    <w:rsid w:val="004E26A0"/>
    <w:rsid w:val="004E2B06"/>
    <w:rsid w:val="004E2C11"/>
    <w:rsid w:val="004E308A"/>
    <w:rsid w:val="004E30C5"/>
    <w:rsid w:val="004E3112"/>
    <w:rsid w:val="004E32E1"/>
    <w:rsid w:val="004E3391"/>
    <w:rsid w:val="004E3407"/>
    <w:rsid w:val="004E3848"/>
    <w:rsid w:val="004E3959"/>
    <w:rsid w:val="004E3CAE"/>
    <w:rsid w:val="004E42DF"/>
    <w:rsid w:val="004E4AA5"/>
    <w:rsid w:val="004E4AEE"/>
    <w:rsid w:val="004E4DD8"/>
    <w:rsid w:val="004E5698"/>
    <w:rsid w:val="004E59E3"/>
    <w:rsid w:val="004E5F3C"/>
    <w:rsid w:val="004E60A9"/>
    <w:rsid w:val="004E67C0"/>
    <w:rsid w:val="004E704E"/>
    <w:rsid w:val="004E7254"/>
    <w:rsid w:val="004E7655"/>
    <w:rsid w:val="004E7C4D"/>
    <w:rsid w:val="004E7EB7"/>
    <w:rsid w:val="004F1498"/>
    <w:rsid w:val="004F15A2"/>
    <w:rsid w:val="004F15C6"/>
    <w:rsid w:val="004F1605"/>
    <w:rsid w:val="004F2129"/>
    <w:rsid w:val="004F26EF"/>
    <w:rsid w:val="004F2A68"/>
    <w:rsid w:val="004F3391"/>
    <w:rsid w:val="004F36AC"/>
    <w:rsid w:val="004F391A"/>
    <w:rsid w:val="004F3BEB"/>
    <w:rsid w:val="004F3CFB"/>
    <w:rsid w:val="004F407E"/>
    <w:rsid w:val="004F455B"/>
    <w:rsid w:val="004F499D"/>
    <w:rsid w:val="004F4EA8"/>
    <w:rsid w:val="004F56FB"/>
    <w:rsid w:val="004F5CC0"/>
    <w:rsid w:val="004F5D06"/>
    <w:rsid w:val="004F6456"/>
    <w:rsid w:val="004F658B"/>
    <w:rsid w:val="004F65AE"/>
    <w:rsid w:val="004F696E"/>
    <w:rsid w:val="004F6C71"/>
    <w:rsid w:val="004F7156"/>
    <w:rsid w:val="004F71D5"/>
    <w:rsid w:val="004F76EB"/>
    <w:rsid w:val="004F7AEB"/>
    <w:rsid w:val="00500399"/>
    <w:rsid w:val="0050065A"/>
    <w:rsid w:val="005006CF"/>
    <w:rsid w:val="005009A5"/>
    <w:rsid w:val="00500A74"/>
    <w:rsid w:val="00500D72"/>
    <w:rsid w:val="00500DD7"/>
    <w:rsid w:val="005010C6"/>
    <w:rsid w:val="00501139"/>
    <w:rsid w:val="00501919"/>
    <w:rsid w:val="005024C2"/>
    <w:rsid w:val="005031CE"/>
    <w:rsid w:val="0050334D"/>
    <w:rsid w:val="0050363E"/>
    <w:rsid w:val="005039BC"/>
    <w:rsid w:val="00503B05"/>
    <w:rsid w:val="00503D70"/>
    <w:rsid w:val="005040BE"/>
    <w:rsid w:val="005043BB"/>
    <w:rsid w:val="00504A3D"/>
    <w:rsid w:val="00504BFE"/>
    <w:rsid w:val="00504C3D"/>
    <w:rsid w:val="00504C4E"/>
    <w:rsid w:val="00504F7C"/>
    <w:rsid w:val="00505767"/>
    <w:rsid w:val="00505B5E"/>
    <w:rsid w:val="005073F0"/>
    <w:rsid w:val="0050768F"/>
    <w:rsid w:val="00510A7B"/>
    <w:rsid w:val="00511102"/>
    <w:rsid w:val="00511379"/>
    <w:rsid w:val="00511B28"/>
    <w:rsid w:val="00511C14"/>
    <w:rsid w:val="00511D96"/>
    <w:rsid w:val="00511DEC"/>
    <w:rsid w:val="00512C57"/>
    <w:rsid w:val="00512F6E"/>
    <w:rsid w:val="00513038"/>
    <w:rsid w:val="00513501"/>
    <w:rsid w:val="00513B1D"/>
    <w:rsid w:val="00514174"/>
    <w:rsid w:val="00514A74"/>
    <w:rsid w:val="00514C9D"/>
    <w:rsid w:val="00514D1D"/>
    <w:rsid w:val="005150D4"/>
    <w:rsid w:val="00515CCC"/>
    <w:rsid w:val="00515D42"/>
    <w:rsid w:val="00516088"/>
    <w:rsid w:val="005162D9"/>
    <w:rsid w:val="00516B0B"/>
    <w:rsid w:val="00520ABB"/>
    <w:rsid w:val="00520C63"/>
    <w:rsid w:val="0052185A"/>
    <w:rsid w:val="005220EC"/>
    <w:rsid w:val="00522163"/>
    <w:rsid w:val="00522476"/>
    <w:rsid w:val="0052326E"/>
    <w:rsid w:val="00523A9B"/>
    <w:rsid w:val="00523EEF"/>
    <w:rsid w:val="00523F95"/>
    <w:rsid w:val="00524863"/>
    <w:rsid w:val="00524AD5"/>
    <w:rsid w:val="00524D65"/>
    <w:rsid w:val="00525584"/>
    <w:rsid w:val="00525B16"/>
    <w:rsid w:val="00525E17"/>
    <w:rsid w:val="005260C8"/>
    <w:rsid w:val="005268E9"/>
    <w:rsid w:val="00526C68"/>
    <w:rsid w:val="005273D6"/>
    <w:rsid w:val="00527BFE"/>
    <w:rsid w:val="00527E0D"/>
    <w:rsid w:val="0053042A"/>
    <w:rsid w:val="00530970"/>
    <w:rsid w:val="00530C31"/>
    <w:rsid w:val="005324FF"/>
    <w:rsid w:val="005326FB"/>
    <w:rsid w:val="005327B8"/>
    <w:rsid w:val="00532AEB"/>
    <w:rsid w:val="00532E43"/>
    <w:rsid w:val="00532F59"/>
    <w:rsid w:val="005331F8"/>
    <w:rsid w:val="0053335A"/>
    <w:rsid w:val="00533D04"/>
    <w:rsid w:val="00534649"/>
    <w:rsid w:val="00534804"/>
    <w:rsid w:val="00534BDF"/>
    <w:rsid w:val="005354EA"/>
    <w:rsid w:val="005355E5"/>
    <w:rsid w:val="0053585F"/>
    <w:rsid w:val="00535E2B"/>
    <w:rsid w:val="00535EC4"/>
    <w:rsid w:val="00535ED9"/>
    <w:rsid w:val="005363AE"/>
    <w:rsid w:val="005368A3"/>
    <w:rsid w:val="0053692B"/>
    <w:rsid w:val="00536A25"/>
    <w:rsid w:val="00536AC1"/>
    <w:rsid w:val="00536BAB"/>
    <w:rsid w:val="00537121"/>
    <w:rsid w:val="0053715F"/>
    <w:rsid w:val="00537DB2"/>
    <w:rsid w:val="00540688"/>
    <w:rsid w:val="0054076B"/>
    <w:rsid w:val="00540C46"/>
    <w:rsid w:val="00541853"/>
    <w:rsid w:val="00541A92"/>
    <w:rsid w:val="005421A9"/>
    <w:rsid w:val="00542372"/>
    <w:rsid w:val="005423D9"/>
    <w:rsid w:val="005427DF"/>
    <w:rsid w:val="00542BDF"/>
    <w:rsid w:val="00542EDE"/>
    <w:rsid w:val="005434F7"/>
    <w:rsid w:val="00543906"/>
    <w:rsid w:val="00543A1C"/>
    <w:rsid w:val="00543B3B"/>
    <w:rsid w:val="00543BDA"/>
    <w:rsid w:val="005441CC"/>
    <w:rsid w:val="005448D6"/>
    <w:rsid w:val="00545E9D"/>
    <w:rsid w:val="00546DEC"/>
    <w:rsid w:val="00547059"/>
    <w:rsid w:val="0054718D"/>
    <w:rsid w:val="005474CA"/>
    <w:rsid w:val="005475B3"/>
    <w:rsid w:val="005479DA"/>
    <w:rsid w:val="00547BCC"/>
    <w:rsid w:val="00547E6E"/>
    <w:rsid w:val="0055013B"/>
    <w:rsid w:val="0055014D"/>
    <w:rsid w:val="00550466"/>
    <w:rsid w:val="0055178E"/>
    <w:rsid w:val="00551F6F"/>
    <w:rsid w:val="00552075"/>
    <w:rsid w:val="005521B8"/>
    <w:rsid w:val="00552625"/>
    <w:rsid w:val="0055263C"/>
    <w:rsid w:val="005527A4"/>
    <w:rsid w:val="0055334D"/>
    <w:rsid w:val="005533DB"/>
    <w:rsid w:val="005533E6"/>
    <w:rsid w:val="00553596"/>
    <w:rsid w:val="00553DC5"/>
    <w:rsid w:val="00554C98"/>
    <w:rsid w:val="00555044"/>
    <w:rsid w:val="00555293"/>
    <w:rsid w:val="0055561C"/>
    <w:rsid w:val="005556B7"/>
    <w:rsid w:val="00555A32"/>
    <w:rsid w:val="00555A8A"/>
    <w:rsid w:val="00555CB4"/>
    <w:rsid w:val="005562CC"/>
    <w:rsid w:val="0055641C"/>
    <w:rsid w:val="0055696C"/>
    <w:rsid w:val="00556AF5"/>
    <w:rsid w:val="0055756B"/>
    <w:rsid w:val="0056038A"/>
    <w:rsid w:val="00560A5D"/>
    <w:rsid w:val="00561238"/>
    <w:rsid w:val="00561475"/>
    <w:rsid w:val="00561CA4"/>
    <w:rsid w:val="0056235B"/>
    <w:rsid w:val="005623A0"/>
    <w:rsid w:val="00562832"/>
    <w:rsid w:val="00562BFC"/>
    <w:rsid w:val="005638C6"/>
    <w:rsid w:val="00563AC7"/>
    <w:rsid w:val="00563F52"/>
    <w:rsid w:val="0056487B"/>
    <w:rsid w:val="00564C2F"/>
    <w:rsid w:val="00564FB9"/>
    <w:rsid w:val="005651EF"/>
    <w:rsid w:val="00565368"/>
    <w:rsid w:val="00566320"/>
    <w:rsid w:val="00566382"/>
    <w:rsid w:val="00566E2B"/>
    <w:rsid w:val="00567B1B"/>
    <w:rsid w:val="00567B75"/>
    <w:rsid w:val="00567FD0"/>
    <w:rsid w:val="00570568"/>
    <w:rsid w:val="005712DE"/>
    <w:rsid w:val="00571CF9"/>
    <w:rsid w:val="00571F89"/>
    <w:rsid w:val="005725E3"/>
    <w:rsid w:val="005728B5"/>
    <w:rsid w:val="00572A2D"/>
    <w:rsid w:val="00572BCF"/>
    <w:rsid w:val="00572C4E"/>
    <w:rsid w:val="00572E7A"/>
    <w:rsid w:val="00573AF3"/>
    <w:rsid w:val="00573D9E"/>
    <w:rsid w:val="0057464F"/>
    <w:rsid w:val="00574C3F"/>
    <w:rsid w:val="00575D25"/>
    <w:rsid w:val="00576540"/>
    <w:rsid w:val="005769BA"/>
    <w:rsid w:val="00576E60"/>
    <w:rsid w:val="005774E2"/>
    <w:rsid w:val="005801E3"/>
    <w:rsid w:val="005801E9"/>
    <w:rsid w:val="00580F7B"/>
    <w:rsid w:val="00581572"/>
    <w:rsid w:val="00581802"/>
    <w:rsid w:val="00581BE7"/>
    <w:rsid w:val="00581F48"/>
    <w:rsid w:val="00581F9A"/>
    <w:rsid w:val="005826F6"/>
    <w:rsid w:val="00582895"/>
    <w:rsid w:val="005836A8"/>
    <w:rsid w:val="005839DE"/>
    <w:rsid w:val="00583EB0"/>
    <w:rsid w:val="00584009"/>
    <w:rsid w:val="0058409C"/>
    <w:rsid w:val="005840BC"/>
    <w:rsid w:val="00584262"/>
    <w:rsid w:val="0058477C"/>
    <w:rsid w:val="0058536B"/>
    <w:rsid w:val="00585531"/>
    <w:rsid w:val="005858EC"/>
    <w:rsid w:val="00586630"/>
    <w:rsid w:val="0058689C"/>
    <w:rsid w:val="00586E15"/>
    <w:rsid w:val="0058787F"/>
    <w:rsid w:val="00587ADD"/>
    <w:rsid w:val="005905F2"/>
    <w:rsid w:val="00590B3D"/>
    <w:rsid w:val="00590F5D"/>
    <w:rsid w:val="00591E27"/>
    <w:rsid w:val="00593969"/>
    <w:rsid w:val="00593D77"/>
    <w:rsid w:val="00593FB3"/>
    <w:rsid w:val="00594008"/>
    <w:rsid w:val="00594178"/>
    <w:rsid w:val="0059422A"/>
    <w:rsid w:val="0059452B"/>
    <w:rsid w:val="0059494A"/>
    <w:rsid w:val="00594FD8"/>
    <w:rsid w:val="005954BA"/>
    <w:rsid w:val="00596085"/>
    <w:rsid w:val="00596160"/>
    <w:rsid w:val="005966E2"/>
    <w:rsid w:val="005966ED"/>
    <w:rsid w:val="00596B85"/>
    <w:rsid w:val="00596E4D"/>
    <w:rsid w:val="00597007"/>
    <w:rsid w:val="005972A2"/>
    <w:rsid w:val="00597528"/>
    <w:rsid w:val="00597567"/>
    <w:rsid w:val="00597A45"/>
    <w:rsid w:val="00597D61"/>
    <w:rsid w:val="00597E5C"/>
    <w:rsid w:val="005A0792"/>
    <w:rsid w:val="005A07E2"/>
    <w:rsid w:val="005A085D"/>
    <w:rsid w:val="005A0966"/>
    <w:rsid w:val="005A0F86"/>
    <w:rsid w:val="005A11B7"/>
    <w:rsid w:val="005A1E60"/>
    <w:rsid w:val="005A260B"/>
    <w:rsid w:val="005A3236"/>
    <w:rsid w:val="005A4A1B"/>
    <w:rsid w:val="005A4F1F"/>
    <w:rsid w:val="005A4F30"/>
    <w:rsid w:val="005A5357"/>
    <w:rsid w:val="005A5822"/>
    <w:rsid w:val="005A5DCD"/>
    <w:rsid w:val="005A5DDC"/>
    <w:rsid w:val="005A6535"/>
    <w:rsid w:val="005A68B7"/>
    <w:rsid w:val="005A7830"/>
    <w:rsid w:val="005A7FCE"/>
    <w:rsid w:val="005B076F"/>
    <w:rsid w:val="005B0F3F"/>
    <w:rsid w:val="005B1A63"/>
    <w:rsid w:val="005B2ECB"/>
    <w:rsid w:val="005B36A1"/>
    <w:rsid w:val="005B381D"/>
    <w:rsid w:val="005B45B5"/>
    <w:rsid w:val="005B4903"/>
    <w:rsid w:val="005B49A8"/>
    <w:rsid w:val="005B4C57"/>
    <w:rsid w:val="005B515C"/>
    <w:rsid w:val="005B51CE"/>
    <w:rsid w:val="005B538D"/>
    <w:rsid w:val="005B5885"/>
    <w:rsid w:val="005B5CD7"/>
    <w:rsid w:val="005B6784"/>
    <w:rsid w:val="005B6CBE"/>
    <w:rsid w:val="005B6CF6"/>
    <w:rsid w:val="005B701D"/>
    <w:rsid w:val="005B73F7"/>
    <w:rsid w:val="005B7422"/>
    <w:rsid w:val="005B7705"/>
    <w:rsid w:val="005C0935"/>
    <w:rsid w:val="005C11B4"/>
    <w:rsid w:val="005C189F"/>
    <w:rsid w:val="005C1ADE"/>
    <w:rsid w:val="005C1B22"/>
    <w:rsid w:val="005C28E0"/>
    <w:rsid w:val="005C29B8"/>
    <w:rsid w:val="005C37D9"/>
    <w:rsid w:val="005C3B52"/>
    <w:rsid w:val="005C3D56"/>
    <w:rsid w:val="005C41CA"/>
    <w:rsid w:val="005C44E1"/>
    <w:rsid w:val="005C46B7"/>
    <w:rsid w:val="005C4FEA"/>
    <w:rsid w:val="005C5B08"/>
    <w:rsid w:val="005C5F21"/>
    <w:rsid w:val="005C60A3"/>
    <w:rsid w:val="005C6596"/>
    <w:rsid w:val="005C6EF6"/>
    <w:rsid w:val="005C7156"/>
    <w:rsid w:val="005C775E"/>
    <w:rsid w:val="005D0476"/>
    <w:rsid w:val="005D06A8"/>
    <w:rsid w:val="005D0C75"/>
    <w:rsid w:val="005D0F41"/>
    <w:rsid w:val="005D22B2"/>
    <w:rsid w:val="005D232D"/>
    <w:rsid w:val="005D298C"/>
    <w:rsid w:val="005D3122"/>
    <w:rsid w:val="005D3167"/>
    <w:rsid w:val="005D3492"/>
    <w:rsid w:val="005D350E"/>
    <w:rsid w:val="005D354D"/>
    <w:rsid w:val="005D38EF"/>
    <w:rsid w:val="005D3C0E"/>
    <w:rsid w:val="005D4171"/>
    <w:rsid w:val="005D45A9"/>
    <w:rsid w:val="005D4C06"/>
    <w:rsid w:val="005D55AE"/>
    <w:rsid w:val="005D5CD8"/>
    <w:rsid w:val="005D6A5B"/>
    <w:rsid w:val="005D6A95"/>
    <w:rsid w:val="005D6B2C"/>
    <w:rsid w:val="005D6B71"/>
    <w:rsid w:val="005D6D9C"/>
    <w:rsid w:val="005D6E6B"/>
    <w:rsid w:val="005D6F73"/>
    <w:rsid w:val="005D73E4"/>
    <w:rsid w:val="005D74B2"/>
    <w:rsid w:val="005D74CF"/>
    <w:rsid w:val="005E0E8D"/>
    <w:rsid w:val="005E1360"/>
    <w:rsid w:val="005E1814"/>
    <w:rsid w:val="005E19B6"/>
    <w:rsid w:val="005E1B5C"/>
    <w:rsid w:val="005E1C8E"/>
    <w:rsid w:val="005E2172"/>
    <w:rsid w:val="005E2335"/>
    <w:rsid w:val="005E2A46"/>
    <w:rsid w:val="005E34CA"/>
    <w:rsid w:val="005E34E9"/>
    <w:rsid w:val="005E39DB"/>
    <w:rsid w:val="005E3A28"/>
    <w:rsid w:val="005E3C18"/>
    <w:rsid w:val="005E418F"/>
    <w:rsid w:val="005E4590"/>
    <w:rsid w:val="005E4A88"/>
    <w:rsid w:val="005E61E4"/>
    <w:rsid w:val="005E6332"/>
    <w:rsid w:val="005E64A1"/>
    <w:rsid w:val="005E6812"/>
    <w:rsid w:val="005E76A1"/>
    <w:rsid w:val="005E7881"/>
    <w:rsid w:val="005E78E0"/>
    <w:rsid w:val="005E7D00"/>
    <w:rsid w:val="005F0094"/>
    <w:rsid w:val="005F03E3"/>
    <w:rsid w:val="005F0877"/>
    <w:rsid w:val="005F0D9C"/>
    <w:rsid w:val="005F16E1"/>
    <w:rsid w:val="005F1C48"/>
    <w:rsid w:val="005F2504"/>
    <w:rsid w:val="005F2847"/>
    <w:rsid w:val="005F284E"/>
    <w:rsid w:val="005F295E"/>
    <w:rsid w:val="005F3D68"/>
    <w:rsid w:val="005F4299"/>
    <w:rsid w:val="005F432F"/>
    <w:rsid w:val="005F4712"/>
    <w:rsid w:val="005F4A39"/>
    <w:rsid w:val="005F65B7"/>
    <w:rsid w:val="005F65D8"/>
    <w:rsid w:val="005F6A7E"/>
    <w:rsid w:val="005F6AD8"/>
    <w:rsid w:val="005F6E75"/>
    <w:rsid w:val="005F727D"/>
    <w:rsid w:val="005F7BAD"/>
    <w:rsid w:val="005F7D67"/>
    <w:rsid w:val="00600491"/>
    <w:rsid w:val="00600D4D"/>
    <w:rsid w:val="00600DF2"/>
    <w:rsid w:val="00600FB2"/>
    <w:rsid w:val="00600FC7"/>
    <w:rsid w:val="006010DA"/>
    <w:rsid w:val="006015CE"/>
    <w:rsid w:val="00601747"/>
    <w:rsid w:val="006026D3"/>
    <w:rsid w:val="006026F7"/>
    <w:rsid w:val="00602899"/>
    <w:rsid w:val="006039AC"/>
    <w:rsid w:val="006040DF"/>
    <w:rsid w:val="006044A0"/>
    <w:rsid w:val="0060465A"/>
    <w:rsid w:val="00604764"/>
    <w:rsid w:val="00604784"/>
    <w:rsid w:val="006047F3"/>
    <w:rsid w:val="006049C7"/>
    <w:rsid w:val="00604AEF"/>
    <w:rsid w:val="00604D9F"/>
    <w:rsid w:val="00604EE6"/>
    <w:rsid w:val="00604FF9"/>
    <w:rsid w:val="0060538E"/>
    <w:rsid w:val="00605A0B"/>
    <w:rsid w:val="00605B87"/>
    <w:rsid w:val="006061AD"/>
    <w:rsid w:val="00606419"/>
    <w:rsid w:val="00606834"/>
    <w:rsid w:val="00607067"/>
    <w:rsid w:val="006074F0"/>
    <w:rsid w:val="006076C7"/>
    <w:rsid w:val="00607B76"/>
    <w:rsid w:val="00607CF6"/>
    <w:rsid w:val="00607D29"/>
    <w:rsid w:val="00607FE9"/>
    <w:rsid w:val="00610289"/>
    <w:rsid w:val="00610430"/>
    <w:rsid w:val="00610960"/>
    <w:rsid w:val="006111FD"/>
    <w:rsid w:val="00611260"/>
    <w:rsid w:val="006113A6"/>
    <w:rsid w:val="006114E0"/>
    <w:rsid w:val="006122F1"/>
    <w:rsid w:val="0061281F"/>
    <w:rsid w:val="00612952"/>
    <w:rsid w:val="00612F95"/>
    <w:rsid w:val="00613148"/>
    <w:rsid w:val="006134E1"/>
    <w:rsid w:val="006137BB"/>
    <w:rsid w:val="00613971"/>
    <w:rsid w:val="00613CBA"/>
    <w:rsid w:val="00614121"/>
    <w:rsid w:val="0061424B"/>
    <w:rsid w:val="00614846"/>
    <w:rsid w:val="00614A34"/>
    <w:rsid w:val="00614CC1"/>
    <w:rsid w:val="00615A9D"/>
    <w:rsid w:val="00615D1C"/>
    <w:rsid w:val="00615DE8"/>
    <w:rsid w:val="00616110"/>
    <w:rsid w:val="006162D1"/>
    <w:rsid w:val="00616357"/>
    <w:rsid w:val="00616E92"/>
    <w:rsid w:val="00617377"/>
    <w:rsid w:val="00617387"/>
    <w:rsid w:val="00617831"/>
    <w:rsid w:val="00617C87"/>
    <w:rsid w:val="00620007"/>
    <w:rsid w:val="006205D6"/>
    <w:rsid w:val="006208A9"/>
    <w:rsid w:val="006209E9"/>
    <w:rsid w:val="006210DB"/>
    <w:rsid w:val="00621A21"/>
    <w:rsid w:val="00621A87"/>
    <w:rsid w:val="00621BF3"/>
    <w:rsid w:val="00622313"/>
    <w:rsid w:val="00622345"/>
    <w:rsid w:val="0062300A"/>
    <w:rsid w:val="00623531"/>
    <w:rsid w:val="006235F7"/>
    <w:rsid w:val="00623FAA"/>
    <w:rsid w:val="006243DA"/>
    <w:rsid w:val="00624576"/>
    <w:rsid w:val="006248B2"/>
    <w:rsid w:val="006249B7"/>
    <w:rsid w:val="00624BA2"/>
    <w:rsid w:val="00624D2F"/>
    <w:rsid w:val="00624FFD"/>
    <w:rsid w:val="006252D8"/>
    <w:rsid w:val="00625832"/>
    <w:rsid w:val="006259BC"/>
    <w:rsid w:val="00625A72"/>
    <w:rsid w:val="00625DA4"/>
    <w:rsid w:val="00625DA6"/>
    <w:rsid w:val="00625E53"/>
    <w:rsid w:val="0062636B"/>
    <w:rsid w:val="006300F0"/>
    <w:rsid w:val="0063054D"/>
    <w:rsid w:val="0063102D"/>
    <w:rsid w:val="006311F9"/>
    <w:rsid w:val="006314CE"/>
    <w:rsid w:val="00631933"/>
    <w:rsid w:val="00631B5C"/>
    <w:rsid w:val="00631C89"/>
    <w:rsid w:val="00631D01"/>
    <w:rsid w:val="00632182"/>
    <w:rsid w:val="006322EA"/>
    <w:rsid w:val="006326FF"/>
    <w:rsid w:val="00632AE0"/>
    <w:rsid w:val="006330A6"/>
    <w:rsid w:val="0063366F"/>
    <w:rsid w:val="0063392D"/>
    <w:rsid w:val="00633C17"/>
    <w:rsid w:val="00634D9E"/>
    <w:rsid w:val="0063545B"/>
    <w:rsid w:val="00635772"/>
    <w:rsid w:val="00636BC6"/>
    <w:rsid w:val="00636D1F"/>
    <w:rsid w:val="00636E3E"/>
    <w:rsid w:val="006379F7"/>
    <w:rsid w:val="00637C49"/>
    <w:rsid w:val="00637C79"/>
    <w:rsid w:val="00637E19"/>
    <w:rsid w:val="00637E4D"/>
    <w:rsid w:val="00637E86"/>
    <w:rsid w:val="006400FC"/>
    <w:rsid w:val="0064020C"/>
    <w:rsid w:val="0064061E"/>
    <w:rsid w:val="00640620"/>
    <w:rsid w:val="006406AB"/>
    <w:rsid w:val="00640748"/>
    <w:rsid w:val="006407A6"/>
    <w:rsid w:val="00640CF8"/>
    <w:rsid w:val="00640E21"/>
    <w:rsid w:val="00641208"/>
    <w:rsid w:val="0064153A"/>
    <w:rsid w:val="00641A1F"/>
    <w:rsid w:val="00641BB5"/>
    <w:rsid w:val="00642006"/>
    <w:rsid w:val="0064232F"/>
    <w:rsid w:val="00642CB7"/>
    <w:rsid w:val="00642D00"/>
    <w:rsid w:val="00643535"/>
    <w:rsid w:val="006440D9"/>
    <w:rsid w:val="00644554"/>
    <w:rsid w:val="0064478C"/>
    <w:rsid w:val="00644D2E"/>
    <w:rsid w:val="00644ECA"/>
    <w:rsid w:val="0064506C"/>
    <w:rsid w:val="00645904"/>
    <w:rsid w:val="00645D97"/>
    <w:rsid w:val="00646732"/>
    <w:rsid w:val="00646A59"/>
    <w:rsid w:val="00647093"/>
    <w:rsid w:val="00647AC3"/>
    <w:rsid w:val="00647C87"/>
    <w:rsid w:val="00650337"/>
    <w:rsid w:val="00651ACB"/>
    <w:rsid w:val="00651AE5"/>
    <w:rsid w:val="00651C47"/>
    <w:rsid w:val="00651DB4"/>
    <w:rsid w:val="00652AB2"/>
    <w:rsid w:val="00653161"/>
    <w:rsid w:val="006533A0"/>
    <w:rsid w:val="00653498"/>
    <w:rsid w:val="006535CB"/>
    <w:rsid w:val="00653E3D"/>
    <w:rsid w:val="00653FED"/>
    <w:rsid w:val="00654061"/>
    <w:rsid w:val="00654307"/>
    <w:rsid w:val="00654EC0"/>
    <w:rsid w:val="00655162"/>
    <w:rsid w:val="0065525B"/>
    <w:rsid w:val="00655D4F"/>
    <w:rsid w:val="00656A5C"/>
    <w:rsid w:val="00656D29"/>
    <w:rsid w:val="0065781E"/>
    <w:rsid w:val="00657CE7"/>
    <w:rsid w:val="006600BC"/>
    <w:rsid w:val="00660319"/>
    <w:rsid w:val="00660CC7"/>
    <w:rsid w:val="0066127E"/>
    <w:rsid w:val="0066185D"/>
    <w:rsid w:val="00661C51"/>
    <w:rsid w:val="0066220E"/>
    <w:rsid w:val="0066366C"/>
    <w:rsid w:val="00663D62"/>
    <w:rsid w:val="00663E49"/>
    <w:rsid w:val="006640E5"/>
    <w:rsid w:val="006646F1"/>
    <w:rsid w:val="0066476B"/>
    <w:rsid w:val="00664929"/>
    <w:rsid w:val="00664F62"/>
    <w:rsid w:val="00665002"/>
    <w:rsid w:val="00665044"/>
    <w:rsid w:val="006655E1"/>
    <w:rsid w:val="006656DE"/>
    <w:rsid w:val="00665F89"/>
    <w:rsid w:val="006664B7"/>
    <w:rsid w:val="006664C9"/>
    <w:rsid w:val="00666C51"/>
    <w:rsid w:val="00667203"/>
    <w:rsid w:val="00667CEC"/>
    <w:rsid w:val="00667D64"/>
    <w:rsid w:val="00670352"/>
    <w:rsid w:val="00670735"/>
    <w:rsid w:val="00670E7A"/>
    <w:rsid w:val="00670EAB"/>
    <w:rsid w:val="0067110A"/>
    <w:rsid w:val="00671886"/>
    <w:rsid w:val="00671B41"/>
    <w:rsid w:val="00671E6A"/>
    <w:rsid w:val="00671E7C"/>
    <w:rsid w:val="00672060"/>
    <w:rsid w:val="006724D2"/>
    <w:rsid w:val="00672B4E"/>
    <w:rsid w:val="00672BFD"/>
    <w:rsid w:val="00673192"/>
    <w:rsid w:val="0067391E"/>
    <w:rsid w:val="00673F77"/>
    <w:rsid w:val="006740DD"/>
    <w:rsid w:val="00675226"/>
    <w:rsid w:val="00675401"/>
    <w:rsid w:val="006758A6"/>
    <w:rsid w:val="00675A58"/>
    <w:rsid w:val="00675AFF"/>
    <w:rsid w:val="00675E56"/>
    <w:rsid w:val="00675E86"/>
    <w:rsid w:val="00676383"/>
    <w:rsid w:val="006766D9"/>
    <w:rsid w:val="006768D2"/>
    <w:rsid w:val="006769D9"/>
    <w:rsid w:val="00677079"/>
    <w:rsid w:val="006770F4"/>
    <w:rsid w:val="0067779B"/>
    <w:rsid w:val="006779FB"/>
    <w:rsid w:val="00677A84"/>
    <w:rsid w:val="00677BA1"/>
    <w:rsid w:val="00677C61"/>
    <w:rsid w:val="00680223"/>
    <w:rsid w:val="0068026D"/>
    <w:rsid w:val="006802FF"/>
    <w:rsid w:val="0068057B"/>
    <w:rsid w:val="00680A27"/>
    <w:rsid w:val="00680E7F"/>
    <w:rsid w:val="00680FA7"/>
    <w:rsid w:val="006816A4"/>
    <w:rsid w:val="006819B8"/>
    <w:rsid w:val="00681E95"/>
    <w:rsid w:val="006824C4"/>
    <w:rsid w:val="00682A35"/>
    <w:rsid w:val="00682E82"/>
    <w:rsid w:val="006833B6"/>
    <w:rsid w:val="00683E58"/>
    <w:rsid w:val="00683FF8"/>
    <w:rsid w:val="006840A6"/>
    <w:rsid w:val="00684433"/>
    <w:rsid w:val="006847DB"/>
    <w:rsid w:val="006847ED"/>
    <w:rsid w:val="00684804"/>
    <w:rsid w:val="00684909"/>
    <w:rsid w:val="00684ACE"/>
    <w:rsid w:val="00684C03"/>
    <w:rsid w:val="006850CD"/>
    <w:rsid w:val="0068528C"/>
    <w:rsid w:val="0068542A"/>
    <w:rsid w:val="006854AA"/>
    <w:rsid w:val="0068561C"/>
    <w:rsid w:val="00685AAB"/>
    <w:rsid w:val="00685EE3"/>
    <w:rsid w:val="00686289"/>
    <w:rsid w:val="0068664C"/>
    <w:rsid w:val="00686BFE"/>
    <w:rsid w:val="00686C8E"/>
    <w:rsid w:val="00686D57"/>
    <w:rsid w:val="006872B4"/>
    <w:rsid w:val="00687702"/>
    <w:rsid w:val="00687E54"/>
    <w:rsid w:val="0069099D"/>
    <w:rsid w:val="00691818"/>
    <w:rsid w:val="00691B27"/>
    <w:rsid w:val="00691CA0"/>
    <w:rsid w:val="00691DDC"/>
    <w:rsid w:val="006921B9"/>
    <w:rsid w:val="006923B7"/>
    <w:rsid w:val="00692F1A"/>
    <w:rsid w:val="00693342"/>
    <w:rsid w:val="0069383F"/>
    <w:rsid w:val="00693BB2"/>
    <w:rsid w:val="00694500"/>
    <w:rsid w:val="00694C36"/>
    <w:rsid w:val="00694F92"/>
    <w:rsid w:val="00694FCA"/>
    <w:rsid w:val="00695D22"/>
    <w:rsid w:val="00695DB6"/>
    <w:rsid w:val="00696314"/>
    <w:rsid w:val="006970F1"/>
    <w:rsid w:val="00697E1B"/>
    <w:rsid w:val="006A00ED"/>
    <w:rsid w:val="006A07AA"/>
    <w:rsid w:val="006A08FB"/>
    <w:rsid w:val="006A0F47"/>
    <w:rsid w:val="006A1001"/>
    <w:rsid w:val="006A1938"/>
    <w:rsid w:val="006A1F8C"/>
    <w:rsid w:val="006A25E5"/>
    <w:rsid w:val="006A2B46"/>
    <w:rsid w:val="006A3297"/>
    <w:rsid w:val="006A336D"/>
    <w:rsid w:val="006A37B9"/>
    <w:rsid w:val="006A411C"/>
    <w:rsid w:val="006A4428"/>
    <w:rsid w:val="006A4488"/>
    <w:rsid w:val="006A5EE5"/>
    <w:rsid w:val="006A74EE"/>
    <w:rsid w:val="006A7809"/>
    <w:rsid w:val="006B004A"/>
    <w:rsid w:val="006B0651"/>
    <w:rsid w:val="006B1F99"/>
    <w:rsid w:val="006B231E"/>
    <w:rsid w:val="006B2672"/>
    <w:rsid w:val="006B26C5"/>
    <w:rsid w:val="006B3062"/>
    <w:rsid w:val="006B32ED"/>
    <w:rsid w:val="006B3598"/>
    <w:rsid w:val="006B3B17"/>
    <w:rsid w:val="006B4181"/>
    <w:rsid w:val="006B4BCB"/>
    <w:rsid w:val="006B54BF"/>
    <w:rsid w:val="006B5939"/>
    <w:rsid w:val="006B5F44"/>
    <w:rsid w:val="006B5F90"/>
    <w:rsid w:val="006B5FDC"/>
    <w:rsid w:val="006B62E4"/>
    <w:rsid w:val="006B68B0"/>
    <w:rsid w:val="006B6915"/>
    <w:rsid w:val="006B6B2C"/>
    <w:rsid w:val="006B7349"/>
    <w:rsid w:val="006B7927"/>
    <w:rsid w:val="006C014D"/>
    <w:rsid w:val="006C0305"/>
    <w:rsid w:val="006C03EB"/>
    <w:rsid w:val="006C090A"/>
    <w:rsid w:val="006C0EAE"/>
    <w:rsid w:val="006C1BBA"/>
    <w:rsid w:val="006C2079"/>
    <w:rsid w:val="006C3070"/>
    <w:rsid w:val="006C3436"/>
    <w:rsid w:val="006C4739"/>
    <w:rsid w:val="006C4B86"/>
    <w:rsid w:val="006C4BB7"/>
    <w:rsid w:val="006C4C97"/>
    <w:rsid w:val="006C4CB1"/>
    <w:rsid w:val="006C5013"/>
    <w:rsid w:val="006C5799"/>
    <w:rsid w:val="006C5A62"/>
    <w:rsid w:val="006C5D68"/>
    <w:rsid w:val="006C5F79"/>
    <w:rsid w:val="006C6007"/>
    <w:rsid w:val="006C6553"/>
    <w:rsid w:val="006C67EA"/>
    <w:rsid w:val="006C6976"/>
    <w:rsid w:val="006C6DD0"/>
    <w:rsid w:val="006C76E1"/>
    <w:rsid w:val="006C7B63"/>
    <w:rsid w:val="006C7FCE"/>
    <w:rsid w:val="006D04EA"/>
    <w:rsid w:val="006D0CB2"/>
    <w:rsid w:val="006D0D96"/>
    <w:rsid w:val="006D16C4"/>
    <w:rsid w:val="006D1C5D"/>
    <w:rsid w:val="006D26A9"/>
    <w:rsid w:val="006D28B0"/>
    <w:rsid w:val="006D2E55"/>
    <w:rsid w:val="006D321E"/>
    <w:rsid w:val="006D325A"/>
    <w:rsid w:val="006D364D"/>
    <w:rsid w:val="006D37AE"/>
    <w:rsid w:val="006D3E96"/>
    <w:rsid w:val="006D4451"/>
    <w:rsid w:val="006D4515"/>
    <w:rsid w:val="006D4832"/>
    <w:rsid w:val="006D4BB1"/>
    <w:rsid w:val="006D4C27"/>
    <w:rsid w:val="006D4F1F"/>
    <w:rsid w:val="006D6225"/>
    <w:rsid w:val="006D6593"/>
    <w:rsid w:val="006D6634"/>
    <w:rsid w:val="006D68C6"/>
    <w:rsid w:val="006D699F"/>
    <w:rsid w:val="006D7452"/>
    <w:rsid w:val="006D7760"/>
    <w:rsid w:val="006D7878"/>
    <w:rsid w:val="006D7898"/>
    <w:rsid w:val="006E02EF"/>
    <w:rsid w:val="006E0FE7"/>
    <w:rsid w:val="006E1C20"/>
    <w:rsid w:val="006E2383"/>
    <w:rsid w:val="006E23EA"/>
    <w:rsid w:val="006E24CB"/>
    <w:rsid w:val="006E24CE"/>
    <w:rsid w:val="006E2DD3"/>
    <w:rsid w:val="006E300D"/>
    <w:rsid w:val="006E3B44"/>
    <w:rsid w:val="006E41A9"/>
    <w:rsid w:val="006E46A8"/>
    <w:rsid w:val="006E4AAD"/>
    <w:rsid w:val="006E568A"/>
    <w:rsid w:val="006E57E6"/>
    <w:rsid w:val="006E7C78"/>
    <w:rsid w:val="006E7F41"/>
    <w:rsid w:val="006F03A8"/>
    <w:rsid w:val="006F05F2"/>
    <w:rsid w:val="006F0848"/>
    <w:rsid w:val="006F0852"/>
    <w:rsid w:val="006F0E29"/>
    <w:rsid w:val="006F146D"/>
    <w:rsid w:val="006F2362"/>
    <w:rsid w:val="006F2598"/>
    <w:rsid w:val="006F2ACA"/>
    <w:rsid w:val="006F2ADC"/>
    <w:rsid w:val="006F2BFE"/>
    <w:rsid w:val="006F31E9"/>
    <w:rsid w:val="006F3691"/>
    <w:rsid w:val="006F4144"/>
    <w:rsid w:val="006F4805"/>
    <w:rsid w:val="006F4ABD"/>
    <w:rsid w:val="006F4DED"/>
    <w:rsid w:val="006F5836"/>
    <w:rsid w:val="006F585F"/>
    <w:rsid w:val="006F6284"/>
    <w:rsid w:val="006F64E4"/>
    <w:rsid w:val="006F6787"/>
    <w:rsid w:val="006F7B35"/>
    <w:rsid w:val="007002C5"/>
    <w:rsid w:val="00700E85"/>
    <w:rsid w:val="00700EF6"/>
    <w:rsid w:val="00700F91"/>
    <w:rsid w:val="00701B5A"/>
    <w:rsid w:val="00701D78"/>
    <w:rsid w:val="00703D4F"/>
    <w:rsid w:val="00703D5D"/>
    <w:rsid w:val="00704387"/>
    <w:rsid w:val="00704710"/>
    <w:rsid w:val="00705019"/>
    <w:rsid w:val="0070509D"/>
    <w:rsid w:val="00705C87"/>
    <w:rsid w:val="007069F7"/>
    <w:rsid w:val="00706EAE"/>
    <w:rsid w:val="007075A1"/>
    <w:rsid w:val="00707669"/>
    <w:rsid w:val="00707F1A"/>
    <w:rsid w:val="00707FFD"/>
    <w:rsid w:val="007105CD"/>
    <w:rsid w:val="00710805"/>
    <w:rsid w:val="0071156F"/>
    <w:rsid w:val="00711677"/>
    <w:rsid w:val="00711C95"/>
    <w:rsid w:val="00711CBA"/>
    <w:rsid w:val="00711FB5"/>
    <w:rsid w:val="007120B7"/>
    <w:rsid w:val="00712923"/>
    <w:rsid w:val="00712A01"/>
    <w:rsid w:val="00712B74"/>
    <w:rsid w:val="00712C47"/>
    <w:rsid w:val="00713375"/>
    <w:rsid w:val="00713986"/>
    <w:rsid w:val="00713F90"/>
    <w:rsid w:val="007141D5"/>
    <w:rsid w:val="0071473E"/>
    <w:rsid w:val="00714D00"/>
    <w:rsid w:val="00714F58"/>
    <w:rsid w:val="00714FF8"/>
    <w:rsid w:val="007150F7"/>
    <w:rsid w:val="00715623"/>
    <w:rsid w:val="007160FB"/>
    <w:rsid w:val="007160FF"/>
    <w:rsid w:val="00716B0A"/>
    <w:rsid w:val="007170F2"/>
    <w:rsid w:val="00717AFB"/>
    <w:rsid w:val="00717F12"/>
    <w:rsid w:val="007201E5"/>
    <w:rsid w:val="00720371"/>
    <w:rsid w:val="007208C6"/>
    <w:rsid w:val="007210F3"/>
    <w:rsid w:val="00721728"/>
    <w:rsid w:val="00721792"/>
    <w:rsid w:val="0072198B"/>
    <w:rsid w:val="00722340"/>
    <w:rsid w:val="00722618"/>
    <w:rsid w:val="007227BD"/>
    <w:rsid w:val="00722ACE"/>
    <w:rsid w:val="00722FBF"/>
    <w:rsid w:val="00722FC2"/>
    <w:rsid w:val="00723A07"/>
    <w:rsid w:val="00723E86"/>
    <w:rsid w:val="007247C0"/>
    <w:rsid w:val="00724879"/>
    <w:rsid w:val="00724C14"/>
    <w:rsid w:val="00724E1B"/>
    <w:rsid w:val="00724EDC"/>
    <w:rsid w:val="00725170"/>
    <w:rsid w:val="0072582D"/>
    <w:rsid w:val="00725949"/>
    <w:rsid w:val="00725A0B"/>
    <w:rsid w:val="00725C62"/>
    <w:rsid w:val="007276A3"/>
    <w:rsid w:val="00727854"/>
    <w:rsid w:val="00727C3B"/>
    <w:rsid w:val="00727D3C"/>
    <w:rsid w:val="00727EED"/>
    <w:rsid w:val="00727FA2"/>
    <w:rsid w:val="00730310"/>
    <w:rsid w:val="007305A6"/>
    <w:rsid w:val="007305AF"/>
    <w:rsid w:val="00730749"/>
    <w:rsid w:val="00730CD1"/>
    <w:rsid w:val="00730F2F"/>
    <w:rsid w:val="00731A71"/>
    <w:rsid w:val="00731EDB"/>
    <w:rsid w:val="007322D9"/>
    <w:rsid w:val="0073240D"/>
    <w:rsid w:val="00732B56"/>
    <w:rsid w:val="00732B7E"/>
    <w:rsid w:val="00732BC0"/>
    <w:rsid w:val="00733007"/>
    <w:rsid w:val="00733E60"/>
    <w:rsid w:val="007340E2"/>
    <w:rsid w:val="00734928"/>
    <w:rsid w:val="00734EC3"/>
    <w:rsid w:val="0073720F"/>
    <w:rsid w:val="00737796"/>
    <w:rsid w:val="00737972"/>
    <w:rsid w:val="00737C59"/>
    <w:rsid w:val="00737E37"/>
    <w:rsid w:val="00740487"/>
    <w:rsid w:val="00740918"/>
    <w:rsid w:val="00740D0D"/>
    <w:rsid w:val="007413F5"/>
    <w:rsid w:val="0074165C"/>
    <w:rsid w:val="00741981"/>
    <w:rsid w:val="007423EA"/>
    <w:rsid w:val="00742AE7"/>
    <w:rsid w:val="00742C35"/>
    <w:rsid w:val="007432CA"/>
    <w:rsid w:val="0074334C"/>
    <w:rsid w:val="00743615"/>
    <w:rsid w:val="007437DD"/>
    <w:rsid w:val="007438CC"/>
    <w:rsid w:val="00743956"/>
    <w:rsid w:val="007439EB"/>
    <w:rsid w:val="00743CB4"/>
    <w:rsid w:val="00743F0A"/>
    <w:rsid w:val="00743F91"/>
    <w:rsid w:val="007444E8"/>
    <w:rsid w:val="0074478F"/>
    <w:rsid w:val="0074488B"/>
    <w:rsid w:val="00744D90"/>
    <w:rsid w:val="00744EF7"/>
    <w:rsid w:val="0074548E"/>
    <w:rsid w:val="0074574E"/>
    <w:rsid w:val="00745773"/>
    <w:rsid w:val="00745ABB"/>
    <w:rsid w:val="00745BCB"/>
    <w:rsid w:val="00746331"/>
    <w:rsid w:val="00746419"/>
    <w:rsid w:val="00746712"/>
    <w:rsid w:val="00746800"/>
    <w:rsid w:val="00746942"/>
    <w:rsid w:val="00746B31"/>
    <w:rsid w:val="00746E56"/>
    <w:rsid w:val="00747202"/>
    <w:rsid w:val="00747AA7"/>
    <w:rsid w:val="00747DBD"/>
    <w:rsid w:val="007501A8"/>
    <w:rsid w:val="00750754"/>
    <w:rsid w:val="00750859"/>
    <w:rsid w:val="007509F8"/>
    <w:rsid w:val="00750D61"/>
    <w:rsid w:val="00750EE1"/>
    <w:rsid w:val="007510C1"/>
    <w:rsid w:val="00751C5B"/>
    <w:rsid w:val="00751E79"/>
    <w:rsid w:val="007522BC"/>
    <w:rsid w:val="0075258C"/>
    <w:rsid w:val="00752B4D"/>
    <w:rsid w:val="00753879"/>
    <w:rsid w:val="007540E9"/>
    <w:rsid w:val="0075422B"/>
    <w:rsid w:val="00754668"/>
    <w:rsid w:val="007546AC"/>
    <w:rsid w:val="007550E6"/>
    <w:rsid w:val="00755402"/>
    <w:rsid w:val="007554E5"/>
    <w:rsid w:val="00755760"/>
    <w:rsid w:val="00756377"/>
    <w:rsid w:val="00756653"/>
    <w:rsid w:val="007567E2"/>
    <w:rsid w:val="00756953"/>
    <w:rsid w:val="00756B26"/>
    <w:rsid w:val="00756C1A"/>
    <w:rsid w:val="00756C62"/>
    <w:rsid w:val="00756EDF"/>
    <w:rsid w:val="007570A1"/>
    <w:rsid w:val="00757C53"/>
    <w:rsid w:val="007600E3"/>
    <w:rsid w:val="00760358"/>
    <w:rsid w:val="0076073D"/>
    <w:rsid w:val="00760F05"/>
    <w:rsid w:val="007610A6"/>
    <w:rsid w:val="007617F6"/>
    <w:rsid w:val="00761CD7"/>
    <w:rsid w:val="00761F3C"/>
    <w:rsid w:val="00762034"/>
    <w:rsid w:val="007625D9"/>
    <w:rsid w:val="00762801"/>
    <w:rsid w:val="007628C0"/>
    <w:rsid w:val="00762BB3"/>
    <w:rsid w:val="00762D55"/>
    <w:rsid w:val="0076336D"/>
    <w:rsid w:val="007639A0"/>
    <w:rsid w:val="00763A25"/>
    <w:rsid w:val="00763C20"/>
    <w:rsid w:val="00764DF8"/>
    <w:rsid w:val="00765C43"/>
    <w:rsid w:val="00765C57"/>
    <w:rsid w:val="00765EFB"/>
    <w:rsid w:val="00766DA7"/>
    <w:rsid w:val="007671CA"/>
    <w:rsid w:val="00767BDA"/>
    <w:rsid w:val="00767C61"/>
    <w:rsid w:val="0077008A"/>
    <w:rsid w:val="00770FA4"/>
    <w:rsid w:val="00771377"/>
    <w:rsid w:val="007714DD"/>
    <w:rsid w:val="00771774"/>
    <w:rsid w:val="007719B7"/>
    <w:rsid w:val="00771E83"/>
    <w:rsid w:val="0077273F"/>
    <w:rsid w:val="007728E4"/>
    <w:rsid w:val="00772EF0"/>
    <w:rsid w:val="00773100"/>
    <w:rsid w:val="007733C1"/>
    <w:rsid w:val="00773C1F"/>
    <w:rsid w:val="00773F90"/>
    <w:rsid w:val="00773FC2"/>
    <w:rsid w:val="00774DA4"/>
    <w:rsid w:val="00775699"/>
    <w:rsid w:val="0077579A"/>
    <w:rsid w:val="00775B48"/>
    <w:rsid w:val="007763CD"/>
    <w:rsid w:val="00776599"/>
    <w:rsid w:val="00776753"/>
    <w:rsid w:val="007770AB"/>
    <w:rsid w:val="0077748F"/>
    <w:rsid w:val="007778E6"/>
    <w:rsid w:val="0078008F"/>
    <w:rsid w:val="00780172"/>
    <w:rsid w:val="00780406"/>
    <w:rsid w:val="0078060E"/>
    <w:rsid w:val="0078069A"/>
    <w:rsid w:val="00780C83"/>
    <w:rsid w:val="007810C3"/>
    <w:rsid w:val="0078114B"/>
    <w:rsid w:val="00781DD2"/>
    <w:rsid w:val="0078246B"/>
    <w:rsid w:val="00782D72"/>
    <w:rsid w:val="0078386E"/>
    <w:rsid w:val="00783D4A"/>
    <w:rsid w:val="00783ECF"/>
    <w:rsid w:val="0078413A"/>
    <w:rsid w:val="00784312"/>
    <w:rsid w:val="0078436B"/>
    <w:rsid w:val="00785698"/>
    <w:rsid w:val="00785828"/>
    <w:rsid w:val="00785835"/>
    <w:rsid w:val="007858A1"/>
    <w:rsid w:val="007861D0"/>
    <w:rsid w:val="007865C7"/>
    <w:rsid w:val="00787709"/>
    <w:rsid w:val="007878F2"/>
    <w:rsid w:val="00787CA9"/>
    <w:rsid w:val="00787E56"/>
    <w:rsid w:val="00787EE3"/>
    <w:rsid w:val="007901AF"/>
    <w:rsid w:val="00790228"/>
    <w:rsid w:val="00791DD4"/>
    <w:rsid w:val="0079208A"/>
    <w:rsid w:val="00792602"/>
    <w:rsid w:val="00793000"/>
    <w:rsid w:val="007947D5"/>
    <w:rsid w:val="007947EB"/>
    <w:rsid w:val="00794D66"/>
    <w:rsid w:val="00795401"/>
    <w:rsid w:val="007955FB"/>
    <w:rsid w:val="007959E8"/>
    <w:rsid w:val="00795BD5"/>
    <w:rsid w:val="00795D00"/>
    <w:rsid w:val="00795D9E"/>
    <w:rsid w:val="00795E9C"/>
    <w:rsid w:val="00796536"/>
    <w:rsid w:val="007966E4"/>
    <w:rsid w:val="00796A27"/>
    <w:rsid w:val="00796B03"/>
    <w:rsid w:val="007972F0"/>
    <w:rsid w:val="007A0007"/>
    <w:rsid w:val="007A0521"/>
    <w:rsid w:val="007A0C5D"/>
    <w:rsid w:val="007A0CA6"/>
    <w:rsid w:val="007A19CE"/>
    <w:rsid w:val="007A21AE"/>
    <w:rsid w:val="007A2E12"/>
    <w:rsid w:val="007A344A"/>
    <w:rsid w:val="007A3475"/>
    <w:rsid w:val="007A3BB0"/>
    <w:rsid w:val="007A403F"/>
    <w:rsid w:val="007A41C8"/>
    <w:rsid w:val="007A4B65"/>
    <w:rsid w:val="007A5397"/>
    <w:rsid w:val="007A54CE"/>
    <w:rsid w:val="007A5727"/>
    <w:rsid w:val="007A6A5A"/>
    <w:rsid w:val="007A6B95"/>
    <w:rsid w:val="007A6DC2"/>
    <w:rsid w:val="007A6FD9"/>
    <w:rsid w:val="007A7147"/>
    <w:rsid w:val="007A735E"/>
    <w:rsid w:val="007A73AF"/>
    <w:rsid w:val="007A79ED"/>
    <w:rsid w:val="007A7B5A"/>
    <w:rsid w:val="007A7EB3"/>
    <w:rsid w:val="007A7FFA"/>
    <w:rsid w:val="007B0067"/>
    <w:rsid w:val="007B0221"/>
    <w:rsid w:val="007B04EB"/>
    <w:rsid w:val="007B0A0D"/>
    <w:rsid w:val="007B0AEF"/>
    <w:rsid w:val="007B0D4F"/>
    <w:rsid w:val="007B1F98"/>
    <w:rsid w:val="007B2C27"/>
    <w:rsid w:val="007B33A2"/>
    <w:rsid w:val="007B3653"/>
    <w:rsid w:val="007B3801"/>
    <w:rsid w:val="007B3B8E"/>
    <w:rsid w:val="007B53BC"/>
    <w:rsid w:val="007B553C"/>
    <w:rsid w:val="007B55B2"/>
    <w:rsid w:val="007B589A"/>
    <w:rsid w:val="007B58C9"/>
    <w:rsid w:val="007B5A3D"/>
    <w:rsid w:val="007B5B95"/>
    <w:rsid w:val="007B5D6E"/>
    <w:rsid w:val="007B64FA"/>
    <w:rsid w:val="007B6760"/>
    <w:rsid w:val="007B68EA"/>
    <w:rsid w:val="007B6966"/>
    <w:rsid w:val="007B6DBC"/>
    <w:rsid w:val="007B6EF5"/>
    <w:rsid w:val="007B7170"/>
    <w:rsid w:val="007B7453"/>
    <w:rsid w:val="007B7CDA"/>
    <w:rsid w:val="007C00DE"/>
    <w:rsid w:val="007C0235"/>
    <w:rsid w:val="007C05DC"/>
    <w:rsid w:val="007C08B0"/>
    <w:rsid w:val="007C08B8"/>
    <w:rsid w:val="007C0FC6"/>
    <w:rsid w:val="007C1E8B"/>
    <w:rsid w:val="007C1F29"/>
    <w:rsid w:val="007C26E8"/>
    <w:rsid w:val="007C287D"/>
    <w:rsid w:val="007C2BB2"/>
    <w:rsid w:val="007C2D16"/>
    <w:rsid w:val="007C2D89"/>
    <w:rsid w:val="007C3417"/>
    <w:rsid w:val="007C3AB1"/>
    <w:rsid w:val="007C3C6C"/>
    <w:rsid w:val="007C4593"/>
    <w:rsid w:val="007C5309"/>
    <w:rsid w:val="007C6069"/>
    <w:rsid w:val="007C66FB"/>
    <w:rsid w:val="007C7D26"/>
    <w:rsid w:val="007D06C4"/>
    <w:rsid w:val="007D0B20"/>
    <w:rsid w:val="007D0BA5"/>
    <w:rsid w:val="007D10C8"/>
    <w:rsid w:val="007D1352"/>
    <w:rsid w:val="007D19EE"/>
    <w:rsid w:val="007D1B11"/>
    <w:rsid w:val="007D1DF3"/>
    <w:rsid w:val="007D1FFC"/>
    <w:rsid w:val="007D2508"/>
    <w:rsid w:val="007D271A"/>
    <w:rsid w:val="007D2C54"/>
    <w:rsid w:val="007D346A"/>
    <w:rsid w:val="007D4062"/>
    <w:rsid w:val="007D455D"/>
    <w:rsid w:val="007D4A64"/>
    <w:rsid w:val="007D4B60"/>
    <w:rsid w:val="007D50C4"/>
    <w:rsid w:val="007D53EF"/>
    <w:rsid w:val="007D580F"/>
    <w:rsid w:val="007D5EF5"/>
    <w:rsid w:val="007D6518"/>
    <w:rsid w:val="007D679F"/>
    <w:rsid w:val="007D6885"/>
    <w:rsid w:val="007D76BD"/>
    <w:rsid w:val="007D7F0D"/>
    <w:rsid w:val="007D7F1C"/>
    <w:rsid w:val="007E0A70"/>
    <w:rsid w:val="007E0BF1"/>
    <w:rsid w:val="007E0CB2"/>
    <w:rsid w:val="007E11B2"/>
    <w:rsid w:val="007E13FD"/>
    <w:rsid w:val="007E1B07"/>
    <w:rsid w:val="007E220A"/>
    <w:rsid w:val="007E2A3C"/>
    <w:rsid w:val="007E372E"/>
    <w:rsid w:val="007E374E"/>
    <w:rsid w:val="007E4408"/>
    <w:rsid w:val="007E476A"/>
    <w:rsid w:val="007E4AAE"/>
    <w:rsid w:val="007E5451"/>
    <w:rsid w:val="007E627C"/>
    <w:rsid w:val="007E66E2"/>
    <w:rsid w:val="007E6747"/>
    <w:rsid w:val="007E6CE7"/>
    <w:rsid w:val="007E6E15"/>
    <w:rsid w:val="007E706D"/>
    <w:rsid w:val="007E7F73"/>
    <w:rsid w:val="007F039C"/>
    <w:rsid w:val="007F0ED8"/>
    <w:rsid w:val="007F0F63"/>
    <w:rsid w:val="007F1817"/>
    <w:rsid w:val="007F23A7"/>
    <w:rsid w:val="007F31BB"/>
    <w:rsid w:val="007F3780"/>
    <w:rsid w:val="007F383C"/>
    <w:rsid w:val="007F3B76"/>
    <w:rsid w:val="007F3BE6"/>
    <w:rsid w:val="007F4149"/>
    <w:rsid w:val="007F4506"/>
    <w:rsid w:val="007F505F"/>
    <w:rsid w:val="007F6C89"/>
    <w:rsid w:val="007F75CE"/>
    <w:rsid w:val="0080019D"/>
    <w:rsid w:val="008001F0"/>
    <w:rsid w:val="008003A7"/>
    <w:rsid w:val="00800CE6"/>
    <w:rsid w:val="008013A4"/>
    <w:rsid w:val="00801798"/>
    <w:rsid w:val="00801BCF"/>
    <w:rsid w:val="00801D24"/>
    <w:rsid w:val="0080228D"/>
    <w:rsid w:val="008027CE"/>
    <w:rsid w:val="0080294C"/>
    <w:rsid w:val="00802A0A"/>
    <w:rsid w:val="00802F42"/>
    <w:rsid w:val="00803584"/>
    <w:rsid w:val="008037E1"/>
    <w:rsid w:val="00803F48"/>
    <w:rsid w:val="008041DA"/>
    <w:rsid w:val="00804383"/>
    <w:rsid w:val="00804A33"/>
    <w:rsid w:val="00804BB7"/>
    <w:rsid w:val="00804D41"/>
    <w:rsid w:val="00805CDA"/>
    <w:rsid w:val="008068DC"/>
    <w:rsid w:val="00806DA6"/>
    <w:rsid w:val="00806E17"/>
    <w:rsid w:val="00807260"/>
    <w:rsid w:val="00807384"/>
    <w:rsid w:val="00807936"/>
    <w:rsid w:val="00807EAF"/>
    <w:rsid w:val="0081013D"/>
    <w:rsid w:val="00810257"/>
    <w:rsid w:val="0081038F"/>
    <w:rsid w:val="008104F5"/>
    <w:rsid w:val="008108DF"/>
    <w:rsid w:val="00811072"/>
    <w:rsid w:val="00811369"/>
    <w:rsid w:val="0081182E"/>
    <w:rsid w:val="008119DF"/>
    <w:rsid w:val="00811AB6"/>
    <w:rsid w:val="00811DEC"/>
    <w:rsid w:val="008121BB"/>
    <w:rsid w:val="00812C53"/>
    <w:rsid w:val="00812DAF"/>
    <w:rsid w:val="00812DD6"/>
    <w:rsid w:val="00813205"/>
    <w:rsid w:val="00813689"/>
    <w:rsid w:val="00813B55"/>
    <w:rsid w:val="00813DEF"/>
    <w:rsid w:val="00813E17"/>
    <w:rsid w:val="00813F24"/>
    <w:rsid w:val="0081456A"/>
    <w:rsid w:val="0081506E"/>
    <w:rsid w:val="00815419"/>
    <w:rsid w:val="00815D5D"/>
    <w:rsid w:val="008162DA"/>
    <w:rsid w:val="008163C8"/>
    <w:rsid w:val="008164A1"/>
    <w:rsid w:val="00816A8A"/>
    <w:rsid w:val="00816AED"/>
    <w:rsid w:val="00816BFB"/>
    <w:rsid w:val="00816FA6"/>
    <w:rsid w:val="00817325"/>
    <w:rsid w:val="0081795F"/>
    <w:rsid w:val="008201DB"/>
    <w:rsid w:val="008205B1"/>
    <w:rsid w:val="008209E6"/>
    <w:rsid w:val="00820E9C"/>
    <w:rsid w:val="00820F63"/>
    <w:rsid w:val="0082113E"/>
    <w:rsid w:val="00821B85"/>
    <w:rsid w:val="00821C7B"/>
    <w:rsid w:val="00821FCD"/>
    <w:rsid w:val="008220D7"/>
    <w:rsid w:val="0082261E"/>
    <w:rsid w:val="00822A1F"/>
    <w:rsid w:val="00822E51"/>
    <w:rsid w:val="00822E79"/>
    <w:rsid w:val="00823149"/>
    <w:rsid w:val="00823303"/>
    <w:rsid w:val="008233B2"/>
    <w:rsid w:val="00823A9F"/>
    <w:rsid w:val="00823BEF"/>
    <w:rsid w:val="00823C85"/>
    <w:rsid w:val="00824C2E"/>
    <w:rsid w:val="00824CC0"/>
    <w:rsid w:val="00824E97"/>
    <w:rsid w:val="00825138"/>
    <w:rsid w:val="008258FB"/>
    <w:rsid w:val="008259B8"/>
    <w:rsid w:val="00825EAD"/>
    <w:rsid w:val="008265CB"/>
    <w:rsid w:val="0082678E"/>
    <w:rsid w:val="00826891"/>
    <w:rsid w:val="00826900"/>
    <w:rsid w:val="008269DD"/>
    <w:rsid w:val="00830621"/>
    <w:rsid w:val="008307DB"/>
    <w:rsid w:val="00830B73"/>
    <w:rsid w:val="00830B9A"/>
    <w:rsid w:val="00831643"/>
    <w:rsid w:val="0083272E"/>
    <w:rsid w:val="008330F3"/>
    <w:rsid w:val="0083325C"/>
    <w:rsid w:val="0083348C"/>
    <w:rsid w:val="00834772"/>
    <w:rsid w:val="00834912"/>
    <w:rsid w:val="00835677"/>
    <w:rsid w:val="00835693"/>
    <w:rsid w:val="00835A8E"/>
    <w:rsid w:val="008367ED"/>
    <w:rsid w:val="00836FCC"/>
    <w:rsid w:val="00837144"/>
    <w:rsid w:val="00837310"/>
    <w:rsid w:val="008373B5"/>
    <w:rsid w:val="008373D3"/>
    <w:rsid w:val="0083744C"/>
    <w:rsid w:val="00837551"/>
    <w:rsid w:val="00837B68"/>
    <w:rsid w:val="008404F7"/>
    <w:rsid w:val="00840617"/>
    <w:rsid w:val="00840759"/>
    <w:rsid w:val="00840922"/>
    <w:rsid w:val="00840F6B"/>
    <w:rsid w:val="00840F84"/>
    <w:rsid w:val="00841694"/>
    <w:rsid w:val="00841ED5"/>
    <w:rsid w:val="00842A47"/>
    <w:rsid w:val="00843327"/>
    <w:rsid w:val="00843C13"/>
    <w:rsid w:val="00843E95"/>
    <w:rsid w:val="00844E50"/>
    <w:rsid w:val="008454F8"/>
    <w:rsid w:val="0084574B"/>
    <w:rsid w:val="00845E03"/>
    <w:rsid w:val="008460D7"/>
    <w:rsid w:val="00846226"/>
    <w:rsid w:val="0084655F"/>
    <w:rsid w:val="00846BF7"/>
    <w:rsid w:val="00846CFA"/>
    <w:rsid w:val="00846DCD"/>
    <w:rsid w:val="00846EDB"/>
    <w:rsid w:val="00846F6D"/>
    <w:rsid w:val="00847043"/>
    <w:rsid w:val="0084711A"/>
    <w:rsid w:val="00847CFC"/>
    <w:rsid w:val="0085021F"/>
    <w:rsid w:val="00850673"/>
    <w:rsid w:val="0085144B"/>
    <w:rsid w:val="00851668"/>
    <w:rsid w:val="0085168F"/>
    <w:rsid w:val="0085173A"/>
    <w:rsid w:val="008520B1"/>
    <w:rsid w:val="0085240A"/>
    <w:rsid w:val="00852914"/>
    <w:rsid w:val="00853C94"/>
    <w:rsid w:val="008546BA"/>
    <w:rsid w:val="008546CE"/>
    <w:rsid w:val="0085506E"/>
    <w:rsid w:val="00855677"/>
    <w:rsid w:val="008559C2"/>
    <w:rsid w:val="0085619C"/>
    <w:rsid w:val="00856316"/>
    <w:rsid w:val="00856EF1"/>
    <w:rsid w:val="008576AC"/>
    <w:rsid w:val="00857E47"/>
    <w:rsid w:val="008603CE"/>
    <w:rsid w:val="008620FC"/>
    <w:rsid w:val="008627A5"/>
    <w:rsid w:val="00862F6D"/>
    <w:rsid w:val="008632D3"/>
    <w:rsid w:val="00863427"/>
    <w:rsid w:val="00863E05"/>
    <w:rsid w:val="00863FFB"/>
    <w:rsid w:val="00864506"/>
    <w:rsid w:val="0086495C"/>
    <w:rsid w:val="00864E2F"/>
    <w:rsid w:val="00865892"/>
    <w:rsid w:val="00865ACA"/>
    <w:rsid w:val="00865D28"/>
    <w:rsid w:val="00865F85"/>
    <w:rsid w:val="008671FE"/>
    <w:rsid w:val="008673F2"/>
    <w:rsid w:val="008677A9"/>
    <w:rsid w:val="00867990"/>
    <w:rsid w:val="00867C10"/>
    <w:rsid w:val="008700BF"/>
    <w:rsid w:val="00870367"/>
    <w:rsid w:val="00870439"/>
    <w:rsid w:val="00870C7D"/>
    <w:rsid w:val="00870DA1"/>
    <w:rsid w:val="008718DF"/>
    <w:rsid w:val="00872213"/>
    <w:rsid w:val="008726B6"/>
    <w:rsid w:val="0087314E"/>
    <w:rsid w:val="008732E1"/>
    <w:rsid w:val="00873A7D"/>
    <w:rsid w:val="00873D34"/>
    <w:rsid w:val="00873E98"/>
    <w:rsid w:val="00873F29"/>
    <w:rsid w:val="00874511"/>
    <w:rsid w:val="00874932"/>
    <w:rsid w:val="00875605"/>
    <w:rsid w:val="00875BC0"/>
    <w:rsid w:val="008768AA"/>
    <w:rsid w:val="00876D2F"/>
    <w:rsid w:val="00877287"/>
    <w:rsid w:val="00877FFE"/>
    <w:rsid w:val="008804A0"/>
    <w:rsid w:val="0088061E"/>
    <w:rsid w:val="008806B7"/>
    <w:rsid w:val="00880887"/>
    <w:rsid w:val="00880C21"/>
    <w:rsid w:val="00880D8A"/>
    <w:rsid w:val="008815E3"/>
    <w:rsid w:val="00881B91"/>
    <w:rsid w:val="00881EC9"/>
    <w:rsid w:val="00882300"/>
    <w:rsid w:val="00882893"/>
    <w:rsid w:val="00882C4B"/>
    <w:rsid w:val="008831CC"/>
    <w:rsid w:val="00883F51"/>
    <w:rsid w:val="00883F93"/>
    <w:rsid w:val="008842DD"/>
    <w:rsid w:val="00884DB0"/>
    <w:rsid w:val="00884DB3"/>
    <w:rsid w:val="008851DF"/>
    <w:rsid w:val="0088568D"/>
    <w:rsid w:val="00885A9D"/>
    <w:rsid w:val="008864F6"/>
    <w:rsid w:val="00886970"/>
    <w:rsid w:val="00886BCA"/>
    <w:rsid w:val="00886F5A"/>
    <w:rsid w:val="008879A0"/>
    <w:rsid w:val="00887AF3"/>
    <w:rsid w:val="0089049D"/>
    <w:rsid w:val="00890688"/>
    <w:rsid w:val="00890949"/>
    <w:rsid w:val="0089096D"/>
    <w:rsid w:val="00891912"/>
    <w:rsid w:val="00892294"/>
    <w:rsid w:val="008926E4"/>
    <w:rsid w:val="008928C9"/>
    <w:rsid w:val="008930CB"/>
    <w:rsid w:val="008938DC"/>
    <w:rsid w:val="008939F6"/>
    <w:rsid w:val="00893FAB"/>
    <w:rsid w:val="00893FD1"/>
    <w:rsid w:val="00894836"/>
    <w:rsid w:val="00894BC4"/>
    <w:rsid w:val="00895172"/>
    <w:rsid w:val="00895680"/>
    <w:rsid w:val="00895ABD"/>
    <w:rsid w:val="00895E29"/>
    <w:rsid w:val="00896186"/>
    <w:rsid w:val="00896659"/>
    <w:rsid w:val="008967D8"/>
    <w:rsid w:val="00896DFF"/>
    <w:rsid w:val="00896E58"/>
    <w:rsid w:val="0089762C"/>
    <w:rsid w:val="00897BF6"/>
    <w:rsid w:val="00897D7F"/>
    <w:rsid w:val="00897F68"/>
    <w:rsid w:val="008A0B2C"/>
    <w:rsid w:val="008A1795"/>
    <w:rsid w:val="008A1893"/>
    <w:rsid w:val="008A1CA4"/>
    <w:rsid w:val="008A2075"/>
    <w:rsid w:val="008A2203"/>
    <w:rsid w:val="008A2773"/>
    <w:rsid w:val="008A3215"/>
    <w:rsid w:val="008A3240"/>
    <w:rsid w:val="008A3264"/>
    <w:rsid w:val="008A57E6"/>
    <w:rsid w:val="008A61F3"/>
    <w:rsid w:val="008A63B7"/>
    <w:rsid w:val="008A656F"/>
    <w:rsid w:val="008A660C"/>
    <w:rsid w:val="008A6616"/>
    <w:rsid w:val="008A6681"/>
    <w:rsid w:val="008A6E3C"/>
    <w:rsid w:val="008A6F81"/>
    <w:rsid w:val="008A769A"/>
    <w:rsid w:val="008A7968"/>
    <w:rsid w:val="008A7D48"/>
    <w:rsid w:val="008A7E3F"/>
    <w:rsid w:val="008A7EB8"/>
    <w:rsid w:val="008A7F13"/>
    <w:rsid w:val="008B08A0"/>
    <w:rsid w:val="008B0B53"/>
    <w:rsid w:val="008B0C9C"/>
    <w:rsid w:val="008B0F92"/>
    <w:rsid w:val="008B161A"/>
    <w:rsid w:val="008B166D"/>
    <w:rsid w:val="008B17F4"/>
    <w:rsid w:val="008B1C14"/>
    <w:rsid w:val="008B2C93"/>
    <w:rsid w:val="008B3178"/>
    <w:rsid w:val="008B34E1"/>
    <w:rsid w:val="008B3615"/>
    <w:rsid w:val="008B3716"/>
    <w:rsid w:val="008B3741"/>
    <w:rsid w:val="008B3B0D"/>
    <w:rsid w:val="008B4434"/>
    <w:rsid w:val="008B454F"/>
    <w:rsid w:val="008B459E"/>
    <w:rsid w:val="008B47EA"/>
    <w:rsid w:val="008B4A17"/>
    <w:rsid w:val="008B4AC4"/>
    <w:rsid w:val="008B50C8"/>
    <w:rsid w:val="008B5281"/>
    <w:rsid w:val="008B53F2"/>
    <w:rsid w:val="008B5881"/>
    <w:rsid w:val="008B5E39"/>
    <w:rsid w:val="008B618E"/>
    <w:rsid w:val="008B6AC3"/>
    <w:rsid w:val="008B7025"/>
    <w:rsid w:val="008B7A38"/>
    <w:rsid w:val="008B7E05"/>
    <w:rsid w:val="008B7F4F"/>
    <w:rsid w:val="008C03DE"/>
    <w:rsid w:val="008C083D"/>
    <w:rsid w:val="008C0D8D"/>
    <w:rsid w:val="008C1131"/>
    <w:rsid w:val="008C1797"/>
    <w:rsid w:val="008C1E52"/>
    <w:rsid w:val="008C1FC7"/>
    <w:rsid w:val="008C219C"/>
    <w:rsid w:val="008C2920"/>
    <w:rsid w:val="008C2B98"/>
    <w:rsid w:val="008C3FB6"/>
    <w:rsid w:val="008C4009"/>
    <w:rsid w:val="008C46A3"/>
    <w:rsid w:val="008C475E"/>
    <w:rsid w:val="008C4A39"/>
    <w:rsid w:val="008C4AB4"/>
    <w:rsid w:val="008C4C6A"/>
    <w:rsid w:val="008C5523"/>
    <w:rsid w:val="008C5939"/>
    <w:rsid w:val="008C5B84"/>
    <w:rsid w:val="008C619A"/>
    <w:rsid w:val="008C67DE"/>
    <w:rsid w:val="008C699C"/>
    <w:rsid w:val="008C73A1"/>
    <w:rsid w:val="008C7729"/>
    <w:rsid w:val="008C7960"/>
    <w:rsid w:val="008D02F3"/>
    <w:rsid w:val="008D0344"/>
    <w:rsid w:val="008D0CE8"/>
    <w:rsid w:val="008D2422"/>
    <w:rsid w:val="008D2798"/>
    <w:rsid w:val="008D2D1D"/>
    <w:rsid w:val="008D2FE0"/>
    <w:rsid w:val="008D33D6"/>
    <w:rsid w:val="008D41BC"/>
    <w:rsid w:val="008D4320"/>
    <w:rsid w:val="008D4387"/>
    <w:rsid w:val="008D453D"/>
    <w:rsid w:val="008D46AC"/>
    <w:rsid w:val="008D487D"/>
    <w:rsid w:val="008D51CD"/>
    <w:rsid w:val="008D53AD"/>
    <w:rsid w:val="008D55ED"/>
    <w:rsid w:val="008D562B"/>
    <w:rsid w:val="008D5733"/>
    <w:rsid w:val="008D5F47"/>
    <w:rsid w:val="008D622B"/>
    <w:rsid w:val="008D666C"/>
    <w:rsid w:val="008D78E5"/>
    <w:rsid w:val="008D7B54"/>
    <w:rsid w:val="008E0BC0"/>
    <w:rsid w:val="008E0C18"/>
    <w:rsid w:val="008E0C9D"/>
    <w:rsid w:val="008E0F04"/>
    <w:rsid w:val="008E1360"/>
    <w:rsid w:val="008E13D1"/>
    <w:rsid w:val="008E1648"/>
    <w:rsid w:val="008E1B3E"/>
    <w:rsid w:val="008E1F6A"/>
    <w:rsid w:val="008E2221"/>
    <w:rsid w:val="008E2312"/>
    <w:rsid w:val="008E2319"/>
    <w:rsid w:val="008E25BE"/>
    <w:rsid w:val="008E3618"/>
    <w:rsid w:val="008E3A1E"/>
    <w:rsid w:val="008E3D3C"/>
    <w:rsid w:val="008E42CD"/>
    <w:rsid w:val="008E4515"/>
    <w:rsid w:val="008E4947"/>
    <w:rsid w:val="008E4BB6"/>
    <w:rsid w:val="008E4E4B"/>
    <w:rsid w:val="008E5518"/>
    <w:rsid w:val="008E6A84"/>
    <w:rsid w:val="008E734F"/>
    <w:rsid w:val="008E74D6"/>
    <w:rsid w:val="008E76D2"/>
    <w:rsid w:val="008F0CDC"/>
    <w:rsid w:val="008F0E10"/>
    <w:rsid w:val="008F17A3"/>
    <w:rsid w:val="008F1ED3"/>
    <w:rsid w:val="008F204D"/>
    <w:rsid w:val="008F23A5"/>
    <w:rsid w:val="008F240B"/>
    <w:rsid w:val="008F29A4"/>
    <w:rsid w:val="008F2B0B"/>
    <w:rsid w:val="008F2EEA"/>
    <w:rsid w:val="008F36ED"/>
    <w:rsid w:val="008F3948"/>
    <w:rsid w:val="008F3B5A"/>
    <w:rsid w:val="008F4C29"/>
    <w:rsid w:val="008F4EAD"/>
    <w:rsid w:val="008F51FD"/>
    <w:rsid w:val="008F63B4"/>
    <w:rsid w:val="008F6605"/>
    <w:rsid w:val="008F67FC"/>
    <w:rsid w:val="008F6807"/>
    <w:rsid w:val="008F68E7"/>
    <w:rsid w:val="008F6A65"/>
    <w:rsid w:val="008F6C82"/>
    <w:rsid w:val="008F70BD"/>
    <w:rsid w:val="008F77F6"/>
    <w:rsid w:val="008F788F"/>
    <w:rsid w:val="008F7E54"/>
    <w:rsid w:val="008F7EA2"/>
    <w:rsid w:val="00900371"/>
    <w:rsid w:val="009003F8"/>
    <w:rsid w:val="00902722"/>
    <w:rsid w:val="009027BC"/>
    <w:rsid w:val="00902C1D"/>
    <w:rsid w:val="00904339"/>
    <w:rsid w:val="009046A3"/>
    <w:rsid w:val="00904EB7"/>
    <w:rsid w:val="00905B9B"/>
    <w:rsid w:val="00906264"/>
    <w:rsid w:val="009062E6"/>
    <w:rsid w:val="0090640C"/>
    <w:rsid w:val="009064DD"/>
    <w:rsid w:val="009072D9"/>
    <w:rsid w:val="009074D8"/>
    <w:rsid w:val="00907707"/>
    <w:rsid w:val="00907B6A"/>
    <w:rsid w:val="00910895"/>
    <w:rsid w:val="00910956"/>
    <w:rsid w:val="00910FB5"/>
    <w:rsid w:val="00911A45"/>
    <w:rsid w:val="00911BE5"/>
    <w:rsid w:val="00912C27"/>
    <w:rsid w:val="00912CB3"/>
    <w:rsid w:val="00913068"/>
    <w:rsid w:val="0091327D"/>
    <w:rsid w:val="00913B7B"/>
    <w:rsid w:val="00913CA9"/>
    <w:rsid w:val="00913CCC"/>
    <w:rsid w:val="00913E24"/>
    <w:rsid w:val="00913F0D"/>
    <w:rsid w:val="0091412A"/>
    <w:rsid w:val="009145AE"/>
    <w:rsid w:val="009146CE"/>
    <w:rsid w:val="00914CA7"/>
    <w:rsid w:val="0091523D"/>
    <w:rsid w:val="0091561C"/>
    <w:rsid w:val="0091597E"/>
    <w:rsid w:val="00915A61"/>
    <w:rsid w:val="00915C3E"/>
    <w:rsid w:val="00916109"/>
    <w:rsid w:val="009161A8"/>
    <w:rsid w:val="00916A12"/>
    <w:rsid w:val="00916B12"/>
    <w:rsid w:val="00916E59"/>
    <w:rsid w:val="0091728F"/>
    <w:rsid w:val="00917725"/>
    <w:rsid w:val="00917A20"/>
    <w:rsid w:val="00920440"/>
    <w:rsid w:val="00920A8E"/>
    <w:rsid w:val="00921C5D"/>
    <w:rsid w:val="00923B84"/>
    <w:rsid w:val="009244D1"/>
    <w:rsid w:val="009245F5"/>
    <w:rsid w:val="009249EC"/>
    <w:rsid w:val="00926B82"/>
    <w:rsid w:val="00927142"/>
    <w:rsid w:val="0092726E"/>
    <w:rsid w:val="009273B3"/>
    <w:rsid w:val="009276AC"/>
    <w:rsid w:val="00927F28"/>
    <w:rsid w:val="009305B5"/>
    <w:rsid w:val="00930F37"/>
    <w:rsid w:val="009312A7"/>
    <w:rsid w:val="00931CE0"/>
    <w:rsid w:val="00931E0D"/>
    <w:rsid w:val="00931FEA"/>
    <w:rsid w:val="00933275"/>
    <w:rsid w:val="00933873"/>
    <w:rsid w:val="00933ABD"/>
    <w:rsid w:val="00933C78"/>
    <w:rsid w:val="009340DE"/>
    <w:rsid w:val="00934473"/>
    <w:rsid w:val="0093458D"/>
    <w:rsid w:val="00934BE6"/>
    <w:rsid w:val="00934C0E"/>
    <w:rsid w:val="00935052"/>
    <w:rsid w:val="009359AD"/>
    <w:rsid w:val="009362A7"/>
    <w:rsid w:val="009404DC"/>
    <w:rsid w:val="009406BC"/>
    <w:rsid w:val="009407C6"/>
    <w:rsid w:val="00940A87"/>
    <w:rsid w:val="00940B23"/>
    <w:rsid w:val="0094125D"/>
    <w:rsid w:val="00942250"/>
    <w:rsid w:val="0094267E"/>
    <w:rsid w:val="009429D5"/>
    <w:rsid w:val="00942BF1"/>
    <w:rsid w:val="00942E4F"/>
    <w:rsid w:val="0094356F"/>
    <w:rsid w:val="00943A12"/>
    <w:rsid w:val="00943E5E"/>
    <w:rsid w:val="0094440B"/>
    <w:rsid w:val="00944771"/>
    <w:rsid w:val="00945180"/>
    <w:rsid w:val="00945269"/>
    <w:rsid w:val="009452F8"/>
    <w:rsid w:val="00945428"/>
    <w:rsid w:val="009454F1"/>
    <w:rsid w:val="00945807"/>
    <w:rsid w:val="00945955"/>
    <w:rsid w:val="0094607B"/>
    <w:rsid w:val="009465C0"/>
    <w:rsid w:val="00946EC4"/>
    <w:rsid w:val="009475CF"/>
    <w:rsid w:val="00947667"/>
    <w:rsid w:val="00947C77"/>
    <w:rsid w:val="00947F2F"/>
    <w:rsid w:val="00947FE9"/>
    <w:rsid w:val="0095077A"/>
    <w:rsid w:val="00950805"/>
    <w:rsid w:val="00950B51"/>
    <w:rsid w:val="00950FC2"/>
    <w:rsid w:val="00951290"/>
    <w:rsid w:val="00951379"/>
    <w:rsid w:val="00951622"/>
    <w:rsid w:val="009516D8"/>
    <w:rsid w:val="009520DA"/>
    <w:rsid w:val="00952C29"/>
    <w:rsid w:val="00952E09"/>
    <w:rsid w:val="00952F6E"/>
    <w:rsid w:val="00953604"/>
    <w:rsid w:val="0095387A"/>
    <w:rsid w:val="009539F2"/>
    <w:rsid w:val="00953E67"/>
    <w:rsid w:val="0095496B"/>
    <w:rsid w:val="00954E83"/>
    <w:rsid w:val="009555D4"/>
    <w:rsid w:val="009562CD"/>
    <w:rsid w:val="00956F16"/>
    <w:rsid w:val="00956FBD"/>
    <w:rsid w:val="0095723F"/>
    <w:rsid w:val="00957B20"/>
    <w:rsid w:val="0096078D"/>
    <w:rsid w:val="00960AED"/>
    <w:rsid w:val="009610DC"/>
    <w:rsid w:val="00961490"/>
    <w:rsid w:val="00961CA1"/>
    <w:rsid w:val="00961D7E"/>
    <w:rsid w:val="009625E2"/>
    <w:rsid w:val="009628FD"/>
    <w:rsid w:val="00962E39"/>
    <w:rsid w:val="0096356F"/>
    <w:rsid w:val="0096381A"/>
    <w:rsid w:val="009644F7"/>
    <w:rsid w:val="00964853"/>
    <w:rsid w:val="00964CCE"/>
    <w:rsid w:val="009655F6"/>
    <w:rsid w:val="0096590E"/>
    <w:rsid w:val="00965E04"/>
    <w:rsid w:val="00966001"/>
    <w:rsid w:val="0096693F"/>
    <w:rsid w:val="00966E2E"/>
    <w:rsid w:val="0096743A"/>
    <w:rsid w:val="00967473"/>
    <w:rsid w:val="009674AD"/>
    <w:rsid w:val="00967600"/>
    <w:rsid w:val="00970968"/>
    <w:rsid w:val="00970CDC"/>
    <w:rsid w:val="00970D7F"/>
    <w:rsid w:val="00971056"/>
    <w:rsid w:val="00971273"/>
    <w:rsid w:val="009718B4"/>
    <w:rsid w:val="0097273E"/>
    <w:rsid w:val="00972961"/>
    <w:rsid w:val="00972A38"/>
    <w:rsid w:val="0097324B"/>
    <w:rsid w:val="00973D27"/>
    <w:rsid w:val="00973EB6"/>
    <w:rsid w:val="00973EFA"/>
    <w:rsid w:val="009746C9"/>
    <w:rsid w:val="00974714"/>
    <w:rsid w:val="0097511C"/>
    <w:rsid w:val="00975B38"/>
    <w:rsid w:val="00975B9E"/>
    <w:rsid w:val="00976F6F"/>
    <w:rsid w:val="00977010"/>
    <w:rsid w:val="009771A3"/>
    <w:rsid w:val="00977D02"/>
    <w:rsid w:val="00977E1D"/>
    <w:rsid w:val="009809BB"/>
    <w:rsid w:val="00980C3E"/>
    <w:rsid w:val="0098166F"/>
    <w:rsid w:val="00981FE6"/>
    <w:rsid w:val="0098203C"/>
    <w:rsid w:val="009827CF"/>
    <w:rsid w:val="0098364B"/>
    <w:rsid w:val="009846C8"/>
    <w:rsid w:val="00984A9D"/>
    <w:rsid w:val="00984D7C"/>
    <w:rsid w:val="0098538E"/>
    <w:rsid w:val="00985715"/>
    <w:rsid w:val="00986089"/>
    <w:rsid w:val="00986D20"/>
    <w:rsid w:val="00990344"/>
    <w:rsid w:val="0099107C"/>
    <w:rsid w:val="009911AF"/>
    <w:rsid w:val="009912C1"/>
    <w:rsid w:val="009914EE"/>
    <w:rsid w:val="00991717"/>
    <w:rsid w:val="00991875"/>
    <w:rsid w:val="00991895"/>
    <w:rsid w:val="00991935"/>
    <w:rsid w:val="00991F92"/>
    <w:rsid w:val="00992131"/>
    <w:rsid w:val="00992160"/>
    <w:rsid w:val="009923CC"/>
    <w:rsid w:val="00992660"/>
    <w:rsid w:val="00992985"/>
    <w:rsid w:val="00992CC0"/>
    <w:rsid w:val="00992E15"/>
    <w:rsid w:val="00993889"/>
    <w:rsid w:val="00993C76"/>
    <w:rsid w:val="0099499F"/>
    <w:rsid w:val="00994AC0"/>
    <w:rsid w:val="0099551B"/>
    <w:rsid w:val="009955C9"/>
    <w:rsid w:val="00996DBC"/>
    <w:rsid w:val="00997BF1"/>
    <w:rsid w:val="009A089C"/>
    <w:rsid w:val="009A118E"/>
    <w:rsid w:val="009A119E"/>
    <w:rsid w:val="009A150A"/>
    <w:rsid w:val="009A1683"/>
    <w:rsid w:val="009A1A78"/>
    <w:rsid w:val="009A21CD"/>
    <w:rsid w:val="009A23E9"/>
    <w:rsid w:val="009A25EF"/>
    <w:rsid w:val="009A278C"/>
    <w:rsid w:val="009A2884"/>
    <w:rsid w:val="009A2BC2"/>
    <w:rsid w:val="009A31AA"/>
    <w:rsid w:val="009A3B78"/>
    <w:rsid w:val="009A40B5"/>
    <w:rsid w:val="009A42C1"/>
    <w:rsid w:val="009A5078"/>
    <w:rsid w:val="009A5159"/>
    <w:rsid w:val="009A52E3"/>
    <w:rsid w:val="009A5412"/>
    <w:rsid w:val="009A5429"/>
    <w:rsid w:val="009A5439"/>
    <w:rsid w:val="009A6632"/>
    <w:rsid w:val="009A6C71"/>
    <w:rsid w:val="009A72AD"/>
    <w:rsid w:val="009A7970"/>
    <w:rsid w:val="009A7E0E"/>
    <w:rsid w:val="009B0434"/>
    <w:rsid w:val="009B0980"/>
    <w:rsid w:val="009B09E0"/>
    <w:rsid w:val="009B0BC5"/>
    <w:rsid w:val="009B1247"/>
    <w:rsid w:val="009B1317"/>
    <w:rsid w:val="009B131F"/>
    <w:rsid w:val="009B1591"/>
    <w:rsid w:val="009B1B6D"/>
    <w:rsid w:val="009B1D07"/>
    <w:rsid w:val="009B2A64"/>
    <w:rsid w:val="009B2CD5"/>
    <w:rsid w:val="009B2DCE"/>
    <w:rsid w:val="009B2FB8"/>
    <w:rsid w:val="009B3F31"/>
    <w:rsid w:val="009B5BF3"/>
    <w:rsid w:val="009B5C28"/>
    <w:rsid w:val="009B5C3D"/>
    <w:rsid w:val="009B6029"/>
    <w:rsid w:val="009B6971"/>
    <w:rsid w:val="009B6A30"/>
    <w:rsid w:val="009B6B48"/>
    <w:rsid w:val="009B6EA2"/>
    <w:rsid w:val="009B6F63"/>
    <w:rsid w:val="009C0224"/>
    <w:rsid w:val="009C04E2"/>
    <w:rsid w:val="009C0872"/>
    <w:rsid w:val="009C0ADA"/>
    <w:rsid w:val="009C0B3B"/>
    <w:rsid w:val="009C1048"/>
    <w:rsid w:val="009C11BD"/>
    <w:rsid w:val="009C17F2"/>
    <w:rsid w:val="009C1D6B"/>
    <w:rsid w:val="009C2280"/>
    <w:rsid w:val="009C27F1"/>
    <w:rsid w:val="009C2C8B"/>
    <w:rsid w:val="009C3152"/>
    <w:rsid w:val="009C3262"/>
    <w:rsid w:val="009C39CA"/>
    <w:rsid w:val="009C3CD7"/>
    <w:rsid w:val="009C3FFE"/>
    <w:rsid w:val="009C400D"/>
    <w:rsid w:val="009C4393"/>
    <w:rsid w:val="009C46E7"/>
    <w:rsid w:val="009C4CFA"/>
    <w:rsid w:val="009C5070"/>
    <w:rsid w:val="009C5113"/>
    <w:rsid w:val="009C5430"/>
    <w:rsid w:val="009C577B"/>
    <w:rsid w:val="009C68F2"/>
    <w:rsid w:val="009C6A96"/>
    <w:rsid w:val="009C7963"/>
    <w:rsid w:val="009D0369"/>
    <w:rsid w:val="009D0941"/>
    <w:rsid w:val="009D0E89"/>
    <w:rsid w:val="009D112C"/>
    <w:rsid w:val="009D1320"/>
    <w:rsid w:val="009D19F5"/>
    <w:rsid w:val="009D1C57"/>
    <w:rsid w:val="009D1EC1"/>
    <w:rsid w:val="009D2362"/>
    <w:rsid w:val="009D28C2"/>
    <w:rsid w:val="009D2F43"/>
    <w:rsid w:val="009D3064"/>
    <w:rsid w:val="009D30A6"/>
    <w:rsid w:val="009D31CB"/>
    <w:rsid w:val="009D3265"/>
    <w:rsid w:val="009D328B"/>
    <w:rsid w:val="009D34C1"/>
    <w:rsid w:val="009D3538"/>
    <w:rsid w:val="009D47D9"/>
    <w:rsid w:val="009D47FA"/>
    <w:rsid w:val="009D4816"/>
    <w:rsid w:val="009D4C42"/>
    <w:rsid w:val="009D4C5B"/>
    <w:rsid w:val="009D4CE5"/>
    <w:rsid w:val="009D4D05"/>
    <w:rsid w:val="009D50D2"/>
    <w:rsid w:val="009D544D"/>
    <w:rsid w:val="009D5ED1"/>
    <w:rsid w:val="009D6BCA"/>
    <w:rsid w:val="009D7083"/>
    <w:rsid w:val="009D7436"/>
    <w:rsid w:val="009D745E"/>
    <w:rsid w:val="009D7B74"/>
    <w:rsid w:val="009E089F"/>
    <w:rsid w:val="009E091C"/>
    <w:rsid w:val="009E0973"/>
    <w:rsid w:val="009E0F62"/>
    <w:rsid w:val="009E157B"/>
    <w:rsid w:val="009E1982"/>
    <w:rsid w:val="009E1E4C"/>
    <w:rsid w:val="009E2A64"/>
    <w:rsid w:val="009E4A58"/>
    <w:rsid w:val="009E4C85"/>
    <w:rsid w:val="009E4C8F"/>
    <w:rsid w:val="009E5A2D"/>
    <w:rsid w:val="009E5AB2"/>
    <w:rsid w:val="009E6219"/>
    <w:rsid w:val="009E7377"/>
    <w:rsid w:val="009E7BD1"/>
    <w:rsid w:val="009E7C0F"/>
    <w:rsid w:val="009F03B3"/>
    <w:rsid w:val="009F0C21"/>
    <w:rsid w:val="009F0DB5"/>
    <w:rsid w:val="009F139F"/>
    <w:rsid w:val="009F161D"/>
    <w:rsid w:val="009F1B13"/>
    <w:rsid w:val="009F1F68"/>
    <w:rsid w:val="009F227B"/>
    <w:rsid w:val="009F29BD"/>
    <w:rsid w:val="009F3034"/>
    <w:rsid w:val="009F4BDD"/>
    <w:rsid w:val="009F4FAE"/>
    <w:rsid w:val="009F54AF"/>
    <w:rsid w:val="009F591B"/>
    <w:rsid w:val="009F5C7D"/>
    <w:rsid w:val="009F6015"/>
    <w:rsid w:val="009F794C"/>
    <w:rsid w:val="009F7D19"/>
    <w:rsid w:val="009F7E7F"/>
    <w:rsid w:val="009F7F57"/>
    <w:rsid w:val="00A00307"/>
    <w:rsid w:val="00A0096C"/>
    <w:rsid w:val="00A009AB"/>
    <w:rsid w:val="00A016D9"/>
    <w:rsid w:val="00A01757"/>
    <w:rsid w:val="00A01E8C"/>
    <w:rsid w:val="00A020AD"/>
    <w:rsid w:val="00A028C0"/>
    <w:rsid w:val="00A02A97"/>
    <w:rsid w:val="00A02BAE"/>
    <w:rsid w:val="00A02DF5"/>
    <w:rsid w:val="00A03026"/>
    <w:rsid w:val="00A0308E"/>
    <w:rsid w:val="00A0365E"/>
    <w:rsid w:val="00A03ADB"/>
    <w:rsid w:val="00A03BB0"/>
    <w:rsid w:val="00A041F0"/>
    <w:rsid w:val="00A04232"/>
    <w:rsid w:val="00A0438D"/>
    <w:rsid w:val="00A0457C"/>
    <w:rsid w:val="00A045D5"/>
    <w:rsid w:val="00A05A99"/>
    <w:rsid w:val="00A0644E"/>
    <w:rsid w:val="00A0684A"/>
    <w:rsid w:val="00A06A6B"/>
    <w:rsid w:val="00A06B5A"/>
    <w:rsid w:val="00A06DC7"/>
    <w:rsid w:val="00A07774"/>
    <w:rsid w:val="00A07D21"/>
    <w:rsid w:val="00A07E47"/>
    <w:rsid w:val="00A10038"/>
    <w:rsid w:val="00A10187"/>
    <w:rsid w:val="00A1027B"/>
    <w:rsid w:val="00A112F8"/>
    <w:rsid w:val="00A12061"/>
    <w:rsid w:val="00A12681"/>
    <w:rsid w:val="00A126B6"/>
    <w:rsid w:val="00A129D0"/>
    <w:rsid w:val="00A12A1C"/>
    <w:rsid w:val="00A12B13"/>
    <w:rsid w:val="00A12B37"/>
    <w:rsid w:val="00A12C33"/>
    <w:rsid w:val="00A1373D"/>
    <w:rsid w:val="00A138BA"/>
    <w:rsid w:val="00A13B53"/>
    <w:rsid w:val="00A14718"/>
    <w:rsid w:val="00A14C8E"/>
    <w:rsid w:val="00A14CF2"/>
    <w:rsid w:val="00A150FC"/>
    <w:rsid w:val="00A15317"/>
    <w:rsid w:val="00A153D9"/>
    <w:rsid w:val="00A15410"/>
    <w:rsid w:val="00A155E1"/>
    <w:rsid w:val="00A158B4"/>
    <w:rsid w:val="00A15CAD"/>
    <w:rsid w:val="00A15F09"/>
    <w:rsid w:val="00A160EA"/>
    <w:rsid w:val="00A16155"/>
    <w:rsid w:val="00A16487"/>
    <w:rsid w:val="00A164A8"/>
    <w:rsid w:val="00A165D8"/>
    <w:rsid w:val="00A169B6"/>
    <w:rsid w:val="00A16ED9"/>
    <w:rsid w:val="00A17A30"/>
    <w:rsid w:val="00A17D7B"/>
    <w:rsid w:val="00A20E4A"/>
    <w:rsid w:val="00A20E89"/>
    <w:rsid w:val="00A210AF"/>
    <w:rsid w:val="00A21137"/>
    <w:rsid w:val="00A211F0"/>
    <w:rsid w:val="00A21D0F"/>
    <w:rsid w:val="00A22182"/>
    <w:rsid w:val="00A2259B"/>
    <w:rsid w:val="00A2271D"/>
    <w:rsid w:val="00A227F1"/>
    <w:rsid w:val="00A22EF7"/>
    <w:rsid w:val="00A233E6"/>
    <w:rsid w:val="00A235EC"/>
    <w:rsid w:val="00A2361F"/>
    <w:rsid w:val="00A236ED"/>
    <w:rsid w:val="00A237D5"/>
    <w:rsid w:val="00A23887"/>
    <w:rsid w:val="00A246C5"/>
    <w:rsid w:val="00A24946"/>
    <w:rsid w:val="00A24CCE"/>
    <w:rsid w:val="00A24FDC"/>
    <w:rsid w:val="00A25280"/>
    <w:rsid w:val="00A2587B"/>
    <w:rsid w:val="00A259A7"/>
    <w:rsid w:val="00A25B4C"/>
    <w:rsid w:val="00A261D8"/>
    <w:rsid w:val="00A26707"/>
    <w:rsid w:val="00A26858"/>
    <w:rsid w:val="00A268AE"/>
    <w:rsid w:val="00A27519"/>
    <w:rsid w:val="00A279B3"/>
    <w:rsid w:val="00A304A8"/>
    <w:rsid w:val="00A30BB0"/>
    <w:rsid w:val="00A30EFC"/>
    <w:rsid w:val="00A316BD"/>
    <w:rsid w:val="00A31789"/>
    <w:rsid w:val="00A3181F"/>
    <w:rsid w:val="00A31929"/>
    <w:rsid w:val="00A31984"/>
    <w:rsid w:val="00A31EA5"/>
    <w:rsid w:val="00A32C48"/>
    <w:rsid w:val="00A32D73"/>
    <w:rsid w:val="00A3367B"/>
    <w:rsid w:val="00A33DA0"/>
    <w:rsid w:val="00A341A4"/>
    <w:rsid w:val="00A3457D"/>
    <w:rsid w:val="00A345BA"/>
    <w:rsid w:val="00A34C67"/>
    <w:rsid w:val="00A34F73"/>
    <w:rsid w:val="00A35343"/>
    <w:rsid w:val="00A35386"/>
    <w:rsid w:val="00A3597D"/>
    <w:rsid w:val="00A35DDE"/>
    <w:rsid w:val="00A3692E"/>
    <w:rsid w:val="00A36DD1"/>
    <w:rsid w:val="00A37B9E"/>
    <w:rsid w:val="00A37CE9"/>
    <w:rsid w:val="00A4006C"/>
    <w:rsid w:val="00A40091"/>
    <w:rsid w:val="00A4030F"/>
    <w:rsid w:val="00A4094E"/>
    <w:rsid w:val="00A40BC8"/>
    <w:rsid w:val="00A4107D"/>
    <w:rsid w:val="00A417E5"/>
    <w:rsid w:val="00A41BD2"/>
    <w:rsid w:val="00A41C79"/>
    <w:rsid w:val="00A41CB5"/>
    <w:rsid w:val="00A42BC3"/>
    <w:rsid w:val="00A42C42"/>
    <w:rsid w:val="00A42CDF"/>
    <w:rsid w:val="00A43511"/>
    <w:rsid w:val="00A4355F"/>
    <w:rsid w:val="00A44373"/>
    <w:rsid w:val="00A44405"/>
    <w:rsid w:val="00A4452E"/>
    <w:rsid w:val="00A44622"/>
    <w:rsid w:val="00A4472C"/>
    <w:rsid w:val="00A44C0D"/>
    <w:rsid w:val="00A44E69"/>
    <w:rsid w:val="00A4559D"/>
    <w:rsid w:val="00A458EA"/>
    <w:rsid w:val="00A4622D"/>
    <w:rsid w:val="00A4661E"/>
    <w:rsid w:val="00A46A60"/>
    <w:rsid w:val="00A4728D"/>
    <w:rsid w:val="00A472B4"/>
    <w:rsid w:val="00A503E2"/>
    <w:rsid w:val="00A50BD8"/>
    <w:rsid w:val="00A50F7E"/>
    <w:rsid w:val="00A52F22"/>
    <w:rsid w:val="00A53321"/>
    <w:rsid w:val="00A53A5E"/>
    <w:rsid w:val="00A5492B"/>
    <w:rsid w:val="00A54BD0"/>
    <w:rsid w:val="00A5553A"/>
    <w:rsid w:val="00A55772"/>
    <w:rsid w:val="00A55B44"/>
    <w:rsid w:val="00A55BD6"/>
    <w:rsid w:val="00A55D50"/>
    <w:rsid w:val="00A57142"/>
    <w:rsid w:val="00A575E7"/>
    <w:rsid w:val="00A60131"/>
    <w:rsid w:val="00A60368"/>
    <w:rsid w:val="00A605DF"/>
    <w:rsid w:val="00A6116A"/>
    <w:rsid w:val="00A61819"/>
    <w:rsid w:val="00A61A23"/>
    <w:rsid w:val="00A62339"/>
    <w:rsid w:val="00A624CA"/>
    <w:rsid w:val="00A63933"/>
    <w:rsid w:val="00A641EA"/>
    <w:rsid w:val="00A643EC"/>
    <w:rsid w:val="00A6488D"/>
    <w:rsid w:val="00A648CD"/>
    <w:rsid w:val="00A64963"/>
    <w:rsid w:val="00A652FC"/>
    <w:rsid w:val="00A6537A"/>
    <w:rsid w:val="00A65398"/>
    <w:rsid w:val="00A65577"/>
    <w:rsid w:val="00A6580B"/>
    <w:rsid w:val="00A6584D"/>
    <w:rsid w:val="00A66D86"/>
    <w:rsid w:val="00A66E1D"/>
    <w:rsid w:val="00A6703A"/>
    <w:rsid w:val="00A67866"/>
    <w:rsid w:val="00A67DB8"/>
    <w:rsid w:val="00A7082A"/>
    <w:rsid w:val="00A70875"/>
    <w:rsid w:val="00A70B07"/>
    <w:rsid w:val="00A70BC1"/>
    <w:rsid w:val="00A713ED"/>
    <w:rsid w:val="00A723F8"/>
    <w:rsid w:val="00A72BC8"/>
    <w:rsid w:val="00A738D7"/>
    <w:rsid w:val="00A739C2"/>
    <w:rsid w:val="00A7416A"/>
    <w:rsid w:val="00A7445A"/>
    <w:rsid w:val="00A7462C"/>
    <w:rsid w:val="00A74FF7"/>
    <w:rsid w:val="00A75459"/>
    <w:rsid w:val="00A75FD9"/>
    <w:rsid w:val="00A763FF"/>
    <w:rsid w:val="00A768E7"/>
    <w:rsid w:val="00A76B64"/>
    <w:rsid w:val="00A76C6B"/>
    <w:rsid w:val="00A7704D"/>
    <w:rsid w:val="00A77411"/>
    <w:rsid w:val="00A77756"/>
    <w:rsid w:val="00A779DE"/>
    <w:rsid w:val="00A77CCB"/>
    <w:rsid w:val="00A80211"/>
    <w:rsid w:val="00A8056F"/>
    <w:rsid w:val="00A805C1"/>
    <w:rsid w:val="00A81285"/>
    <w:rsid w:val="00A8140A"/>
    <w:rsid w:val="00A814FE"/>
    <w:rsid w:val="00A81857"/>
    <w:rsid w:val="00A81D32"/>
    <w:rsid w:val="00A82397"/>
    <w:rsid w:val="00A824C6"/>
    <w:rsid w:val="00A82A27"/>
    <w:rsid w:val="00A82BE9"/>
    <w:rsid w:val="00A82D25"/>
    <w:rsid w:val="00A82EDA"/>
    <w:rsid w:val="00A8325E"/>
    <w:rsid w:val="00A8338D"/>
    <w:rsid w:val="00A83755"/>
    <w:rsid w:val="00A838D8"/>
    <w:rsid w:val="00A839D7"/>
    <w:rsid w:val="00A83D8D"/>
    <w:rsid w:val="00A8446B"/>
    <w:rsid w:val="00A8473F"/>
    <w:rsid w:val="00A85016"/>
    <w:rsid w:val="00A850CF"/>
    <w:rsid w:val="00A862D6"/>
    <w:rsid w:val="00A870B1"/>
    <w:rsid w:val="00A8715E"/>
    <w:rsid w:val="00A87894"/>
    <w:rsid w:val="00A87DDA"/>
    <w:rsid w:val="00A90108"/>
    <w:rsid w:val="00A9155C"/>
    <w:rsid w:val="00A9187A"/>
    <w:rsid w:val="00A91925"/>
    <w:rsid w:val="00A92225"/>
    <w:rsid w:val="00A923B7"/>
    <w:rsid w:val="00A926C2"/>
    <w:rsid w:val="00A9295B"/>
    <w:rsid w:val="00A92BE8"/>
    <w:rsid w:val="00A9366A"/>
    <w:rsid w:val="00A93B09"/>
    <w:rsid w:val="00A93C46"/>
    <w:rsid w:val="00A94239"/>
    <w:rsid w:val="00A94247"/>
    <w:rsid w:val="00A9441D"/>
    <w:rsid w:val="00A94678"/>
    <w:rsid w:val="00A95255"/>
    <w:rsid w:val="00A952D7"/>
    <w:rsid w:val="00A95587"/>
    <w:rsid w:val="00A958FB"/>
    <w:rsid w:val="00A95919"/>
    <w:rsid w:val="00A96139"/>
    <w:rsid w:val="00A963F7"/>
    <w:rsid w:val="00A966D2"/>
    <w:rsid w:val="00A96AD8"/>
    <w:rsid w:val="00A96B97"/>
    <w:rsid w:val="00A96F7A"/>
    <w:rsid w:val="00A9710E"/>
    <w:rsid w:val="00A97A78"/>
    <w:rsid w:val="00AA0409"/>
    <w:rsid w:val="00AA052C"/>
    <w:rsid w:val="00AA0593"/>
    <w:rsid w:val="00AA0647"/>
    <w:rsid w:val="00AA0954"/>
    <w:rsid w:val="00AA0ADA"/>
    <w:rsid w:val="00AA119C"/>
    <w:rsid w:val="00AA1927"/>
    <w:rsid w:val="00AA1BFA"/>
    <w:rsid w:val="00AA1E45"/>
    <w:rsid w:val="00AA1F61"/>
    <w:rsid w:val="00AA23B9"/>
    <w:rsid w:val="00AA2608"/>
    <w:rsid w:val="00AA2F83"/>
    <w:rsid w:val="00AA3020"/>
    <w:rsid w:val="00AA3991"/>
    <w:rsid w:val="00AA39DF"/>
    <w:rsid w:val="00AA4138"/>
    <w:rsid w:val="00AA4286"/>
    <w:rsid w:val="00AA456B"/>
    <w:rsid w:val="00AA50E9"/>
    <w:rsid w:val="00AA5123"/>
    <w:rsid w:val="00AA55F6"/>
    <w:rsid w:val="00AA57F5"/>
    <w:rsid w:val="00AA5F0C"/>
    <w:rsid w:val="00AA5F21"/>
    <w:rsid w:val="00AA672E"/>
    <w:rsid w:val="00AA6E04"/>
    <w:rsid w:val="00AA6EC9"/>
    <w:rsid w:val="00AA725D"/>
    <w:rsid w:val="00AA7F3F"/>
    <w:rsid w:val="00AB1D28"/>
    <w:rsid w:val="00AB2524"/>
    <w:rsid w:val="00AB2675"/>
    <w:rsid w:val="00AB2769"/>
    <w:rsid w:val="00AB2901"/>
    <w:rsid w:val="00AB290E"/>
    <w:rsid w:val="00AB33CC"/>
    <w:rsid w:val="00AB3513"/>
    <w:rsid w:val="00AB419C"/>
    <w:rsid w:val="00AB41D5"/>
    <w:rsid w:val="00AB461D"/>
    <w:rsid w:val="00AB473A"/>
    <w:rsid w:val="00AB4814"/>
    <w:rsid w:val="00AB4FEA"/>
    <w:rsid w:val="00AB539D"/>
    <w:rsid w:val="00AB5420"/>
    <w:rsid w:val="00AB562C"/>
    <w:rsid w:val="00AB6309"/>
    <w:rsid w:val="00AB6AED"/>
    <w:rsid w:val="00AB6C5F"/>
    <w:rsid w:val="00AB6E74"/>
    <w:rsid w:val="00AB6F97"/>
    <w:rsid w:val="00AB7129"/>
    <w:rsid w:val="00AB77B4"/>
    <w:rsid w:val="00AC0572"/>
    <w:rsid w:val="00AC07D7"/>
    <w:rsid w:val="00AC0807"/>
    <w:rsid w:val="00AC0E22"/>
    <w:rsid w:val="00AC16E8"/>
    <w:rsid w:val="00AC1CE6"/>
    <w:rsid w:val="00AC27A6"/>
    <w:rsid w:val="00AC30F7"/>
    <w:rsid w:val="00AC3348"/>
    <w:rsid w:val="00AC3A5A"/>
    <w:rsid w:val="00AC3F8D"/>
    <w:rsid w:val="00AC3FD6"/>
    <w:rsid w:val="00AC401E"/>
    <w:rsid w:val="00AC47D1"/>
    <w:rsid w:val="00AC4A94"/>
    <w:rsid w:val="00AC4D95"/>
    <w:rsid w:val="00AC507A"/>
    <w:rsid w:val="00AC50E8"/>
    <w:rsid w:val="00AC5454"/>
    <w:rsid w:val="00AC546C"/>
    <w:rsid w:val="00AC571F"/>
    <w:rsid w:val="00AC57CF"/>
    <w:rsid w:val="00AC5DF4"/>
    <w:rsid w:val="00AC5F72"/>
    <w:rsid w:val="00AC7258"/>
    <w:rsid w:val="00AC72EC"/>
    <w:rsid w:val="00AC7321"/>
    <w:rsid w:val="00AC7DD0"/>
    <w:rsid w:val="00AD011B"/>
    <w:rsid w:val="00AD0AEF"/>
    <w:rsid w:val="00AD0AF0"/>
    <w:rsid w:val="00AD11B7"/>
    <w:rsid w:val="00AD1A94"/>
    <w:rsid w:val="00AD1C05"/>
    <w:rsid w:val="00AD2B02"/>
    <w:rsid w:val="00AD315D"/>
    <w:rsid w:val="00AD3D6C"/>
    <w:rsid w:val="00AD4126"/>
    <w:rsid w:val="00AD4194"/>
    <w:rsid w:val="00AD421C"/>
    <w:rsid w:val="00AD44B0"/>
    <w:rsid w:val="00AD44FA"/>
    <w:rsid w:val="00AD4ED0"/>
    <w:rsid w:val="00AD4F0E"/>
    <w:rsid w:val="00AD52F2"/>
    <w:rsid w:val="00AD55A0"/>
    <w:rsid w:val="00AD5622"/>
    <w:rsid w:val="00AD5723"/>
    <w:rsid w:val="00AD675A"/>
    <w:rsid w:val="00AE0633"/>
    <w:rsid w:val="00AE070A"/>
    <w:rsid w:val="00AE0808"/>
    <w:rsid w:val="00AE0F23"/>
    <w:rsid w:val="00AE101C"/>
    <w:rsid w:val="00AE15F6"/>
    <w:rsid w:val="00AE1787"/>
    <w:rsid w:val="00AE18B9"/>
    <w:rsid w:val="00AE2365"/>
    <w:rsid w:val="00AE2587"/>
    <w:rsid w:val="00AE26E0"/>
    <w:rsid w:val="00AE2D25"/>
    <w:rsid w:val="00AE2F1D"/>
    <w:rsid w:val="00AE3351"/>
    <w:rsid w:val="00AE37E5"/>
    <w:rsid w:val="00AE45CF"/>
    <w:rsid w:val="00AE4BB3"/>
    <w:rsid w:val="00AE4D5E"/>
    <w:rsid w:val="00AE5964"/>
    <w:rsid w:val="00AE59AD"/>
    <w:rsid w:val="00AE5B6D"/>
    <w:rsid w:val="00AE5EB4"/>
    <w:rsid w:val="00AE60B4"/>
    <w:rsid w:val="00AE62C8"/>
    <w:rsid w:val="00AE62DD"/>
    <w:rsid w:val="00AE6BE7"/>
    <w:rsid w:val="00AE6FA7"/>
    <w:rsid w:val="00AE73E9"/>
    <w:rsid w:val="00AE7DF3"/>
    <w:rsid w:val="00AE7EE3"/>
    <w:rsid w:val="00AF00CA"/>
    <w:rsid w:val="00AF0303"/>
    <w:rsid w:val="00AF0C18"/>
    <w:rsid w:val="00AF2461"/>
    <w:rsid w:val="00AF2B15"/>
    <w:rsid w:val="00AF2CBD"/>
    <w:rsid w:val="00AF3B47"/>
    <w:rsid w:val="00AF3E9E"/>
    <w:rsid w:val="00AF47C5"/>
    <w:rsid w:val="00AF4A0F"/>
    <w:rsid w:val="00AF4BA0"/>
    <w:rsid w:val="00AF5398"/>
    <w:rsid w:val="00AF5CE6"/>
    <w:rsid w:val="00AF6109"/>
    <w:rsid w:val="00AF6227"/>
    <w:rsid w:val="00AF78B6"/>
    <w:rsid w:val="00AF7B23"/>
    <w:rsid w:val="00AF7FF3"/>
    <w:rsid w:val="00B00E0C"/>
    <w:rsid w:val="00B01B06"/>
    <w:rsid w:val="00B034E3"/>
    <w:rsid w:val="00B03527"/>
    <w:rsid w:val="00B0406F"/>
    <w:rsid w:val="00B049AF"/>
    <w:rsid w:val="00B05796"/>
    <w:rsid w:val="00B05837"/>
    <w:rsid w:val="00B0601B"/>
    <w:rsid w:val="00B07242"/>
    <w:rsid w:val="00B10534"/>
    <w:rsid w:val="00B108AD"/>
    <w:rsid w:val="00B10D63"/>
    <w:rsid w:val="00B1121E"/>
    <w:rsid w:val="00B113DB"/>
    <w:rsid w:val="00B11D30"/>
    <w:rsid w:val="00B11D8A"/>
    <w:rsid w:val="00B11F8B"/>
    <w:rsid w:val="00B123BF"/>
    <w:rsid w:val="00B12981"/>
    <w:rsid w:val="00B12BC8"/>
    <w:rsid w:val="00B12E8E"/>
    <w:rsid w:val="00B13B9D"/>
    <w:rsid w:val="00B13DB8"/>
    <w:rsid w:val="00B13E28"/>
    <w:rsid w:val="00B1421C"/>
    <w:rsid w:val="00B147DD"/>
    <w:rsid w:val="00B149F1"/>
    <w:rsid w:val="00B14A24"/>
    <w:rsid w:val="00B14EE4"/>
    <w:rsid w:val="00B156FD"/>
    <w:rsid w:val="00B15B7C"/>
    <w:rsid w:val="00B1687D"/>
    <w:rsid w:val="00B16A0A"/>
    <w:rsid w:val="00B16DA7"/>
    <w:rsid w:val="00B16F74"/>
    <w:rsid w:val="00B17099"/>
    <w:rsid w:val="00B176E1"/>
    <w:rsid w:val="00B176F0"/>
    <w:rsid w:val="00B177A7"/>
    <w:rsid w:val="00B179A4"/>
    <w:rsid w:val="00B17F3C"/>
    <w:rsid w:val="00B202CE"/>
    <w:rsid w:val="00B2126D"/>
    <w:rsid w:val="00B2129D"/>
    <w:rsid w:val="00B2137B"/>
    <w:rsid w:val="00B217BF"/>
    <w:rsid w:val="00B21DD9"/>
    <w:rsid w:val="00B21F61"/>
    <w:rsid w:val="00B229DD"/>
    <w:rsid w:val="00B2393E"/>
    <w:rsid w:val="00B2398A"/>
    <w:rsid w:val="00B23E9A"/>
    <w:rsid w:val="00B2400A"/>
    <w:rsid w:val="00B241C7"/>
    <w:rsid w:val="00B2421F"/>
    <w:rsid w:val="00B243E2"/>
    <w:rsid w:val="00B24F48"/>
    <w:rsid w:val="00B253D6"/>
    <w:rsid w:val="00B25A38"/>
    <w:rsid w:val="00B261F1"/>
    <w:rsid w:val="00B265BC"/>
    <w:rsid w:val="00B2691B"/>
    <w:rsid w:val="00B26F92"/>
    <w:rsid w:val="00B27931"/>
    <w:rsid w:val="00B307F0"/>
    <w:rsid w:val="00B31FB1"/>
    <w:rsid w:val="00B32A11"/>
    <w:rsid w:val="00B330EB"/>
    <w:rsid w:val="00B33892"/>
    <w:rsid w:val="00B33952"/>
    <w:rsid w:val="00B33BF1"/>
    <w:rsid w:val="00B33C5E"/>
    <w:rsid w:val="00B33D9E"/>
    <w:rsid w:val="00B342F4"/>
    <w:rsid w:val="00B34369"/>
    <w:rsid w:val="00B344E1"/>
    <w:rsid w:val="00B34DC2"/>
    <w:rsid w:val="00B352C1"/>
    <w:rsid w:val="00B3545F"/>
    <w:rsid w:val="00B360FA"/>
    <w:rsid w:val="00B361BF"/>
    <w:rsid w:val="00B36615"/>
    <w:rsid w:val="00B36BB7"/>
    <w:rsid w:val="00B373ED"/>
    <w:rsid w:val="00B378E5"/>
    <w:rsid w:val="00B4006B"/>
    <w:rsid w:val="00B40B9B"/>
    <w:rsid w:val="00B40CE3"/>
    <w:rsid w:val="00B41296"/>
    <w:rsid w:val="00B413CA"/>
    <w:rsid w:val="00B418E0"/>
    <w:rsid w:val="00B4277B"/>
    <w:rsid w:val="00B42BA8"/>
    <w:rsid w:val="00B433C6"/>
    <w:rsid w:val="00B4346D"/>
    <w:rsid w:val="00B43773"/>
    <w:rsid w:val="00B440F4"/>
    <w:rsid w:val="00B4420C"/>
    <w:rsid w:val="00B44549"/>
    <w:rsid w:val="00B447A5"/>
    <w:rsid w:val="00B456F8"/>
    <w:rsid w:val="00B45890"/>
    <w:rsid w:val="00B464A6"/>
    <w:rsid w:val="00B4654C"/>
    <w:rsid w:val="00B468E5"/>
    <w:rsid w:val="00B47293"/>
    <w:rsid w:val="00B4782F"/>
    <w:rsid w:val="00B47BB8"/>
    <w:rsid w:val="00B47BCC"/>
    <w:rsid w:val="00B47E30"/>
    <w:rsid w:val="00B50088"/>
    <w:rsid w:val="00B50E50"/>
    <w:rsid w:val="00B52120"/>
    <w:rsid w:val="00B52A64"/>
    <w:rsid w:val="00B5390C"/>
    <w:rsid w:val="00B53EA7"/>
    <w:rsid w:val="00B53EEB"/>
    <w:rsid w:val="00B543A5"/>
    <w:rsid w:val="00B54769"/>
    <w:rsid w:val="00B547DD"/>
    <w:rsid w:val="00B54A29"/>
    <w:rsid w:val="00B54ABC"/>
    <w:rsid w:val="00B54DDE"/>
    <w:rsid w:val="00B5561D"/>
    <w:rsid w:val="00B556D5"/>
    <w:rsid w:val="00B55EAD"/>
    <w:rsid w:val="00B563EE"/>
    <w:rsid w:val="00B56FBE"/>
    <w:rsid w:val="00B57131"/>
    <w:rsid w:val="00B57AF9"/>
    <w:rsid w:val="00B57B59"/>
    <w:rsid w:val="00B57C60"/>
    <w:rsid w:val="00B57C6C"/>
    <w:rsid w:val="00B6022A"/>
    <w:rsid w:val="00B6093F"/>
    <w:rsid w:val="00B60A9D"/>
    <w:rsid w:val="00B60ACF"/>
    <w:rsid w:val="00B60AF8"/>
    <w:rsid w:val="00B60E2E"/>
    <w:rsid w:val="00B60F05"/>
    <w:rsid w:val="00B623FA"/>
    <w:rsid w:val="00B626B5"/>
    <w:rsid w:val="00B62B58"/>
    <w:rsid w:val="00B62D0C"/>
    <w:rsid w:val="00B62E11"/>
    <w:rsid w:val="00B62FF0"/>
    <w:rsid w:val="00B630A3"/>
    <w:rsid w:val="00B63AD0"/>
    <w:rsid w:val="00B63EC0"/>
    <w:rsid w:val="00B6411D"/>
    <w:rsid w:val="00B646A8"/>
    <w:rsid w:val="00B649A0"/>
    <w:rsid w:val="00B65092"/>
    <w:rsid w:val="00B65149"/>
    <w:rsid w:val="00B6547D"/>
    <w:rsid w:val="00B65826"/>
    <w:rsid w:val="00B65931"/>
    <w:rsid w:val="00B65D6C"/>
    <w:rsid w:val="00B66567"/>
    <w:rsid w:val="00B66F52"/>
    <w:rsid w:val="00B66FE5"/>
    <w:rsid w:val="00B67A27"/>
    <w:rsid w:val="00B67AD6"/>
    <w:rsid w:val="00B705EF"/>
    <w:rsid w:val="00B711C6"/>
    <w:rsid w:val="00B715D8"/>
    <w:rsid w:val="00B71C00"/>
    <w:rsid w:val="00B721DE"/>
    <w:rsid w:val="00B72880"/>
    <w:rsid w:val="00B72DD8"/>
    <w:rsid w:val="00B730E9"/>
    <w:rsid w:val="00B73462"/>
    <w:rsid w:val="00B73A31"/>
    <w:rsid w:val="00B73CBC"/>
    <w:rsid w:val="00B7462E"/>
    <w:rsid w:val="00B749AC"/>
    <w:rsid w:val="00B7518D"/>
    <w:rsid w:val="00B758BF"/>
    <w:rsid w:val="00B75E28"/>
    <w:rsid w:val="00B75E5B"/>
    <w:rsid w:val="00B762BD"/>
    <w:rsid w:val="00B765EC"/>
    <w:rsid w:val="00B76685"/>
    <w:rsid w:val="00B768AA"/>
    <w:rsid w:val="00B775CA"/>
    <w:rsid w:val="00B77CF2"/>
    <w:rsid w:val="00B77EC8"/>
    <w:rsid w:val="00B807C3"/>
    <w:rsid w:val="00B80C56"/>
    <w:rsid w:val="00B80DE0"/>
    <w:rsid w:val="00B80F1F"/>
    <w:rsid w:val="00B8101A"/>
    <w:rsid w:val="00B810F3"/>
    <w:rsid w:val="00B816E7"/>
    <w:rsid w:val="00B81845"/>
    <w:rsid w:val="00B81FE8"/>
    <w:rsid w:val="00B81FF7"/>
    <w:rsid w:val="00B823EB"/>
    <w:rsid w:val="00B827A6"/>
    <w:rsid w:val="00B82937"/>
    <w:rsid w:val="00B831CE"/>
    <w:rsid w:val="00B83709"/>
    <w:rsid w:val="00B843BB"/>
    <w:rsid w:val="00B843CF"/>
    <w:rsid w:val="00B8482B"/>
    <w:rsid w:val="00B84885"/>
    <w:rsid w:val="00B848CA"/>
    <w:rsid w:val="00B8521D"/>
    <w:rsid w:val="00B8608F"/>
    <w:rsid w:val="00B86677"/>
    <w:rsid w:val="00B86862"/>
    <w:rsid w:val="00B86C0D"/>
    <w:rsid w:val="00B86E00"/>
    <w:rsid w:val="00B87131"/>
    <w:rsid w:val="00B87317"/>
    <w:rsid w:val="00B87353"/>
    <w:rsid w:val="00B904D0"/>
    <w:rsid w:val="00B9059F"/>
    <w:rsid w:val="00B90838"/>
    <w:rsid w:val="00B909D4"/>
    <w:rsid w:val="00B90C9C"/>
    <w:rsid w:val="00B90F35"/>
    <w:rsid w:val="00B9164D"/>
    <w:rsid w:val="00B91F1E"/>
    <w:rsid w:val="00B92466"/>
    <w:rsid w:val="00B92587"/>
    <w:rsid w:val="00B93444"/>
    <w:rsid w:val="00B93625"/>
    <w:rsid w:val="00B93745"/>
    <w:rsid w:val="00B939B1"/>
    <w:rsid w:val="00B959FE"/>
    <w:rsid w:val="00B96149"/>
    <w:rsid w:val="00B9615F"/>
    <w:rsid w:val="00B965AA"/>
    <w:rsid w:val="00B967E1"/>
    <w:rsid w:val="00B96824"/>
    <w:rsid w:val="00B969BF"/>
    <w:rsid w:val="00B96D40"/>
    <w:rsid w:val="00B96F6E"/>
    <w:rsid w:val="00B97386"/>
    <w:rsid w:val="00B9743D"/>
    <w:rsid w:val="00B974DC"/>
    <w:rsid w:val="00BA00E1"/>
    <w:rsid w:val="00BA0CD5"/>
    <w:rsid w:val="00BA1449"/>
    <w:rsid w:val="00BA1817"/>
    <w:rsid w:val="00BA1F9F"/>
    <w:rsid w:val="00BA224E"/>
    <w:rsid w:val="00BA263B"/>
    <w:rsid w:val="00BA27A7"/>
    <w:rsid w:val="00BA2B27"/>
    <w:rsid w:val="00BA2ECA"/>
    <w:rsid w:val="00BA3C37"/>
    <w:rsid w:val="00BA42B2"/>
    <w:rsid w:val="00BA486E"/>
    <w:rsid w:val="00BA4F44"/>
    <w:rsid w:val="00BA53E1"/>
    <w:rsid w:val="00BA57EF"/>
    <w:rsid w:val="00BA5864"/>
    <w:rsid w:val="00BA58D4"/>
    <w:rsid w:val="00BA5B9E"/>
    <w:rsid w:val="00BA6059"/>
    <w:rsid w:val="00BA614A"/>
    <w:rsid w:val="00BA67F4"/>
    <w:rsid w:val="00BA7141"/>
    <w:rsid w:val="00BA7292"/>
    <w:rsid w:val="00BA7356"/>
    <w:rsid w:val="00BA7622"/>
    <w:rsid w:val="00BA7C9A"/>
    <w:rsid w:val="00BB0E5E"/>
    <w:rsid w:val="00BB114B"/>
    <w:rsid w:val="00BB11D5"/>
    <w:rsid w:val="00BB1AFA"/>
    <w:rsid w:val="00BB1E05"/>
    <w:rsid w:val="00BB211E"/>
    <w:rsid w:val="00BB23D2"/>
    <w:rsid w:val="00BB2713"/>
    <w:rsid w:val="00BB3E4E"/>
    <w:rsid w:val="00BB43C9"/>
    <w:rsid w:val="00BB4439"/>
    <w:rsid w:val="00BB49D5"/>
    <w:rsid w:val="00BB4DCC"/>
    <w:rsid w:val="00BB4FB5"/>
    <w:rsid w:val="00BB56F3"/>
    <w:rsid w:val="00BB5EBA"/>
    <w:rsid w:val="00BB5F8F"/>
    <w:rsid w:val="00BB649B"/>
    <w:rsid w:val="00BB657A"/>
    <w:rsid w:val="00BB6CAF"/>
    <w:rsid w:val="00BB70C7"/>
    <w:rsid w:val="00BB7F2A"/>
    <w:rsid w:val="00BC0ABF"/>
    <w:rsid w:val="00BC125D"/>
    <w:rsid w:val="00BC1A4E"/>
    <w:rsid w:val="00BC1C16"/>
    <w:rsid w:val="00BC2E29"/>
    <w:rsid w:val="00BC2E4C"/>
    <w:rsid w:val="00BC3473"/>
    <w:rsid w:val="00BC39C0"/>
    <w:rsid w:val="00BC4037"/>
    <w:rsid w:val="00BC41EB"/>
    <w:rsid w:val="00BC44D8"/>
    <w:rsid w:val="00BC4F0C"/>
    <w:rsid w:val="00BC5865"/>
    <w:rsid w:val="00BC5DC7"/>
    <w:rsid w:val="00BC61F3"/>
    <w:rsid w:val="00BC64D4"/>
    <w:rsid w:val="00BC6918"/>
    <w:rsid w:val="00BC6B8B"/>
    <w:rsid w:val="00BC73D8"/>
    <w:rsid w:val="00BD08B5"/>
    <w:rsid w:val="00BD0B5C"/>
    <w:rsid w:val="00BD0C4D"/>
    <w:rsid w:val="00BD0E85"/>
    <w:rsid w:val="00BD16E7"/>
    <w:rsid w:val="00BD2E50"/>
    <w:rsid w:val="00BD3137"/>
    <w:rsid w:val="00BD40BB"/>
    <w:rsid w:val="00BD4625"/>
    <w:rsid w:val="00BD4B4C"/>
    <w:rsid w:val="00BD4B5A"/>
    <w:rsid w:val="00BD50FD"/>
    <w:rsid w:val="00BD52D7"/>
    <w:rsid w:val="00BD59F1"/>
    <w:rsid w:val="00BD5AD2"/>
    <w:rsid w:val="00BD5DEA"/>
    <w:rsid w:val="00BD69A7"/>
    <w:rsid w:val="00BD7462"/>
    <w:rsid w:val="00BD760B"/>
    <w:rsid w:val="00BE0206"/>
    <w:rsid w:val="00BE1282"/>
    <w:rsid w:val="00BE144A"/>
    <w:rsid w:val="00BE1B79"/>
    <w:rsid w:val="00BE1DE7"/>
    <w:rsid w:val="00BE2267"/>
    <w:rsid w:val="00BE22F3"/>
    <w:rsid w:val="00BE3A6A"/>
    <w:rsid w:val="00BE3E59"/>
    <w:rsid w:val="00BE402E"/>
    <w:rsid w:val="00BE444A"/>
    <w:rsid w:val="00BE46DA"/>
    <w:rsid w:val="00BE4D3A"/>
    <w:rsid w:val="00BE4E02"/>
    <w:rsid w:val="00BE5164"/>
    <w:rsid w:val="00BE540F"/>
    <w:rsid w:val="00BE57BD"/>
    <w:rsid w:val="00BE5B52"/>
    <w:rsid w:val="00BE6C51"/>
    <w:rsid w:val="00BE6ECE"/>
    <w:rsid w:val="00BE7488"/>
    <w:rsid w:val="00BE7A33"/>
    <w:rsid w:val="00BE7B06"/>
    <w:rsid w:val="00BE7B8D"/>
    <w:rsid w:val="00BF0993"/>
    <w:rsid w:val="00BF0B8B"/>
    <w:rsid w:val="00BF10A9"/>
    <w:rsid w:val="00BF149E"/>
    <w:rsid w:val="00BF14D2"/>
    <w:rsid w:val="00BF1703"/>
    <w:rsid w:val="00BF1BD5"/>
    <w:rsid w:val="00BF225D"/>
    <w:rsid w:val="00BF231C"/>
    <w:rsid w:val="00BF2769"/>
    <w:rsid w:val="00BF29C7"/>
    <w:rsid w:val="00BF33F8"/>
    <w:rsid w:val="00BF3783"/>
    <w:rsid w:val="00BF3C15"/>
    <w:rsid w:val="00BF41AD"/>
    <w:rsid w:val="00BF4475"/>
    <w:rsid w:val="00BF464D"/>
    <w:rsid w:val="00BF51E5"/>
    <w:rsid w:val="00BF548B"/>
    <w:rsid w:val="00BF5A4E"/>
    <w:rsid w:val="00BF6725"/>
    <w:rsid w:val="00BF74A6"/>
    <w:rsid w:val="00C00046"/>
    <w:rsid w:val="00C005DB"/>
    <w:rsid w:val="00C0086B"/>
    <w:rsid w:val="00C00D75"/>
    <w:rsid w:val="00C0120D"/>
    <w:rsid w:val="00C013AD"/>
    <w:rsid w:val="00C018E1"/>
    <w:rsid w:val="00C01BB9"/>
    <w:rsid w:val="00C021C7"/>
    <w:rsid w:val="00C023BC"/>
    <w:rsid w:val="00C02776"/>
    <w:rsid w:val="00C028D9"/>
    <w:rsid w:val="00C02D05"/>
    <w:rsid w:val="00C03B67"/>
    <w:rsid w:val="00C03CE7"/>
    <w:rsid w:val="00C04424"/>
    <w:rsid w:val="00C04904"/>
    <w:rsid w:val="00C0519B"/>
    <w:rsid w:val="00C056B3"/>
    <w:rsid w:val="00C05D9D"/>
    <w:rsid w:val="00C05ECC"/>
    <w:rsid w:val="00C06265"/>
    <w:rsid w:val="00C069C4"/>
    <w:rsid w:val="00C06BDF"/>
    <w:rsid w:val="00C103E5"/>
    <w:rsid w:val="00C10573"/>
    <w:rsid w:val="00C1082D"/>
    <w:rsid w:val="00C1093F"/>
    <w:rsid w:val="00C10A87"/>
    <w:rsid w:val="00C117F4"/>
    <w:rsid w:val="00C11855"/>
    <w:rsid w:val="00C1221E"/>
    <w:rsid w:val="00C12A81"/>
    <w:rsid w:val="00C12AB3"/>
    <w:rsid w:val="00C12B6D"/>
    <w:rsid w:val="00C12C24"/>
    <w:rsid w:val="00C12C56"/>
    <w:rsid w:val="00C12CF0"/>
    <w:rsid w:val="00C13319"/>
    <w:rsid w:val="00C136AE"/>
    <w:rsid w:val="00C13EE9"/>
    <w:rsid w:val="00C148A6"/>
    <w:rsid w:val="00C14AF4"/>
    <w:rsid w:val="00C152B8"/>
    <w:rsid w:val="00C15C0D"/>
    <w:rsid w:val="00C16606"/>
    <w:rsid w:val="00C16D65"/>
    <w:rsid w:val="00C17A3F"/>
    <w:rsid w:val="00C201EF"/>
    <w:rsid w:val="00C20636"/>
    <w:rsid w:val="00C20D20"/>
    <w:rsid w:val="00C2102F"/>
    <w:rsid w:val="00C21257"/>
    <w:rsid w:val="00C2138D"/>
    <w:rsid w:val="00C213DF"/>
    <w:rsid w:val="00C21540"/>
    <w:rsid w:val="00C21906"/>
    <w:rsid w:val="00C21A85"/>
    <w:rsid w:val="00C21BFA"/>
    <w:rsid w:val="00C21F17"/>
    <w:rsid w:val="00C22148"/>
    <w:rsid w:val="00C2234B"/>
    <w:rsid w:val="00C23FB9"/>
    <w:rsid w:val="00C242D0"/>
    <w:rsid w:val="00C24762"/>
    <w:rsid w:val="00C24C2B"/>
    <w:rsid w:val="00C24C8D"/>
    <w:rsid w:val="00C25739"/>
    <w:rsid w:val="00C25FE2"/>
    <w:rsid w:val="00C26B53"/>
    <w:rsid w:val="00C279B2"/>
    <w:rsid w:val="00C3002D"/>
    <w:rsid w:val="00C30931"/>
    <w:rsid w:val="00C30AC9"/>
    <w:rsid w:val="00C3119B"/>
    <w:rsid w:val="00C31AAA"/>
    <w:rsid w:val="00C31CD5"/>
    <w:rsid w:val="00C31CDC"/>
    <w:rsid w:val="00C32CF5"/>
    <w:rsid w:val="00C334BF"/>
    <w:rsid w:val="00C335C1"/>
    <w:rsid w:val="00C33C18"/>
    <w:rsid w:val="00C33E50"/>
    <w:rsid w:val="00C33EAA"/>
    <w:rsid w:val="00C344CA"/>
    <w:rsid w:val="00C34674"/>
    <w:rsid w:val="00C34C20"/>
    <w:rsid w:val="00C34D6F"/>
    <w:rsid w:val="00C35874"/>
    <w:rsid w:val="00C35A3E"/>
    <w:rsid w:val="00C35C9D"/>
    <w:rsid w:val="00C36364"/>
    <w:rsid w:val="00C368F9"/>
    <w:rsid w:val="00C37364"/>
    <w:rsid w:val="00C37C12"/>
    <w:rsid w:val="00C40517"/>
    <w:rsid w:val="00C40993"/>
    <w:rsid w:val="00C42130"/>
    <w:rsid w:val="00C423A4"/>
    <w:rsid w:val="00C431C4"/>
    <w:rsid w:val="00C43817"/>
    <w:rsid w:val="00C44114"/>
    <w:rsid w:val="00C44BF5"/>
    <w:rsid w:val="00C45061"/>
    <w:rsid w:val="00C45091"/>
    <w:rsid w:val="00C450D7"/>
    <w:rsid w:val="00C454BF"/>
    <w:rsid w:val="00C4561C"/>
    <w:rsid w:val="00C4569E"/>
    <w:rsid w:val="00C4595A"/>
    <w:rsid w:val="00C460E4"/>
    <w:rsid w:val="00C479E6"/>
    <w:rsid w:val="00C47DDF"/>
    <w:rsid w:val="00C50292"/>
    <w:rsid w:val="00C50583"/>
    <w:rsid w:val="00C50ED6"/>
    <w:rsid w:val="00C50FD5"/>
    <w:rsid w:val="00C512BE"/>
    <w:rsid w:val="00C51450"/>
    <w:rsid w:val="00C51C72"/>
    <w:rsid w:val="00C52126"/>
    <w:rsid w:val="00C521D6"/>
    <w:rsid w:val="00C533D1"/>
    <w:rsid w:val="00C53425"/>
    <w:rsid w:val="00C53A26"/>
    <w:rsid w:val="00C53BC9"/>
    <w:rsid w:val="00C53BCB"/>
    <w:rsid w:val="00C53CDE"/>
    <w:rsid w:val="00C53FA0"/>
    <w:rsid w:val="00C5506B"/>
    <w:rsid w:val="00C55232"/>
    <w:rsid w:val="00C553A4"/>
    <w:rsid w:val="00C55A06"/>
    <w:rsid w:val="00C55D03"/>
    <w:rsid w:val="00C55D2A"/>
    <w:rsid w:val="00C56593"/>
    <w:rsid w:val="00C5697A"/>
    <w:rsid w:val="00C56E66"/>
    <w:rsid w:val="00C57050"/>
    <w:rsid w:val="00C60135"/>
    <w:rsid w:val="00C601BC"/>
    <w:rsid w:val="00C60286"/>
    <w:rsid w:val="00C60488"/>
    <w:rsid w:val="00C60E5C"/>
    <w:rsid w:val="00C6115A"/>
    <w:rsid w:val="00C620C4"/>
    <w:rsid w:val="00C6302A"/>
    <w:rsid w:val="00C63150"/>
    <w:rsid w:val="00C6329F"/>
    <w:rsid w:val="00C63340"/>
    <w:rsid w:val="00C63744"/>
    <w:rsid w:val="00C6378C"/>
    <w:rsid w:val="00C63E83"/>
    <w:rsid w:val="00C643F9"/>
    <w:rsid w:val="00C649F6"/>
    <w:rsid w:val="00C64BC5"/>
    <w:rsid w:val="00C64E95"/>
    <w:rsid w:val="00C65191"/>
    <w:rsid w:val="00C656D5"/>
    <w:rsid w:val="00C658E6"/>
    <w:rsid w:val="00C65A61"/>
    <w:rsid w:val="00C65B8B"/>
    <w:rsid w:val="00C65DCE"/>
    <w:rsid w:val="00C663E6"/>
    <w:rsid w:val="00C6682B"/>
    <w:rsid w:val="00C6765B"/>
    <w:rsid w:val="00C67B50"/>
    <w:rsid w:val="00C70C84"/>
    <w:rsid w:val="00C71372"/>
    <w:rsid w:val="00C715E3"/>
    <w:rsid w:val="00C71D32"/>
    <w:rsid w:val="00C71FDD"/>
    <w:rsid w:val="00C723FC"/>
    <w:rsid w:val="00C72410"/>
    <w:rsid w:val="00C7287F"/>
    <w:rsid w:val="00C733A3"/>
    <w:rsid w:val="00C736AD"/>
    <w:rsid w:val="00C73871"/>
    <w:rsid w:val="00C742C9"/>
    <w:rsid w:val="00C74304"/>
    <w:rsid w:val="00C7441D"/>
    <w:rsid w:val="00C746A8"/>
    <w:rsid w:val="00C74D53"/>
    <w:rsid w:val="00C74D79"/>
    <w:rsid w:val="00C75040"/>
    <w:rsid w:val="00C75C4C"/>
    <w:rsid w:val="00C7672C"/>
    <w:rsid w:val="00C76C27"/>
    <w:rsid w:val="00C76E0A"/>
    <w:rsid w:val="00C775FC"/>
    <w:rsid w:val="00C778DE"/>
    <w:rsid w:val="00C77D89"/>
    <w:rsid w:val="00C80A49"/>
    <w:rsid w:val="00C80CB8"/>
    <w:rsid w:val="00C80E12"/>
    <w:rsid w:val="00C8172C"/>
    <w:rsid w:val="00C819F8"/>
    <w:rsid w:val="00C81A6A"/>
    <w:rsid w:val="00C81A89"/>
    <w:rsid w:val="00C8248C"/>
    <w:rsid w:val="00C83162"/>
    <w:rsid w:val="00C835C1"/>
    <w:rsid w:val="00C83B52"/>
    <w:rsid w:val="00C84E33"/>
    <w:rsid w:val="00C850C8"/>
    <w:rsid w:val="00C864C7"/>
    <w:rsid w:val="00C86A7E"/>
    <w:rsid w:val="00C86D6F"/>
    <w:rsid w:val="00C86DB5"/>
    <w:rsid w:val="00C86DDB"/>
    <w:rsid w:val="00C86FD6"/>
    <w:rsid w:val="00C90065"/>
    <w:rsid w:val="00C904BD"/>
    <w:rsid w:val="00C905FC"/>
    <w:rsid w:val="00C906AB"/>
    <w:rsid w:val="00C90E9F"/>
    <w:rsid w:val="00C91579"/>
    <w:rsid w:val="00C91783"/>
    <w:rsid w:val="00C91963"/>
    <w:rsid w:val="00C92436"/>
    <w:rsid w:val="00C928E2"/>
    <w:rsid w:val="00C92D03"/>
    <w:rsid w:val="00C9319C"/>
    <w:rsid w:val="00C93589"/>
    <w:rsid w:val="00C9394B"/>
    <w:rsid w:val="00C93D52"/>
    <w:rsid w:val="00C9435D"/>
    <w:rsid w:val="00C94463"/>
    <w:rsid w:val="00C947F1"/>
    <w:rsid w:val="00C94DF2"/>
    <w:rsid w:val="00C9511E"/>
    <w:rsid w:val="00C95365"/>
    <w:rsid w:val="00C95E1D"/>
    <w:rsid w:val="00C95E51"/>
    <w:rsid w:val="00C9623E"/>
    <w:rsid w:val="00C96741"/>
    <w:rsid w:val="00C96EE7"/>
    <w:rsid w:val="00C96F47"/>
    <w:rsid w:val="00CA0F1B"/>
    <w:rsid w:val="00CA1329"/>
    <w:rsid w:val="00CA1692"/>
    <w:rsid w:val="00CA178F"/>
    <w:rsid w:val="00CA1944"/>
    <w:rsid w:val="00CA23C9"/>
    <w:rsid w:val="00CA2D1B"/>
    <w:rsid w:val="00CA302B"/>
    <w:rsid w:val="00CA3508"/>
    <w:rsid w:val="00CA36DC"/>
    <w:rsid w:val="00CA375D"/>
    <w:rsid w:val="00CA5C70"/>
    <w:rsid w:val="00CA5DAE"/>
    <w:rsid w:val="00CA651D"/>
    <w:rsid w:val="00CA662A"/>
    <w:rsid w:val="00CA68C5"/>
    <w:rsid w:val="00CA71BE"/>
    <w:rsid w:val="00CA7929"/>
    <w:rsid w:val="00CA795A"/>
    <w:rsid w:val="00CA79B4"/>
    <w:rsid w:val="00CA7AFD"/>
    <w:rsid w:val="00CA7C3C"/>
    <w:rsid w:val="00CA7F73"/>
    <w:rsid w:val="00CB0189"/>
    <w:rsid w:val="00CB0AD0"/>
    <w:rsid w:val="00CB0B73"/>
    <w:rsid w:val="00CB0BA2"/>
    <w:rsid w:val="00CB0C7C"/>
    <w:rsid w:val="00CB0EBF"/>
    <w:rsid w:val="00CB11B2"/>
    <w:rsid w:val="00CB1A42"/>
    <w:rsid w:val="00CB1B0C"/>
    <w:rsid w:val="00CB2008"/>
    <w:rsid w:val="00CB2C0B"/>
    <w:rsid w:val="00CB3EF4"/>
    <w:rsid w:val="00CB47B8"/>
    <w:rsid w:val="00CB4D56"/>
    <w:rsid w:val="00CB4E13"/>
    <w:rsid w:val="00CB4F0B"/>
    <w:rsid w:val="00CB517D"/>
    <w:rsid w:val="00CB557E"/>
    <w:rsid w:val="00CB56D2"/>
    <w:rsid w:val="00CB59E0"/>
    <w:rsid w:val="00CB5F18"/>
    <w:rsid w:val="00CB6BC4"/>
    <w:rsid w:val="00CB6BE6"/>
    <w:rsid w:val="00CB6D46"/>
    <w:rsid w:val="00CC01F8"/>
    <w:rsid w:val="00CC038D"/>
    <w:rsid w:val="00CC0501"/>
    <w:rsid w:val="00CC06A6"/>
    <w:rsid w:val="00CC08DB"/>
    <w:rsid w:val="00CC1050"/>
    <w:rsid w:val="00CC1569"/>
    <w:rsid w:val="00CC220C"/>
    <w:rsid w:val="00CC2231"/>
    <w:rsid w:val="00CC27DB"/>
    <w:rsid w:val="00CC28CB"/>
    <w:rsid w:val="00CC2D40"/>
    <w:rsid w:val="00CC379F"/>
    <w:rsid w:val="00CC39FF"/>
    <w:rsid w:val="00CC3C2F"/>
    <w:rsid w:val="00CC4874"/>
    <w:rsid w:val="00CC4AC8"/>
    <w:rsid w:val="00CC4EC5"/>
    <w:rsid w:val="00CC505C"/>
    <w:rsid w:val="00CC50D8"/>
    <w:rsid w:val="00CC5233"/>
    <w:rsid w:val="00CC562B"/>
    <w:rsid w:val="00CC56F5"/>
    <w:rsid w:val="00CC57E2"/>
    <w:rsid w:val="00CC5DE6"/>
    <w:rsid w:val="00CC6278"/>
    <w:rsid w:val="00CC6E26"/>
    <w:rsid w:val="00CC6E4E"/>
    <w:rsid w:val="00CC6FE8"/>
    <w:rsid w:val="00CC7202"/>
    <w:rsid w:val="00CC7A1D"/>
    <w:rsid w:val="00CD053A"/>
    <w:rsid w:val="00CD064F"/>
    <w:rsid w:val="00CD14C1"/>
    <w:rsid w:val="00CD1DD6"/>
    <w:rsid w:val="00CD2578"/>
    <w:rsid w:val="00CD2808"/>
    <w:rsid w:val="00CD28BF"/>
    <w:rsid w:val="00CD2922"/>
    <w:rsid w:val="00CD2A6E"/>
    <w:rsid w:val="00CD2CD2"/>
    <w:rsid w:val="00CD3567"/>
    <w:rsid w:val="00CD38E7"/>
    <w:rsid w:val="00CD3CBA"/>
    <w:rsid w:val="00CD4092"/>
    <w:rsid w:val="00CD4424"/>
    <w:rsid w:val="00CD4496"/>
    <w:rsid w:val="00CD47E0"/>
    <w:rsid w:val="00CD4A20"/>
    <w:rsid w:val="00CD50A1"/>
    <w:rsid w:val="00CD519E"/>
    <w:rsid w:val="00CD7CBE"/>
    <w:rsid w:val="00CE043E"/>
    <w:rsid w:val="00CE0842"/>
    <w:rsid w:val="00CE0C4F"/>
    <w:rsid w:val="00CE102B"/>
    <w:rsid w:val="00CE10D5"/>
    <w:rsid w:val="00CE22AC"/>
    <w:rsid w:val="00CE30EA"/>
    <w:rsid w:val="00CE35DD"/>
    <w:rsid w:val="00CE3764"/>
    <w:rsid w:val="00CE3819"/>
    <w:rsid w:val="00CE5A86"/>
    <w:rsid w:val="00CE5CE5"/>
    <w:rsid w:val="00CE5E8B"/>
    <w:rsid w:val="00CE64A9"/>
    <w:rsid w:val="00CE654A"/>
    <w:rsid w:val="00CE6788"/>
    <w:rsid w:val="00CE6A40"/>
    <w:rsid w:val="00CE7204"/>
    <w:rsid w:val="00CE753F"/>
    <w:rsid w:val="00CF048A"/>
    <w:rsid w:val="00CF04F9"/>
    <w:rsid w:val="00CF0C99"/>
    <w:rsid w:val="00CF0E3C"/>
    <w:rsid w:val="00CF155A"/>
    <w:rsid w:val="00CF2947"/>
    <w:rsid w:val="00CF2DB5"/>
    <w:rsid w:val="00CF34D9"/>
    <w:rsid w:val="00CF37E4"/>
    <w:rsid w:val="00CF3845"/>
    <w:rsid w:val="00CF3B0A"/>
    <w:rsid w:val="00CF3C85"/>
    <w:rsid w:val="00CF49D4"/>
    <w:rsid w:val="00CF53C5"/>
    <w:rsid w:val="00CF55A8"/>
    <w:rsid w:val="00CF55B0"/>
    <w:rsid w:val="00CF5827"/>
    <w:rsid w:val="00CF5E10"/>
    <w:rsid w:val="00CF62F4"/>
    <w:rsid w:val="00CF6485"/>
    <w:rsid w:val="00CF686F"/>
    <w:rsid w:val="00CF6E4C"/>
    <w:rsid w:val="00CF6E60"/>
    <w:rsid w:val="00CF6E6A"/>
    <w:rsid w:val="00CF7123"/>
    <w:rsid w:val="00CF72AB"/>
    <w:rsid w:val="00CF7BCA"/>
    <w:rsid w:val="00CF7F7D"/>
    <w:rsid w:val="00D0029B"/>
    <w:rsid w:val="00D008FD"/>
    <w:rsid w:val="00D01B8B"/>
    <w:rsid w:val="00D01BC7"/>
    <w:rsid w:val="00D01D46"/>
    <w:rsid w:val="00D01F2E"/>
    <w:rsid w:val="00D02038"/>
    <w:rsid w:val="00D02294"/>
    <w:rsid w:val="00D0299A"/>
    <w:rsid w:val="00D02F64"/>
    <w:rsid w:val="00D0320B"/>
    <w:rsid w:val="00D0321C"/>
    <w:rsid w:val="00D0325E"/>
    <w:rsid w:val="00D034C6"/>
    <w:rsid w:val="00D035EC"/>
    <w:rsid w:val="00D03A75"/>
    <w:rsid w:val="00D03CB0"/>
    <w:rsid w:val="00D04502"/>
    <w:rsid w:val="00D045FD"/>
    <w:rsid w:val="00D0487C"/>
    <w:rsid w:val="00D04B08"/>
    <w:rsid w:val="00D04CA3"/>
    <w:rsid w:val="00D05FAE"/>
    <w:rsid w:val="00D06170"/>
    <w:rsid w:val="00D062E1"/>
    <w:rsid w:val="00D06400"/>
    <w:rsid w:val="00D06AB1"/>
    <w:rsid w:val="00D072ED"/>
    <w:rsid w:val="00D07506"/>
    <w:rsid w:val="00D07572"/>
    <w:rsid w:val="00D078B0"/>
    <w:rsid w:val="00D07A16"/>
    <w:rsid w:val="00D07BD3"/>
    <w:rsid w:val="00D07CD8"/>
    <w:rsid w:val="00D07D84"/>
    <w:rsid w:val="00D1018D"/>
    <w:rsid w:val="00D1067E"/>
    <w:rsid w:val="00D108C9"/>
    <w:rsid w:val="00D10B80"/>
    <w:rsid w:val="00D10F50"/>
    <w:rsid w:val="00D11272"/>
    <w:rsid w:val="00D116CA"/>
    <w:rsid w:val="00D11B41"/>
    <w:rsid w:val="00D11BF6"/>
    <w:rsid w:val="00D11F1F"/>
    <w:rsid w:val="00D126F5"/>
    <w:rsid w:val="00D12A3C"/>
    <w:rsid w:val="00D12DD3"/>
    <w:rsid w:val="00D12E09"/>
    <w:rsid w:val="00D12E38"/>
    <w:rsid w:val="00D13C57"/>
    <w:rsid w:val="00D143FC"/>
    <w:rsid w:val="00D14446"/>
    <w:rsid w:val="00D147FE"/>
    <w:rsid w:val="00D1489E"/>
    <w:rsid w:val="00D15571"/>
    <w:rsid w:val="00D160A7"/>
    <w:rsid w:val="00D16550"/>
    <w:rsid w:val="00D1670C"/>
    <w:rsid w:val="00D174CF"/>
    <w:rsid w:val="00D1766E"/>
    <w:rsid w:val="00D17FCE"/>
    <w:rsid w:val="00D202FD"/>
    <w:rsid w:val="00D2049B"/>
    <w:rsid w:val="00D20737"/>
    <w:rsid w:val="00D20867"/>
    <w:rsid w:val="00D21138"/>
    <w:rsid w:val="00D2141A"/>
    <w:rsid w:val="00D214B2"/>
    <w:rsid w:val="00D21E81"/>
    <w:rsid w:val="00D222CA"/>
    <w:rsid w:val="00D223DE"/>
    <w:rsid w:val="00D22BE1"/>
    <w:rsid w:val="00D23917"/>
    <w:rsid w:val="00D240ED"/>
    <w:rsid w:val="00D248B3"/>
    <w:rsid w:val="00D25E37"/>
    <w:rsid w:val="00D2661A"/>
    <w:rsid w:val="00D268B8"/>
    <w:rsid w:val="00D26FC9"/>
    <w:rsid w:val="00D271E4"/>
    <w:rsid w:val="00D27582"/>
    <w:rsid w:val="00D27D02"/>
    <w:rsid w:val="00D27EC4"/>
    <w:rsid w:val="00D27F92"/>
    <w:rsid w:val="00D30463"/>
    <w:rsid w:val="00D3159C"/>
    <w:rsid w:val="00D3188C"/>
    <w:rsid w:val="00D319EA"/>
    <w:rsid w:val="00D31D93"/>
    <w:rsid w:val="00D31FC1"/>
    <w:rsid w:val="00D32300"/>
    <w:rsid w:val="00D32304"/>
    <w:rsid w:val="00D32719"/>
    <w:rsid w:val="00D33030"/>
    <w:rsid w:val="00D33333"/>
    <w:rsid w:val="00D33457"/>
    <w:rsid w:val="00D3376C"/>
    <w:rsid w:val="00D34588"/>
    <w:rsid w:val="00D352A2"/>
    <w:rsid w:val="00D353F2"/>
    <w:rsid w:val="00D367FE"/>
    <w:rsid w:val="00D36C1B"/>
    <w:rsid w:val="00D370E4"/>
    <w:rsid w:val="00D3768F"/>
    <w:rsid w:val="00D376E8"/>
    <w:rsid w:val="00D37B6D"/>
    <w:rsid w:val="00D4073B"/>
    <w:rsid w:val="00D40E20"/>
    <w:rsid w:val="00D4162B"/>
    <w:rsid w:val="00D4175F"/>
    <w:rsid w:val="00D4260A"/>
    <w:rsid w:val="00D42981"/>
    <w:rsid w:val="00D4346F"/>
    <w:rsid w:val="00D43683"/>
    <w:rsid w:val="00D44015"/>
    <w:rsid w:val="00D45066"/>
    <w:rsid w:val="00D4514F"/>
    <w:rsid w:val="00D451C8"/>
    <w:rsid w:val="00D451E2"/>
    <w:rsid w:val="00D4563E"/>
    <w:rsid w:val="00D4585C"/>
    <w:rsid w:val="00D45907"/>
    <w:rsid w:val="00D45E89"/>
    <w:rsid w:val="00D45E8D"/>
    <w:rsid w:val="00D464A8"/>
    <w:rsid w:val="00D465D6"/>
    <w:rsid w:val="00D466AE"/>
    <w:rsid w:val="00D46D29"/>
    <w:rsid w:val="00D4734F"/>
    <w:rsid w:val="00D47557"/>
    <w:rsid w:val="00D478AC"/>
    <w:rsid w:val="00D501C4"/>
    <w:rsid w:val="00D5163F"/>
    <w:rsid w:val="00D51688"/>
    <w:rsid w:val="00D516FD"/>
    <w:rsid w:val="00D51BF3"/>
    <w:rsid w:val="00D5210B"/>
    <w:rsid w:val="00D5273F"/>
    <w:rsid w:val="00D53116"/>
    <w:rsid w:val="00D533DD"/>
    <w:rsid w:val="00D5360B"/>
    <w:rsid w:val="00D5362E"/>
    <w:rsid w:val="00D53789"/>
    <w:rsid w:val="00D53814"/>
    <w:rsid w:val="00D5394A"/>
    <w:rsid w:val="00D53B2B"/>
    <w:rsid w:val="00D53CF3"/>
    <w:rsid w:val="00D53D38"/>
    <w:rsid w:val="00D542EE"/>
    <w:rsid w:val="00D54314"/>
    <w:rsid w:val="00D54472"/>
    <w:rsid w:val="00D54FA4"/>
    <w:rsid w:val="00D55113"/>
    <w:rsid w:val="00D55625"/>
    <w:rsid w:val="00D560B8"/>
    <w:rsid w:val="00D561F6"/>
    <w:rsid w:val="00D56539"/>
    <w:rsid w:val="00D56EAE"/>
    <w:rsid w:val="00D570AA"/>
    <w:rsid w:val="00D5737B"/>
    <w:rsid w:val="00D57833"/>
    <w:rsid w:val="00D608D1"/>
    <w:rsid w:val="00D60BDA"/>
    <w:rsid w:val="00D6117D"/>
    <w:rsid w:val="00D61258"/>
    <w:rsid w:val="00D620BF"/>
    <w:rsid w:val="00D62BD8"/>
    <w:rsid w:val="00D63151"/>
    <w:rsid w:val="00D63250"/>
    <w:rsid w:val="00D6346C"/>
    <w:rsid w:val="00D63673"/>
    <w:rsid w:val="00D6627A"/>
    <w:rsid w:val="00D66846"/>
    <w:rsid w:val="00D66B9A"/>
    <w:rsid w:val="00D66FAD"/>
    <w:rsid w:val="00D675FB"/>
    <w:rsid w:val="00D67EC2"/>
    <w:rsid w:val="00D70CD6"/>
    <w:rsid w:val="00D71803"/>
    <w:rsid w:val="00D71F25"/>
    <w:rsid w:val="00D726DC"/>
    <w:rsid w:val="00D729E1"/>
    <w:rsid w:val="00D72A9C"/>
    <w:rsid w:val="00D72FFF"/>
    <w:rsid w:val="00D73B2E"/>
    <w:rsid w:val="00D740EE"/>
    <w:rsid w:val="00D74A79"/>
    <w:rsid w:val="00D74E2C"/>
    <w:rsid w:val="00D74F7A"/>
    <w:rsid w:val="00D75644"/>
    <w:rsid w:val="00D75852"/>
    <w:rsid w:val="00D75A66"/>
    <w:rsid w:val="00D76D67"/>
    <w:rsid w:val="00D77031"/>
    <w:rsid w:val="00D7775A"/>
    <w:rsid w:val="00D77ACA"/>
    <w:rsid w:val="00D8002F"/>
    <w:rsid w:val="00D8033D"/>
    <w:rsid w:val="00D80879"/>
    <w:rsid w:val="00D80C88"/>
    <w:rsid w:val="00D80FD9"/>
    <w:rsid w:val="00D81761"/>
    <w:rsid w:val="00D81E5B"/>
    <w:rsid w:val="00D82421"/>
    <w:rsid w:val="00D828F5"/>
    <w:rsid w:val="00D82F3E"/>
    <w:rsid w:val="00D833B8"/>
    <w:rsid w:val="00D83AE0"/>
    <w:rsid w:val="00D83E2F"/>
    <w:rsid w:val="00D840F7"/>
    <w:rsid w:val="00D84435"/>
    <w:rsid w:val="00D84941"/>
    <w:rsid w:val="00D84B36"/>
    <w:rsid w:val="00D84D4C"/>
    <w:rsid w:val="00D84FA1"/>
    <w:rsid w:val="00D851F0"/>
    <w:rsid w:val="00D8532C"/>
    <w:rsid w:val="00D8549D"/>
    <w:rsid w:val="00D85871"/>
    <w:rsid w:val="00D858EE"/>
    <w:rsid w:val="00D85A2D"/>
    <w:rsid w:val="00D85C4B"/>
    <w:rsid w:val="00D86031"/>
    <w:rsid w:val="00D8694A"/>
    <w:rsid w:val="00D86A8D"/>
    <w:rsid w:val="00D86DB7"/>
    <w:rsid w:val="00D8700F"/>
    <w:rsid w:val="00D87330"/>
    <w:rsid w:val="00D9024C"/>
    <w:rsid w:val="00D902E4"/>
    <w:rsid w:val="00D90491"/>
    <w:rsid w:val="00D90512"/>
    <w:rsid w:val="00D906A1"/>
    <w:rsid w:val="00D906AD"/>
    <w:rsid w:val="00D91BC7"/>
    <w:rsid w:val="00D926D0"/>
    <w:rsid w:val="00D92C88"/>
    <w:rsid w:val="00D93030"/>
    <w:rsid w:val="00D93227"/>
    <w:rsid w:val="00D9356C"/>
    <w:rsid w:val="00D935C1"/>
    <w:rsid w:val="00D935FA"/>
    <w:rsid w:val="00D93C82"/>
    <w:rsid w:val="00D94ADA"/>
    <w:rsid w:val="00D950E1"/>
    <w:rsid w:val="00D952A6"/>
    <w:rsid w:val="00D955F0"/>
    <w:rsid w:val="00D95692"/>
    <w:rsid w:val="00D957CF"/>
    <w:rsid w:val="00D95910"/>
    <w:rsid w:val="00D96428"/>
    <w:rsid w:val="00D965A4"/>
    <w:rsid w:val="00D97020"/>
    <w:rsid w:val="00D97F99"/>
    <w:rsid w:val="00DA06EA"/>
    <w:rsid w:val="00DA0D34"/>
    <w:rsid w:val="00DA19D4"/>
    <w:rsid w:val="00DA1BCE"/>
    <w:rsid w:val="00DA1E08"/>
    <w:rsid w:val="00DA204B"/>
    <w:rsid w:val="00DA2304"/>
    <w:rsid w:val="00DA24F8"/>
    <w:rsid w:val="00DA284D"/>
    <w:rsid w:val="00DA28E8"/>
    <w:rsid w:val="00DA2AC0"/>
    <w:rsid w:val="00DA2ACB"/>
    <w:rsid w:val="00DA2B1E"/>
    <w:rsid w:val="00DA2FDA"/>
    <w:rsid w:val="00DA35D8"/>
    <w:rsid w:val="00DA38D3"/>
    <w:rsid w:val="00DA3932"/>
    <w:rsid w:val="00DA3AFC"/>
    <w:rsid w:val="00DA3B5E"/>
    <w:rsid w:val="00DA3B69"/>
    <w:rsid w:val="00DA5E9E"/>
    <w:rsid w:val="00DA64F8"/>
    <w:rsid w:val="00DA6762"/>
    <w:rsid w:val="00DA67BB"/>
    <w:rsid w:val="00DA6949"/>
    <w:rsid w:val="00DA6C15"/>
    <w:rsid w:val="00DA711A"/>
    <w:rsid w:val="00DA761F"/>
    <w:rsid w:val="00DA7EF8"/>
    <w:rsid w:val="00DA7FC6"/>
    <w:rsid w:val="00DB0258"/>
    <w:rsid w:val="00DB0CC5"/>
    <w:rsid w:val="00DB2325"/>
    <w:rsid w:val="00DB2A9A"/>
    <w:rsid w:val="00DB2D14"/>
    <w:rsid w:val="00DB31FD"/>
    <w:rsid w:val="00DB3224"/>
    <w:rsid w:val="00DB35CA"/>
    <w:rsid w:val="00DB38EE"/>
    <w:rsid w:val="00DB3BAF"/>
    <w:rsid w:val="00DB3F4F"/>
    <w:rsid w:val="00DB3FCC"/>
    <w:rsid w:val="00DB4022"/>
    <w:rsid w:val="00DB498B"/>
    <w:rsid w:val="00DB4B5A"/>
    <w:rsid w:val="00DB64F2"/>
    <w:rsid w:val="00DB668C"/>
    <w:rsid w:val="00DB66CA"/>
    <w:rsid w:val="00DB69D1"/>
    <w:rsid w:val="00DB6BCA"/>
    <w:rsid w:val="00DB712B"/>
    <w:rsid w:val="00DB73F7"/>
    <w:rsid w:val="00DB7AFE"/>
    <w:rsid w:val="00DC0321"/>
    <w:rsid w:val="00DC0373"/>
    <w:rsid w:val="00DC0C91"/>
    <w:rsid w:val="00DC0F8E"/>
    <w:rsid w:val="00DC154B"/>
    <w:rsid w:val="00DC166C"/>
    <w:rsid w:val="00DC1960"/>
    <w:rsid w:val="00DC1B27"/>
    <w:rsid w:val="00DC2F55"/>
    <w:rsid w:val="00DC3067"/>
    <w:rsid w:val="00DC3337"/>
    <w:rsid w:val="00DC370B"/>
    <w:rsid w:val="00DC383C"/>
    <w:rsid w:val="00DC3BB0"/>
    <w:rsid w:val="00DC4710"/>
    <w:rsid w:val="00DC49D2"/>
    <w:rsid w:val="00DC4B2F"/>
    <w:rsid w:val="00DC4CEB"/>
    <w:rsid w:val="00DC538E"/>
    <w:rsid w:val="00DC5555"/>
    <w:rsid w:val="00DC5B90"/>
    <w:rsid w:val="00DC5B98"/>
    <w:rsid w:val="00DC5CD8"/>
    <w:rsid w:val="00DC6ABB"/>
    <w:rsid w:val="00DC6DD0"/>
    <w:rsid w:val="00DC7608"/>
    <w:rsid w:val="00DC7954"/>
    <w:rsid w:val="00DC7AFD"/>
    <w:rsid w:val="00DD00FF"/>
    <w:rsid w:val="00DD0619"/>
    <w:rsid w:val="00DD06A0"/>
    <w:rsid w:val="00DD07FB"/>
    <w:rsid w:val="00DD0E97"/>
    <w:rsid w:val="00DD0EAA"/>
    <w:rsid w:val="00DD0FFC"/>
    <w:rsid w:val="00DD160D"/>
    <w:rsid w:val="00DD1CE9"/>
    <w:rsid w:val="00DD2107"/>
    <w:rsid w:val="00DD25C6"/>
    <w:rsid w:val="00DD2754"/>
    <w:rsid w:val="00DD3AD6"/>
    <w:rsid w:val="00DD3ED5"/>
    <w:rsid w:val="00DD3F16"/>
    <w:rsid w:val="00DD432A"/>
    <w:rsid w:val="00DD4370"/>
    <w:rsid w:val="00DD4466"/>
    <w:rsid w:val="00DD490A"/>
    <w:rsid w:val="00DD4BB8"/>
    <w:rsid w:val="00DD4DB4"/>
    <w:rsid w:val="00DD4FE5"/>
    <w:rsid w:val="00DD517A"/>
    <w:rsid w:val="00DD52DF"/>
    <w:rsid w:val="00DD54B0"/>
    <w:rsid w:val="00DD57EE"/>
    <w:rsid w:val="00DD5B71"/>
    <w:rsid w:val="00DD5D75"/>
    <w:rsid w:val="00DD5E6D"/>
    <w:rsid w:val="00DD6039"/>
    <w:rsid w:val="00DD6267"/>
    <w:rsid w:val="00DD6BCC"/>
    <w:rsid w:val="00DD71B9"/>
    <w:rsid w:val="00DD73A1"/>
    <w:rsid w:val="00DD7484"/>
    <w:rsid w:val="00DD756C"/>
    <w:rsid w:val="00DD79FE"/>
    <w:rsid w:val="00DD7EEC"/>
    <w:rsid w:val="00DD7FE3"/>
    <w:rsid w:val="00DE0185"/>
    <w:rsid w:val="00DE0A4B"/>
    <w:rsid w:val="00DE0BEF"/>
    <w:rsid w:val="00DE0F96"/>
    <w:rsid w:val="00DE2410"/>
    <w:rsid w:val="00DE26D8"/>
    <w:rsid w:val="00DE2939"/>
    <w:rsid w:val="00DE2D03"/>
    <w:rsid w:val="00DE2EF0"/>
    <w:rsid w:val="00DE3172"/>
    <w:rsid w:val="00DE35A9"/>
    <w:rsid w:val="00DE3845"/>
    <w:rsid w:val="00DE3BBA"/>
    <w:rsid w:val="00DE3C86"/>
    <w:rsid w:val="00DE465F"/>
    <w:rsid w:val="00DE49D6"/>
    <w:rsid w:val="00DE4E30"/>
    <w:rsid w:val="00DE4E64"/>
    <w:rsid w:val="00DE4E7F"/>
    <w:rsid w:val="00DE5476"/>
    <w:rsid w:val="00DE5488"/>
    <w:rsid w:val="00DE5539"/>
    <w:rsid w:val="00DE5BA2"/>
    <w:rsid w:val="00DE6261"/>
    <w:rsid w:val="00DE64A7"/>
    <w:rsid w:val="00DE66EF"/>
    <w:rsid w:val="00DE6C33"/>
    <w:rsid w:val="00DE6E81"/>
    <w:rsid w:val="00DE6FBE"/>
    <w:rsid w:val="00DE703F"/>
    <w:rsid w:val="00DE7595"/>
    <w:rsid w:val="00DE76D2"/>
    <w:rsid w:val="00DF002C"/>
    <w:rsid w:val="00DF00EF"/>
    <w:rsid w:val="00DF05B2"/>
    <w:rsid w:val="00DF0A5E"/>
    <w:rsid w:val="00DF0B78"/>
    <w:rsid w:val="00DF0C0C"/>
    <w:rsid w:val="00DF0D04"/>
    <w:rsid w:val="00DF1961"/>
    <w:rsid w:val="00DF1D31"/>
    <w:rsid w:val="00DF2571"/>
    <w:rsid w:val="00DF4437"/>
    <w:rsid w:val="00DF44DE"/>
    <w:rsid w:val="00DF4B79"/>
    <w:rsid w:val="00DF501B"/>
    <w:rsid w:val="00DF56E0"/>
    <w:rsid w:val="00DF5F11"/>
    <w:rsid w:val="00DF6B34"/>
    <w:rsid w:val="00DF721F"/>
    <w:rsid w:val="00DF7D3C"/>
    <w:rsid w:val="00E00674"/>
    <w:rsid w:val="00E00B15"/>
    <w:rsid w:val="00E00B50"/>
    <w:rsid w:val="00E0105C"/>
    <w:rsid w:val="00E0109D"/>
    <w:rsid w:val="00E01138"/>
    <w:rsid w:val="00E01845"/>
    <w:rsid w:val="00E01ED9"/>
    <w:rsid w:val="00E022E6"/>
    <w:rsid w:val="00E02BC1"/>
    <w:rsid w:val="00E02DFB"/>
    <w:rsid w:val="00E02FC6"/>
    <w:rsid w:val="00E030F9"/>
    <w:rsid w:val="00E0311A"/>
    <w:rsid w:val="00E03138"/>
    <w:rsid w:val="00E03434"/>
    <w:rsid w:val="00E03A43"/>
    <w:rsid w:val="00E03F9F"/>
    <w:rsid w:val="00E040AB"/>
    <w:rsid w:val="00E053DA"/>
    <w:rsid w:val="00E05966"/>
    <w:rsid w:val="00E05A25"/>
    <w:rsid w:val="00E05EF4"/>
    <w:rsid w:val="00E06381"/>
    <w:rsid w:val="00E06404"/>
    <w:rsid w:val="00E068ED"/>
    <w:rsid w:val="00E070C6"/>
    <w:rsid w:val="00E07B48"/>
    <w:rsid w:val="00E10E1E"/>
    <w:rsid w:val="00E1148F"/>
    <w:rsid w:val="00E116CA"/>
    <w:rsid w:val="00E11A85"/>
    <w:rsid w:val="00E12495"/>
    <w:rsid w:val="00E128A6"/>
    <w:rsid w:val="00E12D70"/>
    <w:rsid w:val="00E13ED2"/>
    <w:rsid w:val="00E143DB"/>
    <w:rsid w:val="00E14433"/>
    <w:rsid w:val="00E149A5"/>
    <w:rsid w:val="00E15197"/>
    <w:rsid w:val="00E15CCD"/>
    <w:rsid w:val="00E15CF4"/>
    <w:rsid w:val="00E15EA2"/>
    <w:rsid w:val="00E163C3"/>
    <w:rsid w:val="00E165ED"/>
    <w:rsid w:val="00E169A2"/>
    <w:rsid w:val="00E171C6"/>
    <w:rsid w:val="00E17D0F"/>
    <w:rsid w:val="00E2003E"/>
    <w:rsid w:val="00E200B5"/>
    <w:rsid w:val="00E20209"/>
    <w:rsid w:val="00E202EF"/>
    <w:rsid w:val="00E206D8"/>
    <w:rsid w:val="00E210B5"/>
    <w:rsid w:val="00E2182D"/>
    <w:rsid w:val="00E21ECA"/>
    <w:rsid w:val="00E2277C"/>
    <w:rsid w:val="00E22C26"/>
    <w:rsid w:val="00E235BC"/>
    <w:rsid w:val="00E23A8E"/>
    <w:rsid w:val="00E23A9C"/>
    <w:rsid w:val="00E23B08"/>
    <w:rsid w:val="00E23D99"/>
    <w:rsid w:val="00E2429A"/>
    <w:rsid w:val="00E2437E"/>
    <w:rsid w:val="00E25013"/>
    <w:rsid w:val="00E2552F"/>
    <w:rsid w:val="00E25687"/>
    <w:rsid w:val="00E25B43"/>
    <w:rsid w:val="00E26055"/>
    <w:rsid w:val="00E2632A"/>
    <w:rsid w:val="00E26595"/>
    <w:rsid w:val="00E2690C"/>
    <w:rsid w:val="00E26A78"/>
    <w:rsid w:val="00E27CC9"/>
    <w:rsid w:val="00E3011C"/>
    <w:rsid w:val="00E311FB"/>
    <w:rsid w:val="00E3137A"/>
    <w:rsid w:val="00E329E1"/>
    <w:rsid w:val="00E32CB2"/>
    <w:rsid w:val="00E32CCF"/>
    <w:rsid w:val="00E33162"/>
    <w:rsid w:val="00E33A8F"/>
    <w:rsid w:val="00E33BEE"/>
    <w:rsid w:val="00E33DFA"/>
    <w:rsid w:val="00E33EBC"/>
    <w:rsid w:val="00E33F49"/>
    <w:rsid w:val="00E34A98"/>
    <w:rsid w:val="00E35D1E"/>
    <w:rsid w:val="00E36026"/>
    <w:rsid w:val="00E364F9"/>
    <w:rsid w:val="00E36507"/>
    <w:rsid w:val="00E365FA"/>
    <w:rsid w:val="00E36789"/>
    <w:rsid w:val="00E369E1"/>
    <w:rsid w:val="00E3737E"/>
    <w:rsid w:val="00E37F33"/>
    <w:rsid w:val="00E40329"/>
    <w:rsid w:val="00E406B7"/>
    <w:rsid w:val="00E408CB"/>
    <w:rsid w:val="00E40B54"/>
    <w:rsid w:val="00E40CEB"/>
    <w:rsid w:val="00E41108"/>
    <w:rsid w:val="00E41205"/>
    <w:rsid w:val="00E41663"/>
    <w:rsid w:val="00E41919"/>
    <w:rsid w:val="00E419CD"/>
    <w:rsid w:val="00E42A05"/>
    <w:rsid w:val="00E43124"/>
    <w:rsid w:val="00E436A2"/>
    <w:rsid w:val="00E446E7"/>
    <w:rsid w:val="00E44813"/>
    <w:rsid w:val="00E44A83"/>
    <w:rsid w:val="00E44B92"/>
    <w:rsid w:val="00E44FC5"/>
    <w:rsid w:val="00E46366"/>
    <w:rsid w:val="00E468E4"/>
    <w:rsid w:val="00E468F6"/>
    <w:rsid w:val="00E46D29"/>
    <w:rsid w:val="00E474E7"/>
    <w:rsid w:val="00E478D8"/>
    <w:rsid w:val="00E47D88"/>
    <w:rsid w:val="00E502C1"/>
    <w:rsid w:val="00E502DD"/>
    <w:rsid w:val="00E508DF"/>
    <w:rsid w:val="00E50D3A"/>
    <w:rsid w:val="00E510B5"/>
    <w:rsid w:val="00E512EB"/>
    <w:rsid w:val="00E51387"/>
    <w:rsid w:val="00E518AB"/>
    <w:rsid w:val="00E51E68"/>
    <w:rsid w:val="00E52323"/>
    <w:rsid w:val="00E526F6"/>
    <w:rsid w:val="00E52867"/>
    <w:rsid w:val="00E52EFD"/>
    <w:rsid w:val="00E531EA"/>
    <w:rsid w:val="00E533B4"/>
    <w:rsid w:val="00E53607"/>
    <w:rsid w:val="00E53957"/>
    <w:rsid w:val="00E53AA5"/>
    <w:rsid w:val="00E53CB7"/>
    <w:rsid w:val="00E5408A"/>
    <w:rsid w:val="00E540BA"/>
    <w:rsid w:val="00E55A30"/>
    <w:rsid w:val="00E5617D"/>
    <w:rsid w:val="00E56800"/>
    <w:rsid w:val="00E56C10"/>
    <w:rsid w:val="00E56C21"/>
    <w:rsid w:val="00E5755D"/>
    <w:rsid w:val="00E57F61"/>
    <w:rsid w:val="00E603EF"/>
    <w:rsid w:val="00E60C63"/>
    <w:rsid w:val="00E60F48"/>
    <w:rsid w:val="00E610AE"/>
    <w:rsid w:val="00E6127E"/>
    <w:rsid w:val="00E61447"/>
    <w:rsid w:val="00E615E0"/>
    <w:rsid w:val="00E61FC9"/>
    <w:rsid w:val="00E622EB"/>
    <w:rsid w:val="00E62358"/>
    <w:rsid w:val="00E625C6"/>
    <w:rsid w:val="00E6261B"/>
    <w:rsid w:val="00E62EE7"/>
    <w:rsid w:val="00E62FF9"/>
    <w:rsid w:val="00E6356B"/>
    <w:rsid w:val="00E635D6"/>
    <w:rsid w:val="00E6395B"/>
    <w:rsid w:val="00E639BC"/>
    <w:rsid w:val="00E63CBA"/>
    <w:rsid w:val="00E643BC"/>
    <w:rsid w:val="00E644AB"/>
    <w:rsid w:val="00E64A9F"/>
    <w:rsid w:val="00E64E48"/>
    <w:rsid w:val="00E656A2"/>
    <w:rsid w:val="00E65749"/>
    <w:rsid w:val="00E6596F"/>
    <w:rsid w:val="00E65977"/>
    <w:rsid w:val="00E664CC"/>
    <w:rsid w:val="00E66938"/>
    <w:rsid w:val="00E66A77"/>
    <w:rsid w:val="00E67975"/>
    <w:rsid w:val="00E7036D"/>
    <w:rsid w:val="00E70388"/>
    <w:rsid w:val="00E707A7"/>
    <w:rsid w:val="00E70819"/>
    <w:rsid w:val="00E7088C"/>
    <w:rsid w:val="00E70F92"/>
    <w:rsid w:val="00E7105F"/>
    <w:rsid w:val="00E71DA9"/>
    <w:rsid w:val="00E726B2"/>
    <w:rsid w:val="00E73467"/>
    <w:rsid w:val="00E73898"/>
    <w:rsid w:val="00E747EE"/>
    <w:rsid w:val="00E74C54"/>
    <w:rsid w:val="00E756B0"/>
    <w:rsid w:val="00E75AF2"/>
    <w:rsid w:val="00E75FE4"/>
    <w:rsid w:val="00E76FB2"/>
    <w:rsid w:val="00E76FCF"/>
    <w:rsid w:val="00E77A03"/>
    <w:rsid w:val="00E80293"/>
    <w:rsid w:val="00E803A5"/>
    <w:rsid w:val="00E80588"/>
    <w:rsid w:val="00E81204"/>
    <w:rsid w:val="00E822E8"/>
    <w:rsid w:val="00E82554"/>
    <w:rsid w:val="00E825D3"/>
    <w:rsid w:val="00E82606"/>
    <w:rsid w:val="00E82CAB"/>
    <w:rsid w:val="00E83F17"/>
    <w:rsid w:val="00E846C8"/>
    <w:rsid w:val="00E84957"/>
    <w:rsid w:val="00E84A55"/>
    <w:rsid w:val="00E85622"/>
    <w:rsid w:val="00E85BFF"/>
    <w:rsid w:val="00E860FD"/>
    <w:rsid w:val="00E861B4"/>
    <w:rsid w:val="00E8700B"/>
    <w:rsid w:val="00E87EE4"/>
    <w:rsid w:val="00E90391"/>
    <w:rsid w:val="00E906C2"/>
    <w:rsid w:val="00E9165E"/>
    <w:rsid w:val="00E9191D"/>
    <w:rsid w:val="00E91E04"/>
    <w:rsid w:val="00E9311F"/>
    <w:rsid w:val="00E934D1"/>
    <w:rsid w:val="00E9350A"/>
    <w:rsid w:val="00E9365D"/>
    <w:rsid w:val="00E93F68"/>
    <w:rsid w:val="00E94914"/>
    <w:rsid w:val="00E94AF0"/>
    <w:rsid w:val="00E94C50"/>
    <w:rsid w:val="00E94F9C"/>
    <w:rsid w:val="00E95D13"/>
    <w:rsid w:val="00E95DD3"/>
    <w:rsid w:val="00E969D5"/>
    <w:rsid w:val="00E96AEA"/>
    <w:rsid w:val="00E96C3F"/>
    <w:rsid w:val="00E96E5D"/>
    <w:rsid w:val="00E970D1"/>
    <w:rsid w:val="00E9784B"/>
    <w:rsid w:val="00E978E4"/>
    <w:rsid w:val="00E979F9"/>
    <w:rsid w:val="00E97C9F"/>
    <w:rsid w:val="00EA05D8"/>
    <w:rsid w:val="00EA0814"/>
    <w:rsid w:val="00EA0E5F"/>
    <w:rsid w:val="00EA0F18"/>
    <w:rsid w:val="00EA10A9"/>
    <w:rsid w:val="00EA1869"/>
    <w:rsid w:val="00EA1F0F"/>
    <w:rsid w:val="00EA2722"/>
    <w:rsid w:val="00EA29BA"/>
    <w:rsid w:val="00EA34BB"/>
    <w:rsid w:val="00EA35BC"/>
    <w:rsid w:val="00EA3720"/>
    <w:rsid w:val="00EA38AD"/>
    <w:rsid w:val="00EA3A3D"/>
    <w:rsid w:val="00EA3C31"/>
    <w:rsid w:val="00EA417E"/>
    <w:rsid w:val="00EA484D"/>
    <w:rsid w:val="00EA4C0A"/>
    <w:rsid w:val="00EA4FF8"/>
    <w:rsid w:val="00EA5250"/>
    <w:rsid w:val="00EA54BC"/>
    <w:rsid w:val="00EA58D1"/>
    <w:rsid w:val="00EA5EDD"/>
    <w:rsid w:val="00EA61BC"/>
    <w:rsid w:val="00EA681A"/>
    <w:rsid w:val="00EA69CE"/>
    <w:rsid w:val="00EA6C4D"/>
    <w:rsid w:val="00EA735B"/>
    <w:rsid w:val="00EA767C"/>
    <w:rsid w:val="00EA775E"/>
    <w:rsid w:val="00EA7A55"/>
    <w:rsid w:val="00EA7BC1"/>
    <w:rsid w:val="00EB01A7"/>
    <w:rsid w:val="00EB1341"/>
    <w:rsid w:val="00EB1590"/>
    <w:rsid w:val="00EB17DE"/>
    <w:rsid w:val="00EB1857"/>
    <w:rsid w:val="00EB19E7"/>
    <w:rsid w:val="00EB1B3B"/>
    <w:rsid w:val="00EB1E69"/>
    <w:rsid w:val="00EB2028"/>
    <w:rsid w:val="00EB2086"/>
    <w:rsid w:val="00EB2659"/>
    <w:rsid w:val="00EB3349"/>
    <w:rsid w:val="00EB3935"/>
    <w:rsid w:val="00EB3B54"/>
    <w:rsid w:val="00EB4DEC"/>
    <w:rsid w:val="00EB4FA6"/>
    <w:rsid w:val="00EB596F"/>
    <w:rsid w:val="00EB5C27"/>
    <w:rsid w:val="00EB5EDF"/>
    <w:rsid w:val="00EB60FE"/>
    <w:rsid w:val="00EB635B"/>
    <w:rsid w:val="00EB673D"/>
    <w:rsid w:val="00EB687E"/>
    <w:rsid w:val="00EB7227"/>
    <w:rsid w:val="00EB733E"/>
    <w:rsid w:val="00EB74DB"/>
    <w:rsid w:val="00EB7F45"/>
    <w:rsid w:val="00EC0333"/>
    <w:rsid w:val="00EC0761"/>
    <w:rsid w:val="00EC0DDA"/>
    <w:rsid w:val="00EC1923"/>
    <w:rsid w:val="00EC1C34"/>
    <w:rsid w:val="00EC200D"/>
    <w:rsid w:val="00EC250B"/>
    <w:rsid w:val="00EC2550"/>
    <w:rsid w:val="00EC2AC0"/>
    <w:rsid w:val="00EC2FB8"/>
    <w:rsid w:val="00EC4ED3"/>
    <w:rsid w:val="00EC5359"/>
    <w:rsid w:val="00EC562A"/>
    <w:rsid w:val="00EC582B"/>
    <w:rsid w:val="00EC5AE4"/>
    <w:rsid w:val="00EC5B9C"/>
    <w:rsid w:val="00EC6B5A"/>
    <w:rsid w:val="00EC6F50"/>
    <w:rsid w:val="00EC7CE5"/>
    <w:rsid w:val="00ED067A"/>
    <w:rsid w:val="00ED06D2"/>
    <w:rsid w:val="00ED078B"/>
    <w:rsid w:val="00ED0AA8"/>
    <w:rsid w:val="00ED1140"/>
    <w:rsid w:val="00ED152C"/>
    <w:rsid w:val="00ED170F"/>
    <w:rsid w:val="00ED279A"/>
    <w:rsid w:val="00ED2B50"/>
    <w:rsid w:val="00ED2FE9"/>
    <w:rsid w:val="00ED39F4"/>
    <w:rsid w:val="00ED3B1A"/>
    <w:rsid w:val="00ED415B"/>
    <w:rsid w:val="00ED4292"/>
    <w:rsid w:val="00ED45FD"/>
    <w:rsid w:val="00ED46CF"/>
    <w:rsid w:val="00ED54CD"/>
    <w:rsid w:val="00ED6159"/>
    <w:rsid w:val="00ED6978"/>
    <w:rsid w:val="00ED6A95"/>
    <w:rsid w:val="00ED7202"/>
    <w:rsid w:val="00ED78F5"/>
    <w:rsid w:val="00ED7A51"/>
    <w:rsid w:val="00ED7EF7"/>
    <w:rsid w:val="00EE027E"/>
    <w:rsid w:val="00EE0350"/>
    <w:rsid w:val="00EE0719"/>
    <w:rsid w:val="00EE0BA8"/>
    <w:rsid w:val="00EE0CE2"/>
    <w:rsid w:val="00EE0DD2"/>
    <w:rsid w:val="00EE0E80"/>
    <w:rsid w:val="00EE0F49"/>
    <w:rsid w:val="00EE1381"/>
    <w:rsid w:val="00EE1575"/>
    <w:rsid w:val="00EE17C4"/>
    <w:rsid w:val="00EE20AF"/>
    <w:rsid w:val="00EE2547"/>
    <w:rsid w:val="00EE2F37"/>
    <w:rsid w:val="00EE350F"/>
    <w:rsid w:val="00EE4623"/>
    <w:rsid w:val="00EE4B08"/>
    <w:rsid w:val="00EE4D14"/>
    <w:rsid w:val="00EE4FD9"/>
    <w:rsid w:val="00EE54A6"/>
    <w:rsid w:val="00EE56C2"/>
    <w:rsid w:val="00EE5843"/>
    <w:rsid w:val="00EE60B1"/>
    <w:rsid w:val="00EE613F"/>
    <w:rsid w:val="00EE624B"/>
    <w:rsid w:val="00EE6595"/>
    <w:rsid w:val="00EE6697"/>
    <w:rsid w:val="00EE6B29"/>
    <w:rsid w:val="00EE7073"/>
    <w:rsid w:val="00EE7295"/>
    <w:rsid w:val="00EE74A8"/>
    <w:rsid w:val="00EE7805"/>
    <w:rsid w:val="00EE7869"/>
    <w:rsid w:val="00EF0071"/>
    <w:rsid w:val="00EF0377"/>
    <w:rsid w:val="00EF0469"/>
    <w:rsid w:val="00EF054A"/>
    <w:rsid w:val="00EF099D"/>
    <w:rsid w:val="00EF0AEF"/>
    <w:rsid w:val="00EF0EE8"/>
    <w:rsid w:val="00EF1CED"/>
    <w:rsid w:val="00EF20D7"/>
    <w:rsid w:val="00EF2BB2"/>
    <w:rsid w:val="00EF31C6"/>
    <w:rsid w:val="00EF3235"/>
    <w:rsid w:val="00EF3C38"/>
    <w:rsid w:val="00EF3EBC"/>
    <w:rsid w:val="00EF43C8"/>
    <w:rsid w:val="00EF5952"/>
    <w:rsid w:val="00EF5AC5"/>
    <w:rsid w:val="00EF5BDD"/>
    <w:rsid w:val="00EF6323"/>
    <w:rsid w:val="00EF6A6F"/>
    <w:rsid w:val="00EF6B85"/>
    <w:rsid w:val="00EF79D0"/>
    <w:rsid w:val="00EF7C82"/>
    <w:rsid w:val="00EF7E72"/>
    <w:rsid w:val="00F0000D"/>
    <w:rsid w:val="00F00577"/>
    <w:rsid w:val="00F006C9"/>
    <w:rsid w:val="00F0087E"/>
    <w:rsid w:val="00F008A1"/>
    <w:rsid w:val="00F008D7"/>
    <w:rsid w:val="00F00C34"/>
    <w:rsid w:val="00F00E31"/>
    <w:rsid w:val="00F011A6"/>
    <w:rsid w:val="00F01555"/>
    <w:rsid w:val="00F0164C"/>
    <w:rsid w:val="00F02205"/>
    <w:rsid w:val="00F02643"/>
    <w:rsid w:val="00F03023"/>
    <w:rsid w:val="00F0350C"/>
    <w:rsid w:val="00F03BF3"/>
    <w:rsid w:val="00F04383"/>
    <w:rsid w:val="00F0445D"/>
    <w:rsid w:val="00F044CB"/>
    <w:rsid w:val="00F04716"/>
    <w:rsid w:val="00F050D5"/>
    <w:rsid w:val="00F05771"/>
    <w:rsid w:val="00F0587C"/>
    <w:rsid w:val="00F0655F"/>
    <w:rsid w:val="00F06573"/>
    <w:rsid w:val="00F06D37"/>
    <w:rsid w:val="00F0710C"/>
    <w:rsid w:val="00F072BD"/>
    <w:rsid w:val="00F07A60"/>
    <w:rsid w:val="00F07B9D"/>
    <w:rsid w:val="00F07E26"/>
    <w:rsid w:val="00F10469"/>
    <w:rsid w:val="00F10812"/>
    <w:rsid w:val="00F109F8"/>
    <w:rsid w:val="00F10B95"/>
    <w:rsid w:val="00F10C8F"/>
    <w:rsid w:val="00F10EF8"/>
    <w:rsid w:val="00F11586"/>
    <w:rsid w:val="00F115A1"/>
    <w:rsid w:val="00F1183B"/>
    <w:rsid w:val="00F11C7C"/>
    <w:rsid w:val="00F11C9F"/>
    <w:rsid w:val="00F11F85"/>
    <w:rsid w:val="00F12263"/>
    <w:rsid w:val="00F125D5"/>
    <w:rsid w:val="00F12809"/>
    <w:rsid w:val="00F12BF5"/>
    <w:rsid w:val="00F12F3A"/>
    <w:rsid w:val="00F13048"/>
    <w:rsid w:val="00F13237"/>
    <w:rsid w:val="00F1409D"/>
    <w:rsid w:val="00F14214"/>
    <w:rsid w:val="00F14266"/>
    <w:rsid w:val="00F14471"/>
    <w:rsid w:val="00F1514B"/>
    <w:rsid w:val="00F157A9"/>
    <w:rsid w:val="00F15995"/>
    <w:rsid w:val="00F15A0F"/>
    <w:rsid w:val="00F168B6"/>
    <w:rsid w:val="00F16DA2"/>
    <w:rsid w:val="00F174F6"/>
    <w:rsid w:val="00F17CD3"/>
    <w:rsid w:val="00F2038C"/>
    <w:rsid w:val="00F20586"/>
    <w:rsid w:val="00F2075F"/>
    <w:rsid w:val="00F22338"/>
    <w:rsid w:val="00F2254B"/>
    <w:rsid w:val="00F22878"/>
    <w:rsid w:val="00F2293D"/>
    <w:rsid w:val="00F22952"/>
    <w:rsid w:val="00F229A0"/>
    <w:rsid w:val="00F23ABA"/>
    <w:rsid w:val="00F23BDB"/>
    <w:rsid w:val="00F23D34"/>
    <w:rsid w:val="00F247D2"/>
    <w:rsid w:val="00F25009"/>
    <w:rsid w:val="00F254F6"/>
    <w:rsid w:val="00F25BB6"/>
    <w:rsid w:val="00F25CCF"/>
    <w:rsid w:val="00F26997"/>
    <w:rsid w:val="00F26B7E"/>
    <w:rsid w:val="00F27A3B"/>
    <w:rsid w:val="00F3005B"/>
    <w:rsid w:val="00F30520"/>
    <w:rsid w:val="00F30B8B"/>
    <w:rsid w:val="00F30E10"/>
    <w:rsid w:val="00F3109F"/>
    <w:rsid w:val="00F31B45"/>
    <w:rsid w:val="00F325B5"/>
    <w:rsid w:val="00F32AA2"/>
    <w:rsid w:val="00F33817"/>
    <w:rsid w:val="00F339DF"/>
    <w:rsid w:val="00F342B1"/>
    <w:rsid w:val="00F34C40"/>
    <w:rsid w:val="00F35ADB"/>
    <w:rsid w:val="00F35C26"/>
    <w:rsid w:val="00F369A7"/>
    <w:rsid w:val="00F36C38"/>
    <w:rsid w:val="00F36DD7"/>
    <w:rsid w:val="00F37042"/>
    <w:rsid w:val="00F376B2"/>
    <w:rsid w:val="00F40707"/>
    <w:rsid w:val="00F408ED"/>
    <w:rsid w:val="00F409D2"/>
    <w:rsid w:val="00F41AB4"/>
    <w:rsid w:val="00F420D5"/>
    <w:rsid w:val="00F42161"/>
    <w:rsid w:val="00F424DE"/>
    <w:rsid w:val="00F43124"/>
    <w:rsid w:val="00F43588"/>
    <w:rsid w:val="00F43776"/>
    <w:rsid w:val="00F43789"/>
    <w:rsid w:val="00F43A28"/>
    <w:rsid w:val="00F43BDC"/>
    <w:rsid w:val="00F44098"/>
    <w:rsid w:val="00F4504E"/>
    <w:rsid w:val="00F451EA"/>
    <w:rsid w:val="00F4527C"/>
    <w:rsid w:val="00F452EB"/>
    <w:rsid w:val="00F45447"/>
    <w:rsid w:val="00F456C6"/>
    <w:rsid w:val="00F4577B"/>
    <w:rsid w:val="00F457B8"/>
    <w:rsid w:val="00F4597F"/>
    <w:rsid w:val="00F45DF1"/>
    <w:rsid w:val="00F46004"/>
    <w:rsid w:val="00F46496"/>
    <w:rsid w:val="00F465EE"/>
    <w:rsid w:val="00F46BC8"/>
    <w:rsid w:val="00F46E85"/>
    <w:rsid w:val="00F46F00"/>
    <w:rsid w:val="00F471F9"/>
    <w:rsid w:val="00F474D0"/>
    <w:rsid w:val="00F4761E"/>
    <w:rsid w:val="00F47A42"/>
    <w:rsid w:val="00F50179"/>
    <w:rsid w:val="00F50CF0"/>
    <w:rsid w:val="00F51155"/>
    <w:rsid w:val="00F5149D"/>
    <w:rsid w:val="00F515EE"/>
    <w:rsid w:val="00F51A2D"/>
    <w:rsid w:val="00F51F4B"/>
    <w:rsid w:val="00F51FAF"/>
    <w:rsid w:val="00F52388"/>
    <w:rsid w:val="00F525D4"/>
    <w:rsid w:val="00F527F4"/>
    <w:rsid w:val="00F52A69"/>
    <w:rsid w:val="00F5317B"/>
    <w:rsid w:val="00F5377C"/>
    <w:rsid w:val="00F54B97"/>
    <w:rsid w:val="00F54C64"/>
    <w:rsid w:val="00F54F78"/>
    <w:rsid w:val="00F551CF"/>
    <w:rsid w:val="00F55641"/>
    <w:rsid w:val="00F55C05"/>
    <w:rsid w:val="00F5608B"/>
    <w:rsid w:val="00F560CE"/>
    <w:rsid w:val="00F56259"/>
    <w:rsid w:val="00F56322"/>
    <w:rsid w:val="00F56511"/>
    <w:rsid w:val="00F56608"/>
    <w:rsid w:val="00F5721C"/>
    <w:rsid w:val="00F5742C"/>
    <w:rsid w:val="00F576E2"/>
    <w:rsid w:val="00F57C55"/>
    <w:rsid w:val="00F57DF2"/>
    <w:rsid w:val="00F60C4D"/>
    <w:rsid w:val="00F60D95"/>
    <w:rsid w:val="00F616F1"/>
    <w:rsid w:val="00F618BC"/>
    <w:rsid w:val="00F6194E"/>
    <w:rsid w:val="00F61C3E"/>
    <w:rsid w:val="00F62031"/>
    <w:rsid w:val="00F622D1"/>
    <w:rsid w:val="00F623AC"/>
    <w:rsid w:val="00F6322F"/>
    <w:rsid w:val="00F6353C"/>
    <w:rsid w:val="00F63F14"/>
    <w:rsid w:val="00F63FEE"/>
    <w:rsid w:val="00F6412A"/>
    <w:rsid w:val="00F65893"/>
    <w:rsid w:val="00F65A2C"/>
    <w:rsid w:val="00F65B4D"/>
    <w:rsid w:val="00F65C8E"/>
    <w:rsid w:val="00F65FA5"/>
    <w:rsid w:val="00F661D1"/>
    <w:rsid w:val="00F6648A"/>
    <w:rsid w:val="00F665AA"/>
    <w:rsid w:val="00F6661E"/>
    <w:rsid w:val="00F66A4A"/>
    <w:rsid w:val="00F67468"/>
    <w:rsid w:val="00F67474"/>
    <w:rsid w:val="00F67BAE"/>
    <w:rsid w:val="00F67E59"/>
    <w:rsid w:val="00F70A5F"/>
    <w:rsid w:val="00F70B2A"/>
    <w:rsid w:val="00F70E34"/>
    <w:rsid w:val="00F70FBB"/>
    <w:rsid w:val="00F71525"/>
    <w:rsid w:val="00F71678"/>
    <w:rsid w:val="00F71E22"/>
    <w:rsid w:val="00F72142"/>
    <w:rsid w:val="00F72387"/>
    <w:rsid w:val="00F7286E"/>
    <w:rsid w:val="00F72AE7"/>
    <w:rsid w:val="00F72C9E"/>
    <w:rsid w:val="00F7319D"/>
    <w:rsid w:val="00F73FBE"/>
    <w:rsid w:val="00F741E1"/>
    <w:rsid w:val="00F74F0A"/>
    <w:rsid w:val="00F75688"/>
    <w:rsid w:val="00F75C46"/>
    <w:rsid w:val="00F76F7F"/>
    <w:rsid w:val="00F77E80"/>
    <w:rsid w:val="00F81141"/>
    <w:rsid w:val="00F81837"/>
    <w:rsid w:val="00F82961"/>
    <w:rsid w:val="00F8315F"/>
    <w:rsid w:val="00F833BA"/>
    <w:rsid w:val="00F83628"/>
    <w:rsid w:val="00F83673"/>
    <w:rsid w:val="00F84690"/>
    <w:rsid w:val="00F84ABB"/>
    <w:rsid w:val="00F84FD0"/>
    <w:rsid w:val="00F8504A"/>
    <w:rsid w:val="00F859A8"/>
    <w:rsid w:val="00F85B62"/>
    <w:rsid w:val="00F86D87"/>
    <w:rsid w:val="00F8709E"/>
    <w:rsid w:val="00F87566"/>
    <w:rsid w:val="00F8781C"/>
    <w:rsid w:val="00F87D95"/>
    <w:rsid w:val="00F90E2C"/>
    <w:rsid w:val="00F90F3F"/>
    <w:rsid w:val="00F9108B"/>
    <w:rsid w:val="00F911D5"/>
    <w:rsid w:val="00F9125F"/>
    <w:rsid w:val="00F912B3"/>
    <w:rsid w:val="00F912D4"/>
    <w:rsid w:val="00F91349"/>
    <w:rsid w:val="00F91D5E"/>
    <w:rsid w:val="00F9201A"/>
    <w:rsid w:val="00F92155"/>
    <w:rsid w:val="00F925C9"/>
    <w:rsid w:val="00F93052"/>
    <w:rsid w:val="00F93169"/>
    <w:rsid w:val="00F933F6"/>
    <w:rsid w:val="00F93A8A"/>
    <w:rsid w:val="00F93CFB"/>
    <w:rsid w:val="00F93DDB"/>
    <w:rsid w:val="00F9443A"/>
    <w:rsid w:val="00F94CE8"/>
    <w:rsid w:val="00F95089"/>
    <w:rsid w:val="00F95248"/>
    <w:rsid w:val="00F95285"/>
    <w:rsid w:val="00F956A9"/>
    <w:rsid w:val="00F95759"/>
    <w:rsid w:val="00F95B3C"/>
    <w:rsid w:val="00F95D65"/>
    <w:rsid w:val="00F963C5"/>
    <w:rsid w:val="00F963ED"/>
    <w:rsid w:val="00F966CF"/>
    <w:rsid w:val="00F96CAE"/>
    <w:rsid w:val="00F96DE0"/>
    <w:rsid w:val="00F97180"/>
    <w:rsid w:val="00F97C99"/>
    <w:rsid w:val="00F97DFE"/>
    <w:rsid w:val="00FA02EF"/>
    <w:rsid w:val="00FA0412"/>
    <w:rsid w:val="00FA04EA"/>
    <w:rsid w:val="00FA06F3"/>
    <w:rsid w:val="00FA0766"/>
    <w:rsid w:val="00FA0BBD"/>
    <w:rsid w:val="00FA187B"/>
    <w:rsid w:val="00FA1DF8"/>
    <w:rsid w:val="00FA1E2D"/>
    <w:rsid w:val="00FA244E"/>
    <w:rsid w:val="00FA26CE"/>
    <w:rsid w:val="00FA37B6"/>
    <w:rsid w:val="00FA3C64"/>
    <w:rsid w:val="00FA3EF6"/>
    <w:rsid w:val="00FA4737"/>
    <w:rsid w:val="00FA4DAC"/>
    <w:rsid w:val="00FA5044"/>
    <w:rsid w:val="00FA5441"/>
    <w:rsid w:val="00FA5541"/>
    <w:rsid w:val="00FA583D"/>
    <w:rsid w:val="00FA5C47"/>
    <w:rsid w:val="00FA662D"/>
    <w:rsid w:val="00FA6638"/>
    <w:rsid w:val="00FA6C62"/>
    <w:rsid w:val="00FA6FA1"/>
    <w:rsid w:val="00FA700E"/>
    <w:rsid w:val="00FA706C"/>
    <w:rsid w:val="00FA72ED"/>
    <w:rsid w:val="00FA73B1"/>
    <w:rsid w:val="00FA7507"/>
    <w:rsid w:val="00FA7897"/>
    <w:rsid w:val="00FA7A8B"/>
    <w:rsid w:val="00FA7D5B"/>
    <w:rsid w:val="00FA7F95"/>
    <w:rsid w:val="00FA7FE8"/>
    <w:rsid w:val="00FB0CB9"/>
    <w:rsid w:val="00FB0F2E"/>
    <w:rsid w:val="00FB1C63"/>
    <w:rsid w:val="00FB1F2D"/>
    <w:rsid w:val="00FB231D"/>
    <w:rsid w:val="00FB27DB"/>
    <w:rsid w:val="00FB3B98"/>
    <w:rsid w:val="00FB3F2F"/>
    <w:rsid w:val="00FB432F"/>
    <w:rsid w:val="00FB45F1"/>
    <w:rsid w:val="00FB479E"/>
    <w:rsid w:val="00FB4810"/>
    <w:rsid w:val="00FB4A72"/>
    <w:rsid w:val="00FB4B2D"/>
    <w:rsid w:val="00FB5276"/>
    <w:rsid w:val="00FB52CD"/>
    <w:rsid w:val="00FB54E8"/>
    <w:rsid w:val="00FB6480"/>
    <w:rsid w:val="00FB6B64"/>
    <w:rsid w:val="00FB6CE0"/>
    <w:rsid w:val="00FB7054"/>
    <w:rsid w:val="00FB70A1"/>
    <w:rsid w:val="00FB796A"/>
    <w:rsid w:val="00FC0A90"/>
    <w:rsid w:val="00FC1106"/>
    <w:rsid w:val="00FC1250"/>
    <w:rsid w:val="00FC17B7"/>
    <w:rsid w:val="00FC17DD"/>
    <w:rsid w:val="00FC21E8"/>
    <w:rsid w:val="00FC2493"/>
    <w:rsid w:val="00FC2CB7"/>
    <w:rsid w:val="00FC375B"/>
    <w:rsid w:val="00FC4090"/>
    <w:rsid w:val="00FC42E4"/>
    <w:rsid w:val="00FC4AB5"/>
    <w:rsid w:val="00FC4F80"/>
    <w:rsid w:val="00FC55B4"/>
    <w:rsid w:val="00FC56BA"/>
    <w:rsid w:val="00FC5E77"/>
    <w:rsid w:val="00FC6ED7"/>
    <w:rsid w:val="00FC76B9"/>
    <w:rsid w:val="00FC7FDE"/>
    <w:rsid w:val="00FD004A"/>
    <w:rsid w:val="00FD00E6"/>
    <w:rsid w:val="00FD08EB"/>
    <w:rsid w:val="00FD09A1"/>
    <w:rsid w:val="00FD1A45"/>
    <w:rsid w:val="00FD1A9E"/>
    <w:rsid w:val="00FD2079"/>
    <w:rsid w:val="00FD20FB"/>
    <w:rsid w:val="00FD2347"/>
    <w:rsid w:val="00FD2A7C"/>
    <w:rsid w:val="00FD30A2"/>
    <w:rsid w:val="00FD31A0"/>
    <w:rsid w:val="00FD3885"/>
    <w:rsid w:val="00FD3C84"/>
    <w:rsid w:val="00FD4B6A"/>
    <w:rsid w:val="00FD5735"/>
    <w:rsid w:val="00FD59EB"/>
    <w:rsid w:val="00FD602E"/>
    <w:rsid w:val="00FD6454"/>
    <w:rsid w:val="00FD64D0"/>
    <w:rsid w:val="00FD7299"/>
    <w:rsid w:val="00FD7333"/>
    <w:rsid w:val="00FD7CC0"/>
    <w:rsid w:val="00FD7F90"/>
    <w:rsid w:val="00FE00B3"/>
    <w:rsid w:val="00FE1C5F"/>
    <w:rsid w:val="00FE1D32"/>
    <w:rsid w:val="00FE1FBE"/>
    <w:rsid w:val="00FE2F67"/>
    <w:rsid w:val="00FE3901"/>
    <w:rsid w:val="00FE39D3"/>
    <w:rsid w:val="00FE3B15"/>
    <w:rsid w:val="00FE4A1D"/>
    <w:rsid w:val="00FE4BCE"/>
    <w:rsid w:val="00FE5083"/>
    <w:rsid w:val="00FE54AE"/>
    <w:rsid w:val="00FE576A"/>
    <w:rsid w:val="00FE5FD0"/>
    <w:rsid w:val="00FE6402"/>
    <w:rsid w:val="00FE67BB"/>
    <w:rsid w:val="00FE6CA1"/>
    <w:rsid w:val="00FE7069"/>
    <w:rsid w:val="00FE75DF"/>
    <w:rsid w:val="00FE7BC3"/>
    <w:rsid w:val="00FE7E79"/>
    <w:rsid w:val="00FE7E7F"/>
    <w:rsid w:val="00FF05F3"/>
    <w:rsid w:val="00FF0A34"/>
    <w:rsid w:val="00FF0ADC"/>
    <w:rsid w:val="00FF0CCA"/>
    <w:rsid w:val="00FF14A9"/>
    <w:rsid w:val="00FF164C"/>
    <w:rsid w:val="00FF1B9B"/>
    <w:rsid w:val="00FF1BA1"/>
    <w:rsid w:val="00FF2455"/>
    <w:rsid w:val="00FF28A8"/>
    <w:rsid w:val="00FF2ADA"/>
    <w:rsid w:val="00FF36D7"/>
    <w:rsid w:val="00FF3E7D"/>
    <w:rsid w:val="00FF4203"/>
    <w:rsid w:val="00FF4340"/>
    <w:rsid w:val="00FF4754"/>
    <w:rsid w:val="00FF4A11"/>
    <w:rsid w:val="00FF5A09"/>
    <w:rsid w:val="00FF5B99"/>
    <w:rsid w:val="00FF667A"/>
    <w:rsid w:val="00FF68F2"/>
    <w:rsid w:val="00FF6B58"/>
    <w:rsid w:val="00FF730C"/>
    <w:rsid w:val="00FF73F4"/>
    <w:rsid w:val="00FF7CE4"/>
    <w:rsid w:val="00FF7E39"/>
    <w:rsid w:val="02DB2FCC"/>
    <w:rsid w:val="17930800"/>
    <w:rsid w:val="18DB6903"/>
    <w:rsid w:val="23353E69"/>
    <w:rsid w:val="256356D3"/>
    <w:rsid w:val="2C5B0EF2"/>
    <w:rsid w:val="38A54D1B"/>
    <w:rsid w:val="3C5121D5"/>
    <w:rsid w:val="3C97748D"/>
    <w:rsid w:val="3FE46E36"/>
    <w:rsid w:val="4F8E7BA1"/>
    <w:rsid w:val="5EEC4733"/>
    <w:rsid w:val="63F567A3"/>
    <w:rsid w:val="69481CD2"/>
    <w:rsid w:val="76380AD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2"/>
    <w:qFormat/>
    <w:uiPriority w:val="0"/>
    <w:pPr>
      <w:keepNext/>
      <w:keepLines/>
      <w:spacing w:before="260" w:after="260" w:line="416" w:lineRule="auto"/>
      <w:outlineLvl w:val="2"/>
    </w:pPr>
    <w:rPr>
      <w:b/>
      <w:bCs/>
      <w:sz w:val="32"/>
      <w:szCs w:val="32"/>
    </w:rPr>
  </w:style>
  <w:style w:type="paragraph" w:styleId="5">
    <w:name w:val="heading 4"/>
    <w:basedOn w:val="1"/>
    <w:next w:val="1"/>
    <w:link w:val="4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4"/>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5"/>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6"/>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7"/>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8"/>
    <w:qFormat/>
    <w:uiPriority w:val="0"/>
    <w:pPr>
      <w:keepNext/>
      <w:keepLines/>
      <w:adjustRightInd/>
      <w:spacing w:before="240" w:after="64" w:line="320" w:lineRule="auto"/>
      <w:outlineLvl w:val="8"/>
    </w:pPr>
    <w:rPr>
      <w:rFonts w:ascii="Arial" w:hAnsi="Arial" w:eastAsia="黑体"/>
    </w:rPr>
  </w:style>
  <w:style w:type="character" w:default="1" w:styleId="33">
    <w:name w:val="Default Paragraph Font"/>
    <w:semiHidden/>
    <w:unhideWhenUsed/>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243"/>
    <w:unhideWhenUsed/>
    <w:qFormat/>
    <w:uiPriority w:val="99"/>
    <w:pPr>
      <w:jc w:val="left"/>
    </w:pPr>
  </w:style>
  <w:style w:type="paragraph" w:styleId="15">
    <w:name w:val="Body Text"/>
    <w:basedOn w:val="1"/>
    <w:link w:val="92"/>
    <w:qFormat/>
    <w:uiPriority w:val="0"/>
    <w:pPr>
      <w:spacing w:after="120"/>
    </w:pPr>
  </w:style>
  <w:style w:type="paragraph" w:styleId="16">
    <w:name w:val="List Bullet 2"/>
    <w:basedOn w:val="1"/>
    <w:unhideWhenUsed/>
    <w:qFormat/>
    <w:uiPriority w:val="99"/>
    <w:pPr>
      <w:widowControl/>
      <w:numPr>
        <w:ilvl w:val="0"/>
        <w:numId w:val="1"/>
      </w:numPr>
      <w:tabs>
        <w:tab w:val="clear" w:pos="720"/>
      </w:tabs>
      <w:adjustRightInd/>
      <w:spacing w:after="200" w:line="276" w:lineRule="auto"/>
      <w:ind w:left="0" w:firstLine="0"/>
      <w:contextualSpacing/>
      <w:jc w:val="left"/>
    </w:pPr>
    <w:rPr>
      <w:rFonts w:ascii="宋体" w:hAnsi="宋体" w:cstheme="minorBidi"/>
      <w:kern w:val="0"/>
      <w:sz w:val="24"/>
      <w:szCs w:val="22"/>
      <w:lang w:eastAsia="en-US"/>
    </w:rPr>
  </w:style>
  <w:style w:type="paragraph" w:styleId="17">
    <w:name w:val="toc 5"/>
    <w:basedOn w:val="1"/>
    <w:next w:val="1"/>
    <w:autoRedefine/>
    <w:unhideWhenUsed/>
    <w:qFormat/>
    <w:uiPriority w:val="39"/>
    <w:pPr>
      <w:ind w:left="839"/>
    </w:pPr>
    <w:rPr>
      <w:rFonts w:ascii="宋体"/>
    </w:rPr>
  </w:style>
  <w:style w:type="paragraph" w:styleId="18">
    <w:name w:val="toc 3"/>
    <w:basedOn w:val="1"/>
    <w:next w:val="1"/>
    <w:autoRedefine/>
    <w:unhideWhenUsed/>
    <w:qFormat/>
    <w:uiPriority w:val="39"/>
    <w:pPr>
      <w:spacing w:line="300" w:lineRule="exact"/>
      <w:ind w:left="420"/>
    </w:pPr>
    <w:rPr>
      <w:rFonts w:ascii="宋体"/>
    </w:rPr>
  </w:style>
  <w:style w:type="paragraph" w:styleId="19">
    <w:name w:val="Date"/>
    <w:basedOn w:val="1"/>
    <w:next w:val="1"/>
    <w:link w:val="247"/>
    <w:semiHidden/>
    <w:unhideWhenUsed/>
    <w:qFormat/>
    <w:uiPriority w:val="99"/>
    <w:pPr>
      <w:ind w:left="100" w:leftChars="2500"/>
    </w:pPr>
  </w:style>
  <w:style w:type="paragraph" w:styleId="20">
    <w:name w:val="Balloon Text"/>
    <w:basedOn w:val="1"/>
    <w:link w:val="51"/>
    <w:semiHidden/>
    <w:unhideWhenUsed/>
    <w:qFormat/>
    <w:uiPriority w:val="99"/>
    <w:rPr>
      <w:sz w:val="18"/>
      <w:szCs w:val="18"/>
    </w:rPr>
  </w:style>
  <w:style w:type="paragraph" w:styleId="21">
    <w:name w:val="footer"/>
    <w:basedOn w:val="1"/>
    <w:link w:val="50"/>
    <w:qFormat/>
    <w:uiPriority w:val="99"/>
    <w:pPr>
      <w:tabs>
        <w:tab w:val="center" w:pos="4153"/>
        <w:tab w:val="right" w:pos="8306"/>
      </w:tabs>
      <w:adjustRightInd/>
      <w:snapToGrid w:val="0"/>
      <w:spacing w:line="240" w:lineRule="auto"/>
      <w:jc w:val="right"/>
    </w:pPr>
    <w:rPr>
      <w:rFonts w:ascii="宋体"/>
      <w:sz w:val="18"/>
      <w:szCs w:val="18"/>
    </w:rPr>
  </w:style>
  <w:style w:type="paragraph" w:styleId="22">
    <w:name w:val="header"/>
    <w:basedOn w:val="1"/>
    <w:link w:val="49"/>
    <w:qFormat/>
    <w:uiPriority w:val="99"/>
    <w:pPr>
      <w:tabs>
        <w:tab w:val="center" w:pos="4153"/>
        <w:tab w:val="right" w:pos="8306"/>
      </w:tabs>
      <w:adjustRightInd/>
      <w:snapToGrid w:val="0"/>
      <w:jc w:val="center"/>
    </w:pPr>
    <w:rPr>
      <w:sz w:val="18"/>
      <w:szCs w:val="18"/>
    </w:rPr>
  </w:style>
  <w:style w:type="paragraph" w:styleId="23">
    <w:name w:val="toc 1"/>
    <w:basedOn w:val="1"/>
    <w:next w:val="1"/>
    <w:autoRedefine/>
    <w:unhideWhenUsed/>
    <w:qFormat/>
    <w:uiPriority w:val="39"/>
    <w:rPr>
      <w:rFonts w:ascii="宋体"/>
    </w:rPr>
  </w:style>
  <w:style w:type="paragraph" w:styleId="24">
    <w:name w:val="toc 4"/>
    <w:basedOn w:val="1"/>
    <w:next w:val="1"/>
    <w:autoRedefine/>
    <w:unhideWhenUsed/>
    <w:qFormat/>
    <w:uiPriority w:val="39"/>
    <w:pPr>
      <w:tabs>
        <w:tab w:val="right" w:leader="dot" w:pos="9344"/>
      </w:tabs>
      <w:spacing w:line="300" w:lineRule="exact"/>
      <w:ind w:left="629"/>
    </w:pPr>
    <w:rPr>
      <w:rFonts w:ascii="宋体"/>
    </w:rPr>
  </w:style>
  <w:style w:type="paragraph" w:styleId="25">
    <w:name w:val="footnote text"/>
    <w:basedOn w:val="1"/>
    <w:next w:val="1"/>
    <w:link w:val="105"/>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6">
    <w:name w:val="toc 6"/>
    <w:basedOn w:val="1"/>
    <w:next w:val="1"/>
    <w:autoRedefine/>
    <w:unhideWhenUsed/>
    <w:qFormat/>
    <w:uiPriority w:val="39"/>
    <w:pPr>
      <w:spacing w:line="300" w:lineRule="exact"/>
      <w:ind w:left="1049"/>
    </w:pPr>
    <w:rPr>
      <w:rFonts w:ascii="宋体"/>
    </w:rPr>
  </w:style>
  <w:style w:type="paragraph" w:styleId="27">
    <w:name w:val="table of figures"/>
    <w:basedOn w:val="1"/>
    <w:next w:val="1"/>
    <w:semiHidden/>
    <w:qFormat/>
    <w:uiPriority w:val="0"/>
    <w:pPr>
      <w:adjustRightInd/>
      <w:spacing w:line="240" w:lineRule="auto"/>
      <w:jc w:val="left"/>
    </w:pPr>
    <w:rPr>
      <w:szCs w:val="24"/>
    </w:rPr>
  </w:style>
  <w:style w:type="paragraph" w:styleId="28">
    <w:name w:val="toc 2"/>
    <w:basedOn w:val="1"/>
    <w:next w:val="1"/>
    <w:autoRedefine/>
    <w:unhideWhenUsed/>
    <w:qFormat/>
    <w:uiPriority w:val="39"/>
    <w:pPr>
      <w:tabs>
        <w:tab w:val="right" w:leader="dot" w:pos="9344"/>
      </w:tabs>
      <w:spacing w:line="300" w:lineRule="exact"/>
      <w:ind w:left="210"/>
    </w:pPr>
    <w:rPr>
      <w:rFonts w:ascii="宋体"/>
    </w:rPr>
  </w:style>
  <w:style w:type="paragraph" w:styleId="29">
    <w:name w:val="Title"/>
    <w:basedOn w:val="1"/>
    <w:link w:val="54"/>
    <w:qFormat/>
    <w:uiPriority w:val="0"/>
    <w:pPr>
      <w:spacing w:before="240" w:after="60"/>
      <w:jc w:val="center"/>
      <w:outlineLvl w:val="0"/>
    </w:pPr>
    <w:rPr>
      <w:rFonts w:ascii="Arial" w:hAnsi="Arial" w:cs="Arial"/>
      <w:b/>
      <w:bCs/>
      <w:sz w:val="32"/>
      <w:szCs w:val="32"/>
    </w:rPr>
  </w:style>
  <w:style w:type="paragraph" w:styleId="30">
    <w:name w:val="annotation subject"/>
    <w:basedOn w:val="14"/>
    <w:next w:val="14"/>
    <w:link w:val="244"/>
    <w:semiHidden/>
    <w:unhideWhenUsed/>
    <w:qFormat/>
    <w:uiPriority w:val="99"/>
    <w:rPr>
      <w:b/>
      <w:bCs/>
    </w:rPr>
  </w:style>
  <w:style w:type="table" w:styleId="32">
    <w:name w:val="Table Grid"/>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page number"/>
    <w:qFormat/>
    <w:uiPriority w:val="0"/>
    <w:rPr>
      <w:rFonts w:ascii="宋体" w:hAnsi="Times New Roman" w:eastAsia="宋体"/>
      <w:sz w:val="18"/>
    </w:rPr>
  </w:style>
  <w:style w:type="character" w:styleId="36">
    <w:name w:val="Emphasis"/>
    <w:qFormat/>
    <w:uiPriority w:val="20"/>
    <w:rPr>
      <w:i/>
      <w:iCs/>
    </w:rPr>
  </w:style>
  <w:style w:type="character" w:styleId="37">
    <w:name w:val="Hyperlink"/>
    <w:qFormat/>
    <w:uiPriority w:val="99"/>
    <w:rPr>
      <w:rFonts w:ascii="宋体" w:hAnsi="Times New Roman" w:eastAsia="宋体"/>
      <w:color w:val="auto"/>
      <w:spacing w:val="0"/>
      <w:w w:val="100"/>
      <w:position w:val="0"/>
      <w:sz w:val="21"/>
      <w:u w:val="none"/>
      <w:vertAlign w:val="baseline"/>
    </w:rPr>
  </w:style>
  <w:style w:type="character" w:styleId="38">
    <w:name w:val="annotation reference"/>
    <w:basedOn w:val="33"/>
    <w:semiHidden/>
    <w:unhideWhenUsed/>
    <w:qFormat/>
    <w:uiPriority w:val="99"/>
    <w:rPr>
      <w:sz w:val="21"/>
      <w:szCs w:val="21"/>
    </w:rPr>
  </w:style>
  <w:style w:type="character" w:styleId="39">
    <w:name w:val="footnote reference"/>
    <w:semiHidden/>
    <w:qFormat/>
    <w:uiPriority w:val="0"/>
    <w:rPr>
      <w:rFonts w:ascii="宋体" w:hAnsi="宋体" w:eastAsia="宋体" w:cs="Times New Roman"/>
      <w:spacing w:val="0"/>
      <w:sz w:val="18"/>
      <w:vertAlign w:val="superscript"/>
    </w:rPr>
  </w:style>
  <w:style w:type="character" w:customStyle="1" w:styleId="40">
    <w:name w:val="标题 1 字符"/>
    <w:link w:val="2"/>
    <w:qFormat/>
    <w:uiPriority w:val="0"/>
    <w:rPr>
      <w:rFonts w:ascii="Times New Roman" w:hAnsi="Times New Roman" w:eastAsia="宋体" w:cs="Times New Roman"/>
      <w:b/>
      <w:bCs/>
      <w:kern w:val="44"/>
      <w:sz w:val="44"/>
      <w:szCs w:val="44"/>
    </w:rPr>
  </w:style>
  <w:style w:type="character" w:customStyle="1" w:styleId="41">
    <w:name w:val="标题 2 字符"/>
    <w:link w:val="3"/>
    <w:qFormat/>
    <w:uiPriority w:val="0"/>
    <w:rPr>
      <w:rFonts w:ascii="Arial" w:hAnsi="Arial" w:eastAsia="黑体" w:cs="Times New Roman"/>
      <w:b/>
      <w:bCs/>
      <w:sz w:val="32"/>
      <w:szCs w:val="32"/>
    </w:rPr>
  </w:style>
  <w:style w:type="character" w:customStyle="1" w:styleId="42">
    <w:name w:val="标题 3 字符"/>
    <w:link w:val="4"/>
    <w:qFormat/>
    <w:uiPriority w:val="0"/>
    <w:rPr>
      <w:rFonts w:ascii="Times New Roman" w:hAnsi="Times New Roman" w:eastAsia="宋体" w:cs="Times New Roman"/>
      <w:b/>
      <w:bCs/>
      <w:sz w:val="32"/>
      <w:szCs w:val="32"/>
    </w:rPr>
  </w:style>
  <w:style w:type="character" w:customStyle="1" w:styleId="43">
    <w:name w:val="标题 4 字符"/>
    <w:link w:val="5"/>
    <w:qFormat/>
    <w:uiPriority w:val="0"/>
    <w:rPr>
      <w:rFonts w:ascii="Arial" w:hAnsi="Arial" w:eastAsia="黑体" w:cs="Times New Roman"/>
      <w:b/>
      <w:bCs/>
      <w:sz w:val="28"/>
      <w:szCs w:val="28"/>
    </w:rPr>
  </w:style>
  <w:style w:type="character" w:customStyle="1" w:styleId="44">
    <w:name w:val="标题 5 字符"/>
    <w:link w:val="6"/>
    <w:qFormat/>
    <w:uiPriority w:val="0"/>
    <w:rPr>
      <w:rFonts w:ascii="Times New Roman" w:hAnsi="Times New Roman" w:eastAsia="宋体" w:cs="Times New Roman"/>
      <w:b/>
      <w:bCs/>
      <w:sz w:val="28"/>
      <w:szCs w:val="28"/>
    </w:rPr>
  </w:style>
  <w:style w:type="character" w:customStyle="1" w:styleId="45">
    <w:name w:val="标题 6 字符"/>
    <w:link w:val="7"/>
    <w:qFormat/>
    <w:uiPriority w:val="0"/>
    <w:rPr>
      <w:rFonts w:ascii="Arial" w:hAnsi="Arial" w:eastAsia="黑体" w:cs="Times New Roman"/>
      <w:b/>
      <w:bCs/>
      <w:sz w:val="24"/>
      <w:szCs w:val="24"/>
    </w:rPr>
  </w:style>
  <w:style w:type="character" w:customStyle="1" w:styleId="46">
    <w:name w:val="标题 7 字符"/>
    <w:link w:val="8"/>
    <w:qFormat/>
    <w:uiPriority w:val="0"/>
    <w:rPr>
      <w:rFonts w:ascii="Times New Roman" w:hAnsi="Times New Roman" w:eastAsia="宋体" w:cs="Times New Roman"/>
      <w:b/>
      <w:bCs/>
      <w:sz w:val="24"/>
      <w:szCs w:val="24"/>
    </w:rPr>
  </w:style>
  <w:style w:type="character" w:customStyle="1" w:styleId="47">
    <w:name w:val="标题 8 字符"/>
    <w:link w:val="9"/>
    <w:qFormat/>
    <w:uiPriority w:val="0"/>
    <w:rPr>
      <w:rFonts w:ascii="Arial" w:hAnsi="Arial" w:eastAsia="黑体" w:cs="Times New Roman"/>
      <w:sz w:val="24"/>
      <w:szCs w:val="24"/>
    </w:rPr>
  </w:style>
  <w:style w:type="character" w:customStyle="1" w:styleId="48">
    <w:name w:val="标题 9 字符"/>
    <w:link w:val="10"/>
    <w:qFormat/>
    <w:uiPriority w:val="0"/>
    <w:rPr>
      <w:rFonts w:ascii="Arial" w:hAnsi="Arial" w:eastAsia="黑体" w:cs="Times New Roman"/>
      <w:szCs w:val="21"/>
    </w:rPr>
  </w:style>
  <w:style w:type="character" w:customStyle="1" w:styleId="49">
    <w:name w:val="页眉 字符"/>
    <w:link w:val="22"/>
    <w:qFormat/>
    <w:uiPriority w:val="99"/>
    <w:rPr>
      <w:rFonts w:ascii="Times New Roman" w:hAnsi="Times New Roman" w:eastAsia="宋体" w:cs="Times New Roman"/>
      <w:sz w:val="18"/>
      <w:szCs w:val="18"/>
    </w:rPr>
  </w:style>
  <w:style w:type="character" w:customStyle="1" w:styleId="50">
    <w:name w:val="页脚 字符"/>
    <w:link w:val="21"/>
    <w:qFormat/>
    <w:uiPriority w:val="99"/>
    <w:rPr>
      <w:rFonts w:ascii="宋体" w:hAnsi="Times New Roman" w:eastAsia="宋体" w:cs="Times New Roman"/>
      <w:sz w:val="18"/>
      <w:szCs w:val="18"/>
    </w:rPr>
  </w:style>
  <w:style w:type="character" w:customStyle="1" w:styleId="51">
    <w:name w:val="批注框文本 字符"/>
    <w:link w:val="20"/>
    <w:semiHidden/>
    <w:qFormat/>
    <w:uiPriority w:val="99"/>
    <w:rPr>
      <w:sz w:val="18"/>
      <w:szCs w:val="18"/>
    </w:rPr>
  </w:style>
  <w:style w:type="paragraph" w:styleId="52">
    <w:name w:val="Quote"/>
    <w:basedOn w:val="1"/>
    <w:next w:val="1"/>
    <w:link w:val="53"/>
    <w:qFormat/>
    <w:uiPriority w:val="29"/>
    <w:rPr>
      <w:i/>
      <w:iCs/>
      <w:color w:val="000000"/>
    </w:rPr>
  </w:style>
  <w:style w:type="character" w:customStyle="1" w:styleId="53">
    <w:name w:val="引用 字符"/>
    <w:link w:val="52"/>
    <w:qFormat/>
    <w:uiPriority w:val="29"/>
    <w:rPr>
      <w:i/>
      <w:iCs/>
      <w:color w:val="000000"/>
    </w:rPr>
  </w:style>
  <w:style w:type="character" w:customStyle="1" w:styleId="54">
    <w:name w:val="标题 字符"/>
    <w:link w:val="29"/>
    <w:qFormat/>
    <w:uiPriority w:val="0"/>
    <w:rPr>
      <w:rFonts w:ascii="Arial" w:hAnsi="Arial" w:eastAsia="宋体" w:cs="Arial"/>
      <w:b/>
      <w:bCs/>
      <w:sz w:val="32"/>
      <w:szCs w:val="32"/>
    </w:rPr>
  </w:style>
  <w:style w:type="paragraph" w:customStyle="1" w:styleId="5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9">
    <w:name w:val="标准书眉一"/>
    <w:qFormat/>
    <w:uiPriority w:val="0"/>
    <w:pPr>
      <w:jc w:val="both"/>
    </w:pPr>
    <w:rPr>
      <w:rFonts w:ascii="Times New Roman" w:hAnsi="Times New Roman" w:eastAsia="宋体" w:cs="Times New Roman"/>
      <w:lang w:val="en-US" w:eastAsia="zh-CN" w:bidi="ar-SA"/>
    </w:rPr>
  </w:style>
  <w:style w:type="paragraph" w:customStyle="1" w:styleId="60">
    <w:name w:val="标准文件_ICS"/>
    <w:basedOn w:val="1"/>
    <w:qFormat/>
    <w:uiPriority w:val="0"/>
    <w:pPr>
      <w:spacing w:line="0" w:lineRule="atLeast"/>
    </w:pPr>
    <w:rPr>
      <w:rFonts w:ascii="黑体" w:hAnsi="宋体" w:eastAsia="黑体"/>
    </w:rPr>
  </w:style>
  <w:style w:type="paragraph" w:customStyle="1" w:styleId="61">
    <w:name w:val="标准文件_标准正文"/>
    <w:basedOn w:val="1"/>
    <w:next w:val="62"/>
    <w:qFormat/>
    <w:uiPriority w:val="0"/>
    <w:pPr>
      <w:snapToGrid w:val="0"/>
      <w:ind w:firstLine="200" w:firstLineChars="200"/>
    </w:pPr>
    <w:rPr>
      <w:kern w:val="0"/>
    </w:rPr>
  </w:style>
  <w:style w:type="paragraph" w:customStyle="1" w:styleId="62">
    <w:name w:val="标准文件_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
    <w:name w:val="标准文件_版本"/>
    <w:basedOn w:val="61"/>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Lines="4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2"/>
      </w:numPr>
    </w:pPr>
    <w:rPr>
      <w:rFonts w:ascii="宋体" w:hAnsi="Times New Roman" w:eastAsia="宋体" w:cs="Times New Roman"/>
      <w:lang w:val="en-US" w:eastAsia="zh-CN" w:bidi="ar-SA"/>
    </w:rPr>
  </w:style>
  <w:style w:type="paragraph" w:customStyle="1" w:styleId="71">
    <w:name w:val="标准文件_二级条标题"/>
    <w:next w:val="62"/>
    <w:qFormat/>
    <w:uiPriority w:val="0"/>
    <w:pPr>
      <w:widowControl w:val="0"/>
      <w:numPr>
        <w:ilvl w:val="3"/>
        <w:numId w:val="3"/>
      </w:numPr>
      <w:spacing w:beforeLines="50" w:afterLines="50"/>
      <w:jc w:val="both"/>
      <w:outlineLvl w:val="2"/>
    </w:pPr>
    <w:rPr>
      <w:rFonts w:ascii="黑体" w:hAnsi="Times New Roman" w:eastAsia="黑体" w:cs="Times New Roman"/>
      <w:sz w:val="21"/>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62"/>
    <w:qFormat/>
    <w:uiPriority w:val="0"/>
    <w:pPr>
      <w:numPr>
        <w:ilvl w:val="0"/>
        <w:numId w:val="4"/>
      </w:numPr>
      <w:ind w:firstLine="0" w:firstLineChars="0"/>
    </w:pPr>
  </w:style>
  <w:style w:type="paragraph" w:customStyle="1" w:styleId="74">
    <w:name w:val="标准文件_封面标准编号"/>
    <w:basedOn w:val="1"/>
    <w:next w:val="65"/>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62"/>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62"/>
    <w:qFormat/>
    <w:uiPriority w:val="0"/>
    <w:pPr>
      <w:numPr>
        <w:ilvl w:val="0"/>
        <w:numId w:val="5"/>
      </w:numPr>
      <w:shd w:val="clear" w:color="FFFFFF" w:fill="FFFFFF"/>
      <w:tabs>
        <w:tab w:val="left" w:pos="6406"/>
      </w:tabs>
      <w:spacing w:beforeLines="25"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62"/>
    <w:qFormat/>
    <w:uiPriority w:val="0"/>
    <w:pPr>
      <w:numPr>
        <w:ilvl w:val="1"/>
        <w:numId w:val="6"/>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62"/>
    <w:qFormat/>
    <w:uiPriority w:val="0"/>
    <w:pPr>
      <w:widowControl w:val="0"/>
      <w:numPr>
        <w:ilvl w:val="1"/>
        <w:numId w:val="5"/>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62"/>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1"/>
    <w:next w:val="61"/>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62"/>
    <w:qFormat/>
    <w:uiPriority w:val="0"/>
    <w:pPr>
      <w:widowControl w:val="0"/>
      <w:numPr>
        <w:ilvl w:val="3"/>
        <w:numId w:val="5"/>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62"/>
    <w:qFormat/>
    <w:uiPriority w:val="0"/>
    <w:pPr>
      <w:widowControl w:val="0"/>
      <w:numPr>
        <w:ilvl w:val="4"/>
        <w:numId w:val="5"/>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62"/>
    <w:qFormat/>
    <w:uiPriority w:val="0"/>
    <w:pPr>
      <w:numPr>
        <w:ilvl w:val="1"/>
        <w:numId w:val="7"/>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90">
    <w:name w:val="标准文件_附录五级条标题"/>
    <w:next w:val="62"/>
    <w:qFormat/>
    <w:uiPriority w:val="0"/>
    <w:pPr>
      <w:widowControl w:val="0"/>
      <w:numPr>
        <w:ilvl w:val="5"/>
        <w:numId w:val="5"/>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5"/>
    <w:qFormat/>
    <w:uiPriority w:val="0"/>
    <w:pPr>
      <w:numPr>
        <w:ilvl w:val="0"/>
        <w:numId w:val="8"/>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5"/>
    <w:qFormat/>
    <w:uiPriority w:val="0"/>
    <w:rPr>
      <w:rFonts w:ascii="Times New Roman" w:hAnsi="Times New Roman" w:eastAsia="宋体" w:cs="Times New Roman"/>
      <w:szCs w:val="20"/>
    </w:rPr>
  </w:style>
  <w:style w:type="paragraph" w:customStyle="1" w:styleId="93">
    <w:name w:val="标准文件_附录章标题"/>
    <w:next w:val="62"/>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62"/>
    <w:next w:val="62"/>
    <w:qFormat/>
    <w:uiPriority w:val="0"/>
    <w:pPr>
      <w:ind w:left="488" w:leftChars="200" w:hanging="289" w:hangingChars="290"/>
    </w:pPr>
  </w:style>
  <w:style w:type="paragraph" w:customStyle="1" w:styleId="95">
    <w:name w:val="标准文件_前言、引言标题"/>
    <w:next w:val="1"/>
    <w:qFormat/>
    <w:uiPriority w:val="0"/>
    <w:pPr>
      <w:numPr>
        <w:ilvl w:val="0"/>
        <w:numId w:val="9"/>
      </w:numPr>
      <w:shd w:val="clear" w:color="FFFFFF" w:fill="FFFFFF"/>
      <w:spacing w:afterLines="15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62"/>
    <w:qFormat/>
    <w:uiPriority w:val="0"/>
    <w:pPr>
      <w:spacing w:line="460" w:lineRule="exact"/>
    </w:pPr>
  </w:style>
  <w:style w:type="paragraph" w:customStyle="1" w:styleId="97">
    <w:name w:val="标准文件_目录标题"/>
    <w:basedOn w:val="1"/>
    <w:qFormat/>
    <w:uiPriority w:val="0"/>
    <w:pPr>
      <w:spacing w:afterLines="150" w:line="240" w:lineRule="auto"/>
      <w:jc w:val="center"/>
    </w:pPr>
    <w:rPr>
      <w:rFonts w:ascii="黑体" w:eastAsia="黑体"/>
      <w:sz w:val="32"/>
    </w:rPr>
  </w:style>
  <w:style w:type="paragraph" w:customStyle="1" w:styleId="98">
    <w:name w:val="标准文件_破折号列项"/>
    <w:qFormat/>
    <w:uiPriority w:val="0"/>
    <w:pPr>
      <w:numPr>
        <w:ilvl w:val="0"/>
        <w:numId w:val="10"/>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1"/>
      </w:numPr>
    </w:pPr>
  </w:style>
  <w:style w:type="paragraph" w:customStyle="1" w:styleId="100">
    <w:name w:val="标准文件_三级条标题"/>
    <w:basedOn w:val="71"/>
    <w:next w:val="62"/>
    <w:qFormat/>
    <w:uiPriority w:val="0"/>
    <w:pPr>
      <w:widowControl/>
      <w:numPr>
        <w:ilvl w:val="4"/>
      </w:numPr>
      <w:outlineLvl w:val="3"/>
    </w:pPr>
  </w:style>
  <w:style w:type="character" w:customStyle="1" w:styleId="101">
    <w:name w:val="不明显参考1"/>
    <w:qFormat/>
    <w:uiPriority w:val="31"/>
    <w:rPr>
      <w:smallCaps/>
      <w:color w:val="C0504D"/>
      <w:u w:val="single"/>
    </w:rPr>
  </w:style>
  <w:style w:type="paragraph" w:customStyle="1" w:styleId="102">
    <w:name w:val="标准文件_示例后续"/>
    <w:basedOn w:val="1"/>
    <w:qFormat/>
    <w:uiPriority w:val="0"/>
    <w:pPr>
      <w:adjustRightInd/>
      <w:spacing w:line="240" w:lineRule="auto"/>
      <w:ind w:firstLine="200" w:firstLineChars="200"/>
    </w:pPr>
    <w:rPr>
      <w:sz w:val="18"/>
      <w:szCs w:val="24"/>
    </w:rPr>
  </w:style>
  <w:style w:type="paragraph" w:customStyle="1" w:styleId="103">
    <w:name w:val="标准文件_数字编号列项"/>
    <w:qFormat/>
    <w:uiPriority w:val="0"/>
    <w:pPr>
      <w:numPr>
        <w:ilvl w:val="0"/>
        <w:numId w:val="12"/>
      </w:numPr>
      <w:jc w:val="both"/>
    </w:pPr>
    <w:rPr>
      <w:rFonts w:ascii="宋体" w:hAnsi="宋体" w:eastAsia="宋体" w:cs="Times New Roman"/>
      <w:sz w:val="21"/>
      <w:lang w:val="en-US" w:eastAsia="zh-CN" w:bidi="ar-SA"/>
    </w:rPr>
  </w:style>
  <w:style w:type="paragraph" w:customStyle="1" w:styleId="104">
    <w:name w:val="标准文件_四级条标题"/>
    <w:next w:val="62"/>
    <w:qFormat/>
    <w:uiPriority w:val="0"/>
    <w:pPr>
      <w:widowControl w:val="0"/>
      <w:numPr>
        <w:ilvl w:val="5"/>
        <w:numId w:val="3"/>
      </w:numPr>
      <w:spacing w:beforeLines="50" w:afterLines="50"/>
      <w:jc w:val="both"/>
      <w:outlineLvl w:val="4"/>
    </w:pPr>
    <w:rPr>
      <w:rFonts w:ascii="黑体" w:hAnsi="Times New Roman" w:eastAsia="黑体" w:cs="Times New Roman"/>
      <w:sz w:val="21"/>
      <w:lang w:val="en-US" w:eastAsia="zh-CN" w:bidi="ar-SA"/>
    </w:rPr>
  </w:style>
  <w:style w:type="character" w:customStyle="1" w:styleId="105">
    <w:name w:val="脚注文本 字符"/>
    <w:link w:val="25"/>
    <w:semiHidden/>
    <w:qFormat/>
    <w:uiPriority w:val="0"/>
    <w:rPr>
      <w:rFonts w:ascii="宋体" w:hAnsi="Times New Roman" w:eastAsia="宋体" w:cs="Times New Roman"/>
      <w:sz w:val="18"/>
      <w:szCs w:val="18"/>
    </w:rPr>
  </w:style>
  <w:style w:type="paragraph" w:customStyle="1" w:styleId="106">
    <w:name w:val="标准文件_条文脚注"/>
    <w:basedOn w:val="25"/>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62"/>
    <w:qFormat/>
    <w:uiPriority w:val="0"/>
    <w:pPr>
      <w:numPr>
        <w:ilvl w:val="0"/>
        <w:numId w:val="13"/>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62"/>
    <w:qFormat/>
    <w:uiPriority w:val="0"/>
    <w:pPr>
      <w:widowControl w:val="0"/>
      <w:numPr>
        <w:ilvl w:val="6"/>
        <w:numId w:val="3"/>
      </w:numPr>
      <w:spacing w:beforeLines="50" w:afterLines="50"/>
      <w:jc w:val="both"/>
      <w:outlineLvl w:val="5"/>
    </w:pPr>
    <w:rPr>
      <w:rFonts w:ascii="黑体" w:hAnsi="Times New Roman" w:eastAsia="黑体" w:cs="Times New Roman"/>
      <w:sz w:val="21"/>
      <w:lang w:val="en-US" w:eastAsia="zh-CN" w:bidi="ar-SA"/>
    </w:rPr>
  </w:style>
  <w:style w:type="paragraph" w:customStyle="1" w:styleId="110">
    <w:name w:val="标准文件_章标题"/>
    <w:next w:val="62"/>
    <w:qFormat/>
    <w:uiPriority w:val="0"/>
    <w:pPr>
      <w:numPr>
        <w:ilvl w:val="1"/>
        <w:numId w:val="3"/>
      </w:numPr>
      <w:spacing w:beforeLines="100" w:afterLines="100"/>
      <w:jc w:val="both"/>
      <w:outlineLvl w:val="0"/>
    </w:pPr>
    <w:rPr>
      <w:rFonts w:ascii="黑体" w:hAnsi="Times New Roman" w:eastAsia="黑体" w:cs="Times New Roman"/>
      <w:sz w:val="21"/>
      <w:lang w:val="en-US" w:eastAsia="zh-CN" w:bidi="ar-SA"/>
    </w:rPr>
  </w:style>
  <w:style w:type="paragraph" w:customStyle="1" w:styleId="111">
    <w:name w:val="标准文件_一级条标题"/>
    <w:basedOn w:val="110"/>
    <w:next w:val="62"/>
    <w:qFormat/>
    <w:uiPriority w:val="0"/>
    <w:pPr>
      <w:numPr>
        <w:ilvl w:val="2"/>
      </w:numPr>
      <w:spacing w:beforeLines="50" w:afterLines="50"/>
      <w:ind w:left="284"/>
      <w:outlineLvl w:val="1"/>
    </w:pPr>
  </w:style>
  <w:style w:type="paragraph" w:customStyle="1" w:styleId="112">
    <w:name w:val="标准文件_一致程度"/>
    <w:basedOn w:val="1"/>
    <w:qFormat/>
    <w:uiPriority w:val="0"/>
    <w:pPr>
      <w:spacing w:line="440" w:lineRule="exact"/>
      <w:jc w:val="center"/>
    </w:pPr>
    <w:rPr>
      <w:sz w:val="28"/>
    </w:rPr>
  </w:style>
  <w:style w:type="paragraph" w:customStyle="1" w:styleId="113">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4">
    <w:name w:val="标准文件_英文图表脚注"/>
    <w:basedOn w:val="61"/>
    <w:qFormat/>
    <w:uiPriority w:val="0"/>
    <w:pPr>
      <w:widowControl/>
      <w:adjustRightInd/>
      <w:snapToGrid/>
      <w:spacing w:line="240" w:lineRule="auto"/>
      <w:ind w:left="79" w:hanging="79" w:hangingChars="80"/>
    </w:pPr>
    <w:rPr>
      <w:rFonts w:ascii="宋体" w:hAnsi="宋体"/>
    </w:rPr>
  </w:style>
  <w:style w:type="paragraph" w:customStyle="1" w:styleId="115">
    <w:name w:val="标准文件_数字编号列项（二级）"/>
    <w:qFormat/>
    <w:uiPriority w:val="0"/>
    <w:pPr>
      <w:numPr>
        <w:ilvl w:val="1"/>
        <w:numId w:val="14"/>
      </w:numPr>
      <w:tabs>
        <w:tab w:val="left" w:pos="852"/>
      </w:tabs>
      <w:jc w:val="both"/>
    </w:pPr>
    <w:rPr>
      <w:rFonts w:ascii="宋体" w:hAnsi="Times New Roman" w:eastAsia="宋体" w:cs="Times New Roman"/>
      <w:sz w:val="21"/>
      <w:lang w:val="en-US" w:eastAsia="zh-CN" w:bidi="ar-SA"/>
    </w:rPr>
  </w:style>
  <w:style w:type="paragraph" w:customStyle="1" w:styleId="116">
    <w:name w:val="标准文件_英文注："/>
    <w:basedOn w:val="1"/>
    <w:next w:val="62"/>
    <w:qFormat/>
    <w:uiPriority w:val="0"/>
    <w:pPr>
      <w:numPr>
        <w:ilvl w:val="0"/>
        <w:numId w:val="15"/>
      </w:numPr>
      <w:tabs>
        <w:tab w:val="left" w:pos="420"/>
      </w:tabs>
      <w:autoSpaceDE w:val="0"/>
      <w:autoSpaceDN w:val="0"/>
      <w:spacing w:line="240" w:lineRule="auto"/>
    </w:pPr>
    <w:rPr>
      <w:rFonts w:ascii="宋体" w:hAnsi="宋体"/>
      <w:kern w:val="0"/>
      <w:sz w:val="18"/>
      <w:szCs w:val="20"/>
    </w:rPr>
  </w:style>
  <w:style w:type="paragraph" w:customStyle="1" w:styleId="117">
    <w:name w:val="标准文件_英文注×："/>
    <w:basedOn w:val="1"/>
    <w:qFormat/>
    <w:uiPriority w:val="0"/>
    <w:pPr>
      <w:numPr>
        <w:ilvl w:val="0"/>
        <w:numId w:val="16"/>
      </w:numPr>
      <w:tabs>
        <w:tab w:val="left" w:pos="210"/>
      </w:tabs>
      <w:autoSpaceDE w:val="0"/>
      <w:autoSpaceDN w:val="0"/>
      <w:spacing w:line="240" w:lineRule="auto"/>
    </w:pPr>
    <w:rPr>
      <w:rFonts w:ascii="宋体" w:hAnsi="宋体"/>
      <w:kern w:val="0"/>
      <w:szCs w:val="20"/>
    </w:rPr>
  </w:style>
  <w:style w:type="paragraph" w:customStyle="1" w:styleId="118">
    <w:name w:val="标准文件_正文表标题"/>
    <w:next w:val="62"/>
    <w:qFormat/>
    <w:uiPriority w:val="0"/>
    <w:pPr>
      <w:numPr>
        <w:ilvl w:val="0"/>
        <w:numId w:val="17"/>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9">
    <w:name w:val="标准文件_正文公式"/>
    <w:basedOn w:val="1"/>
    <w:next w:val="61"/>
    <w:qFormat/>
    <w:uiPriority w:val="0"/>
    <w:pPr>
      <w:tabs>
        <w:tab w:val="center" w:pos="4678"/>
        <w:tab w:val="right" w:leader="middleDot" w:pos="9356"/>
      </w:tabs>
      <w:spacing w:line="240" w:lineRule="auto"/>
    </w:pPr>
    <w:rPr>
      <w:rFonts w:ascii="宋体" w:hAnsi="宋体"/>
    </w:rPr>
  </w:style>
  <w:style w:type="paragraph" w:customStyle="1" w:styleId="120">
    <w:name w:val="标准文件_正文图标题"/>
    <w:next w:val="62"/>
    <w:qFormat/>
    <w:uiPriority w:val="0"/>
    <w:pPr>
      <w:numPr>
        <w:ilvl w:val="0"/>
        <w:numId w:val="18"/>
      </w:numPr>
      <w:spacing w:beforeLines="50" w:afterLines="50"/>
      <w:jc w:val="center"/>
    </w:pPr>
    <w:rPr>
      <w:rFonts w:ascii="黑体" w:hAnsi="Times New Roman" w:eastAsia="黑体" w:cs="Times New Roman"/>
      <w:sz w:val="21"/>
      <w:lang w:val="en-US" w:eastAsia="zh-CN" w:bidi="ar-SA"/>
    </w:rPr>
  </w:style>
  <w:style w:type="paragraph" w:customStyle="1" w:styleId="121">
    <w:name w:val="标准文件_正文英文表标题"/>
    <w:next w:val="62"/>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2">
    <w:name w:val="标准文件_正文英文图标题"/>
    <w:next w:val="62"/>
    <w:qFormat/>
    <w:uiPriority w:val="0"/>
    <w:pPr>
      <w:numPr>
        <w:ilvl w:val="0"/>
        <w:numId w:val="20"/>
      </w:numPr>
      <w:jc w:val="center"/>
    </w:pPr>
    <w:rPr>
      <w:rFonts w:ascii="黑体" w:hAnsi="Times New Roman" w:eastAsia="黑体" w:cs="Times New Roman"/>
      <w:sz w:val="21"/>
      <w:lang w:val="en-US" w:eastAsia="zh-CN" w:bidi="ar-SA"/>
    </w:rPr>
  </w:style>
  <w:style w:type="paragraph" w:customStyle="1" w:styleId="123">
    <w:name w:val="标准文件_编号列项（三级）"/>
    <w:qFormat/>
    <w:uiPriority w:val="0"/>
    <w:pPr>
      <w:numPr>
        <w:ilvl w:val="2"/>
        <w:numId w:val="14"/>
      </w:numPr>
      <w:tabs>
        <w:tab w:val="left" w:pos="852"/>
      </w:tabs>
    </w:pPr>
    <w:rPr>
      <w:rFonts w:ascii="宋体" w:hAnsi="Times New Roman" w:eastAsia="宋体" w:cs="Times New Roman"/>
      <w:sz w:val="21"/>
      <w:lang w:val="en-US" w:eastAsia="zh-CN" w:bidi="ar-SA"/>
    </w:rPr>
  </w:style>
  <w:style w:type="paragraph" w:customStyle="1" w:styleId="124">
    <w:name w:val="二级无标题条"/>
    <w:basedOn w:val="1"/>
    <w:qFormat/>
    <w:uiPriority w:val="0"/>
    <w:pPr>
      <w:numPr>
        <w:ilvl w:val="3"/>
        <w:numId w:val="21"/>
      </w:numPr>
      <w:adjustRightInd/>
      <w:spacing w:line="240" w:lineRule="auto"/>
    </w:pPr>
    <w:rPr>
      <w:rFonts w:ascii="宋体" w:hAnsi="宋体"/>
      <w:szCs w:val="24"/>
    </w:rPr>
  </w:style>
  <w:style w:type="paragraph" w:customStyle="1" w:styleId="125">
    <w:name w:val="发布部门"/>
    <w:next w:val="62"/>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7">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3">
    <w:name w:val="封面正文"/>
    <w:qFormat/>
    <w:uiPriority w:val="0"/>
    <w:pPr>
      <w:jc w:val="both"/>
    </w:pPr>
    <w:rPr>
      <w:rFonts w:ascii="Times New Roman" w:hAnsi="Times New Roman" w:eastAsia="宋体" w:cs="Times New Roman"/>
      <w:lang w:val="en-US" w:eastAsia="zh-CN" w:bidi="ar-SA"/>
    </w:rPr>
  </w:style>
  <w:style w:type="paragraph" w:customStyle="1" w:styleId="134">
    <w:name w:val="附录二级无标题条"/>
    <w:basedOn w:val="1"/>
    <w:next w:val="62"/>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5">
    <w:name w:val="附录三级无标题条"/>
    <w:basedOn w:val="134"/>
    <w:next w:val="62"/>
    <w:qFormat/>
    <w:uiPriority w:val="0"/>
    <w:pPr>
      <w:outlineLvl w:val="4"/>
    </w:pPr>
  </w:style>
  <w:style w:type="paragraph" w:customStyle="1" w:styleId="136">
    <w:name w:val="附录四级无标题条"/>
    <w:basedOn w:val="135"/>
    <w:next w:val="62"/>
    <w:qFormat/>
    <w:uiPriority w:val="0"/>
    <w:pPr>
      <w:outlineLvl w:val="5"/>
    </w:pPr>
  </w:style>
  <w:style w:type="paragraph" w:customStyle="1" w:styleId="137">
    <w:name w:val="附录图"/>
    <w:next w:val="62"/>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8">
    <w:name w:val="标准文件_一级项"/>
    <w:qFormat/>
    <w:uiPriority w:val="0"/>
    <w:pPr>
      <w:numPr>
        <w:ilvl w:val="0"/>
        <w:numId w:val="22"/>
      </w:numPr>
    </w:pPr>
    <w:rPr>
      <w:rFonts w:ascii="宋体" w:hAnsi="Times New Roman" w:eastAsia="宋体" w:cs="Times New Roman"/>
      <w:sz w:val="21"/>
      <w:lang w:val="en-US" w:eastAsia="zh-CN" w:bidi="ar-SA"/>
    </w:rPr>
  </w:style>
  <w:style w:type="paragraph" w:customStyle="1" w:styleId="139">
    <w:name w:val="附录五级无标题条"/>
    <w:basedOn w:val="136"/>
    <w:next w:val="62"/>
    <w:qFormat/>
    <w:uiPriority w:val="0"/>
    <w:pPr>
      <w:outlineLvl w:val="6"/>
    </w:pPr>
  </w:style>
  <w:style w:type="paragraph" w:customStyle="1" w:styleId="140">
    <w:name w:val="附录性质"/>
    <w:basedOn w:val="1"/>
    <w:qFormat/>
    <w:uiPriority w:val="0"/>
    <w:pPr>
      <w:widowControl/>
      <w:adjustRightInd/>
      <w:jc w:val="center"/>
    </w:pPr>
    <w:rPr>
      <w:rFonts w:ascii="黑体" w:eastAsia="黑体"/>
    </w:rPr>
  </w:style>
  <w:style w:type="paragraph" w:customStyle="1" w:styleId="141">
    <w:name w:val="附录一级无标题条"/>
    <w:basedOn w:val="93"/>
    <w:next w:val="62"/>
    <w:qFormat/>
    <w:uiPriority w:val="0"/>
    <w:pPr>
      <w:autoSpaceDN w:val="0"/>
      <w:outlineLvl w:val="2"/>
    </w:pPr>
    <w:rPr>
      <w:rFonts w:ascii="宋体" w:hAnsi="宋体" w:eastAsia="宋体"/>
    </w:rPr>
  </w:style>
  <w:style w:type="character" w:customStyle="1" w:styleId="142">
    <w:name w:val="个人答复风格"/>
    <w:qFormat/>
    <w:uiPriority w:val="0"/>
    <w:rPr>
      <w:rFonts w:ascii="Arial" w:hAnsi="Arial" w:eastAsia="宋体" w:cs="Arial"/>
      <w:color w:val="auto"/>
      <w:spacing w:val="0"/>
      <w:sz w:val="20"/>
    </w:rPr>
  </w:style>
  <w:style w:type="character" w:customStyle="1" w:styleId="143">
    <w:name w:val="个人撰写风格"/>
    <w:qFormat/>
    <w:uiPriority w:val="0"/>
    <w:rPr>
      <w:rFonts w:ascii="Arial" w:hAnsi="Arial" w:eastAsia="宋体" w:cs="Arial"/>
      <w:color w:val="auto"/>
      <w:spacing w:val="0"/>
      <w:sz w:val="20"/>
    </w:rPr>
  </w:style>
  <w:style w:type="paragraph" w:customStyle="1" w:styleId="144">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5">
    <w:name w:val="列项——"/>
    <w:qFormat/>
    <w:uiPriority w:val="0"/>
    <w:pPr>
      <w:widowControl w:val="0"/>
      <w:numPr>
        <w:ilvl w:val="0"/>
        <w:numId w:val="23"/>
      </w:numPr>
      <w:jc w:val="both"/>
    </w:pPr>
    <w:rPr>
      <w:rFonts w:ascii="宋体" w:hAnsi="宋体" w:eastAsia="宋体" w:cs="Times New Roman"/>
      <w:sz w:val="21"/>
      <w:lang w:val="en-US" w:eastAsia="zh-CN" w:bidi="ar-SA"/>
    </w:rPr>
  </w:style>
  <w:style w:type="paragraph" w:customStyle="1" w:styleId="146">
    <w:name w:val="列项·"/>
    <w:basedOn w:val="62"/>
    <w:qFormat/>
    <w:uiPriority w:val="0"/>
    <w:pPr>
      <w:tabs>
        <w:tab w:val="left" w:pos="840"/>
      </w:tabs>
    </w:pPr>
  </w:style>
  <w:style w:type="paragraph" w:customStyle="1" w:styleId="14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8">
    <w:name w:val="目录 21"/>
    <w:basedOn w:val="1"/>
    <w:next w:val="1"/>
    <w:autoRedefine/>
    <w:semiHidden/>
    <w:qFormat/>
    <w:uiPriority w:val="0"/>
    <w:pPr>
      <w:adjustRightInd/>
      <w:spacing w:line="240" w:lineRule="auto"/>
      <w:jc w:val="left"/>
    </w:pPr>
    <w:rPr>
      <w:bCs/>
      <w:iCs/>
    </w:rPr>
  </w:style>
  <w:style w:type="paragraph" w:customStyle="1" w:styleId="149">
    <w:name w:val="目录 31"/>
    <w:basedOn w:val="1"/>
    <w:next w:val="1"/>
    <w:autoRedefine/>
    <w:semiHidden/>
    <w:qFormat/>
    <w:uiPriority w:val="0"/>
    <w:pPr>
      <w:spacing w:line="240" w:lineRule="auto"/>
    </w:pPr>
    <w:rPr>
      <w:rFonts w:ascii="宋体" w:hAnsi="宋体"/>
      <w:iCs/>
    </w:rPr>
  </w:style>
  <w:style w:type="paragraph" w:customStyle="1" w:styleId="150">
    <w:name w:val="目录 41"/>
    <w:basedOn w:val="1"/>
    <w:next w:val="1"/>
    <w:autoRedefine/>
    <w:semiHidden/>
    <w:qFormat/>
    <w:uiPriority w:val="0"/>
    <w:pPr>
      <w:adjustRightInd/>
      <w:spacing w:line="240" w:lineRule="auto"/>
      <w:jc w:val="left"/>
    </w:pPr>
  </w:style>
  <w:style w:type="paragraph" w:customStyle="1" w:styleId="151">
    <w:name w:val="目录 51"/>
    <w:basedOn w:val="1"/>
    <w:next w:val="1"/>
    <w:autoRedefine/>
    <w:semiHidden/>
    <w:qFormat/>
    <w:uiPriority w:val="0"/>
    <w:pPr>
      <w:spacing w:line="240" w:lineRule="auto"/>
    </w:pPr>
    <w:rPr>
      <w:rFonts w:ascii="宋体" w:hAnsi="宋体"/>
    </w:rPr>
  </w:style>
  <w:style w:type="paragraph" w:customStyle="1" w:styleId="152">
    <w:name w:val="目录 61"/>
    <w:basedOn w:val="1"/>
    <w:next w:val="1"/>
    <w:autoRedefine/>
    <w:semiHidden/>
    <w:qFormat/>
    <w:uiPriority w:val="0"/>
    <w:pPr>
      <w:adjustRightInd/>
      <w:spacing w:line="240" w:lineRule="auto"/>
      <w:jc w:val="left"/>
    </w:pPr>
  </w:style>
  <w:style w:type="paragraph" w:customStyle="1" w:styleId="153">
    <w:name w:val="目录 71"/>
    <w:basedOn w:val="152"/>
    <w:autoRedefine/>
    <w:semiHidden/>
    <w:qFormat/>
    <w:uiPriority w:val="0"/>
    <w:pPr>
      <w:ind w:left="1260"/>
    </w:pPr>
  </w:style>
  <w:style w:type="paragraph" w:customStyle="1" w:styleId="154">
    <w:name w:val="目录 81"/>
    <w:basedOn w:val="153"/>
    <w:autoRedefine/>
    <w:semiHidden/>
    <w:qFormat/>
    <w:uiPriority w:val="0"/>
    <w:pPr>
      <w:ind w:left="1470"/>
    </w:pPr>
  </w:style>
  <w:style w:type="paragraph" w:customStyle="1" w:styleId="155">
    <w:name w:val="目录 91"/>
    <w:basedOn w:val="154"/>
    <w:autoRedefine/>
    <w:semiHidden/>
    <w:qFormat/>
    <w:uiPriority w:val="0"/>
    <w:pPr>
      <w:ind w:left="1680"/>
    </w:pPr>
  </w:style>
  <w:style w:type="paragraph" w:customStyle="1" w:styleId="156">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7">
    <w:name w:val="其他发布部门"/>
    <w:basedOn w:val="125"/>
    <w:qFormat/>
    <w:uiPriority w:val="0"/>
    <w:pPr>
      <w:framePr w:wrap="around"/>
      <w:spacing w:line="0" w:lineRule="atLeast"/>
    </w:pPr>
    <w:rPr>
      <w:rFonts w:ascii="黑体" w:eastAsia="黑体"/>
      <w:b w:val="0"/>
    </w:rPr>
  </w:style>
  <w:style w:type="paragraph" w:customStyle="1" w:styleId="158">
    <w:name w:val="前言标题"/>
    <w:next w:val="1"/>
    <w:qFormat/>
    <w:uiPriority w:val="0"/>
    <w:pPr>
      <w:numPr>
        <w:ilvl w:val="0"/>
        <w:numId w:val="3"/>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9">
    <w:name w:val="三级无标题条"/>
    <w:basedOn w:val="1"/>
    <w:qFormat/>
    <w:uiPriority w:val="0"/>
    <w:pPr>
      <w:numPr>
        <w:ilvl w:val="4"/>
        <w:numId w:val="21"/>
      </w:numPr>
      <w:adjustRightInd/>
      <w:spacing w:line="240" w:lineRule="auto"/>
    </w:pPr>
    <w:rPr>
      <w:rFonts w:ascii="宋体" w:hAnsi="宋体"/>
      <w:szCs w:val="24"/>
    </w:rPr>
  </w:style>
  <w:style w:type="paragraph" w:customStyle="1" w:styleId="160">
    <w:name w:val="实施日期"/>
    <w:basedOn w:val="126"/>
    <w:qFormat/>
    <w:uiPriority w:val="0"/>
    <w:pPr>
      <w:framePr w:hSpace="0" w:wrap="around" w:xAlign="right"/>
      <w:jc w:val="right"/>
    </w:pPr>
  </w:style>
  <w:style w:type="paragraph" w:customStyle="1" w:styleId="161">
    <w:name w:val="四级无标题条"/>
    <w:basedOn w:val="1"/>
    <w:qFormat/>
    <w:uiPriority w:val="0"/>
    <w:pPr>
      <w:numPr>
        <w:ilvl w:val="5"/>
        <w:numId w:val="21"/>
      </w:numPr>
      <w:adjustRightInd/>
      <w:spacing w:line="240" w:lineRule="auto"/>
    </w:pPr>
    <w:rPr>
      <w:rFonts w:ascii="宋体" w:hAnsi="宋体"/>
      <w:szCs w:val="24"/>
    </w:rPr>
  </w:style>
  <w:style w:type="paragraph" w:customStyle="1" w:styleId="16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3">
    <w:name w:val="无标题条"/>
    <w:next w:val="62"/>
    <w:qFormat/>
    <w:uiPriority w:val="0"/>
    <w:pPr>
      <w:jc w:val="both"/>
    </w:pPr>
    <w:rPr>
      <w:rFonts w:ascii="宋体" w:hAnsi="宋体" w:eastAsia="宋体" w:cs="Times New Roman"/>
      <w:sz w:val="21"/>
      <w:lang w:val="en-US" w:eastAsia="zh-CN" w:bidi="ar-SA"/>
    </w:rPr>
  </w:style>
  <w:style w:type="paragraph" w:customStyle="1" w:styleId="164">
    <w:name w:val="五级无标题条"/>
    <w:basedOn w:val="1"/>
    <w:qFormat/>
    <w:uiPriority w:val="0"/>
    <w:pPr>
      <w:numPr>
        <w:ilvl w:val="6"/>
        <w:numId w:val="21"/>
      </w:numPr>
      <w:adjustRightInd/>
    </w:pPr>
    <w:rPr>
      <w:szCs w:val="24"/>
    </w:rPr>
  </w:style>
  <w:style w:type="paragraph" w:customStyle="1" w:styleId="165">
    <w:name w:val="一级无标题条"/>
    <w:basedOn w:val="1"/>
    <w:qFormat/>
    <w:uiPriority w:val="0"/>
    <w:pPr>
      <w:numPr>
        <w:ilvl w:val="2"/>
        <w:numId w:val="21"/>
      </w:numPr>
      <w:adjustRightInd/>
      <w:spacing w:before="10" w:after="10" w:line="240" w:lineRule="auto"/>
    </w:pPr>
    <w:rPr>
      <w:rFonts w:ascii="宋体" w:hAnsi="宋体"/>
      <w:szCs w:val="24"/>
    </w:rPr>
  </w:style>
  <w:style w:type="paragraph" w:customStyle="1" w:styleId="16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7">
    <w:name w:val="注×:后续"/>
    <w:basedOn w:val="166"/>
    <w:qFormat/>
    <w:uiPriority w:val="0"/>
    <w:pPr>
      <w:ind w:left="1406" w:leftChars="0" w:hanging="499" w:firstLineChars="0"/>
    </w:pPr>
  </w:style>
  <w:style w:type="paragraph" w:customStyle="1" w:styleId="168">
    <w:name w:val="标准文件_一级无标题"/>
    <w:basedOn w:val="111"/>
    <w:qFormat/>
    <w:uiPriority w:val="0"/>
    <w:pPr>
      <w:spacing w:beforeLines="0" w:afterLines="0"/>
      <w:outlineLvl w:val="9"/>
    </w:pPr>
    <w:rPr>
      <w:rFonts w:ascii="宋体" w:eastAsia="宋体"/>
    </w:rPr>
  </w:style>
  <w:style w:type="paragraph" w:customStyle="1" w:styleId="169">
    <w:name w:val="标准文件_五级无标题"/>
    <w:basedOn w:val="109"/>
    <w:qFormat/>
    <w:uiPriority w:val="0"/>
    <w:pPr>
      <w:spacing w:beforeLines="0" w:afterLines="0"/>
      <w:outlineLvl w:val="9"/>
    </w:pPr>
    <w:rPr>
      <w:rFonts w:ascii="宋体" w:eastAsia="宋体"/>
    </w:rPr>
  </w:style>
  <w:style w:type="paragraph" w:customStyle="1" w:styleId="170">
    <w:name w:val="标准文件_三级无标题"/>
    <w:basedOn w:val="100"/>
    <w:qFormat/>
    <w:uiPriority w:val="0"/>
    <w:pPr>
      <w:spacing w:beforeLines="0" w:afterLines="0"/>
      <w:outlineLvl w:val="9"/>
    </w:pPr>
    <w:rPr>
      <w:rFonts w:ascii="宋体" w:eastAsia="宋体"/>
    </w:rPr>
  </w:style>
  <w:style w:type="paragraph" w:customStyle="1" w:styleId="171">
    <w:name w:val="标准文件_二级无标题"/>
    <w:basedOn w:val="71"/>
    <w:qFormat/>
    <w:uiPriority w:val="0"/>
    <w:pPr>
      <w:spacing w:beforeLines="0" w:afterLines="0"/>
      <w:outlineLvl w:val="9"/>
    </w:pPr>
    <w:rPr>
      <w:rFonts w:ascii="宋体" w:eastAsia="宋体"/>
    </w:rPr>
  </w:style>
  <w:style w:type="paragraph" w:customStyle="1" w:styleId="172">
    <w:name w:val="标准_四级无标题"/>
    <w:basedOn w:val="104"/>
    <w:next w:val="62"/>
    <w:qFormat/>
    <w:uiPriority w:val="0"/>
    <w:rPr>
      <w:rFonts w:eastAsia="宋体"/>
    </w:rPr>
  </w:style>
  <w:style w:type="paragraph" w:customStyle="1" w:styleId="173">
    <w:name w:val="标准文件_四级无标题"/>
    <w:basedOn w:val="104"/>
    <w:qFormat/>
    <w:uiPriority w:val="0"/>
    <w:pPr>
      <w:spacing w:beforeLines="0" w:afterLines="0"/>
      <w:outlineLvl w:val="9"/>
    </w:pPr>
    <w:rPr>
      <w:rFonts w:ascii="宋体" w:hAnsi="黑体" w:eastAsia="宋体"/>
      <w:szCs w:val="52"/>
    </w:rPr>
  </w:style>
  <w:style w:type="paragraph" w:customStyle="1" w:styleId="174">
    <w:name w:val="标准文件_大写罗马数字编号列项"/>
    <w:basedOn w:val="62"/>
    <w:qFormat/>
    <w:uiPriority w:val="0"/>
    <w:pPr>
      <w:numPr>
        <w:ilvl w:val="0"/>
        <w:numId w:val="24"/>
      </w:numPr>
      <w:ind w:firstLine="0" w:firstLineChars="0"/>
    </w:pPr>
    <w:rPr>
      <w:rFonts w:ascii="Times New Roman" w:cs="Arial"/>
      <w:szCs w:val="28"/>
    </w:rPr>
  </w:style>
  <w:style w:type="paragraph" w:customStyle="1" w:styleId="175">
    <w:name w:val="标准文件_小写罗马数字编号列项"/>
    <w:basedOn w:val="62"/>
    <w:qFormat/>
    <w:uiPriority w:val="0"/>
    <w:pPr>
      <w:numPr>
        <w:ilvl w:val="0"/>
        <w:numId w:val="25"/>
      </w:numPr>
      <w:ind w:firstLine="0" w:firstLineChars="0"/>
    </w:pPr>
    <w:rPr>
      <w:rFonts w:cs="Arial"/>
      <w:szCs w:val="28"/>
    </w:rPr>
  </w:style>
  <w:style w:type="paragraph" w:customStyle="1" w:styleId="176">
    <w:name w:val="标准文件_附录标题"/>
    <w:basedOn w:val="82"/>
    <w:qFormat/>
    <w:uiPriority w:val="0"/>
    <w:pPr>
      <w:numPr>
        <w:numId w:val="0"/>
      </w:numPr>
      <w:spacing w:after="280"/>
      <w:outlineLvl w:val="9"/>
    </w:pPr>
  </w:style>
  <w:style w:type="paragraph" w:customStyle="1" w:styleId="177">
    <w:name w:val="标准文件_二级项"/>
    <w:qFormat/>
    <w:uiPriority w:val="0"/>
    <w:rPr>
      <w:rFonts w:ascii="宋体" w:hAnsi="Times New Roman" w:eastAsia="宋体" w:cs="Times New Roman"/>
      <w:sz w:val="21"/>
      <w:lang w:val="en-US" w:eastAsia="zh-CN" w:bidi="ar-SA"/>
    </w:rPr>
  </w:style>
  <w:style w:type="paragraph" w:customStyle="1" w:styleId="178">
    <w:name w:val="标准文件_三级项"/>
    <w:basedOn w:val="1"/>
    <w:qFormat/>
    <w:uiPriority w:val="0"/>
    <w:pPr>
      <w:numPr>
        <w:ilvl w:val="2"/>
        <w:numId w:val="22"/>
      </w:numPr>
      <w:spacing w:line="536870612" w:lineRule="auto"/>
    </w:pPr>
    <w:rPr>
      <w:rFonts w:ascii="Times New Roman" w:hAnsi="Times New Roman"/>
    </w:rPr>
  </w:style>
  <w:style w:type="paragraph" w:customStyle="1" w:styleId="179">
    <w:name w:val="图表脚注说明"/>
    <w:basedOn w:val="1"/>
    <w:next w:val="62"/>
    <w:qFormat/>
    <w:uiPriority w:val="0"/>
    <w:pPr>
      <w:numPr>
        <w:ilvl w:val="0"/>
        <w:numId w:val="26"/>
      </w:numPr>
      <w:adjustRightInd/>
      <w:spacing w:line="240" w:lineRule="auto"/>
    </w:pPr>
    <w:rPr>
      <w:rFonts w:ascii="宋体" w:hAnsi="Times New Roman"/>
      <w:sz w:val="18"/>
      <w:szCs w:val="18"/>
    </w:rPr>
  </w:style>
  <w:style w:type="paragraph" w:customStyle="1" w:styleId="180">
    <w:name w:val="标准文件_字母编号列项（一级）"/>
    <w:qFormat/>
    <w:uiPriority w:val="0"/>
    <w:pPr>
      <w:numPr>
        <w:ilvl w:val="0"/>
        <w:numId w:val="14"/>
      </w:numPr>
      <w:jc w:val="both"/>
    </w:pPr>
    <w:rPr>
      <w:rFonts w:ascii="宋体" w:hAnsi="Times New Roman" w:eastAsia="宋体" w:cs="Times New Roman"/>
      <w:sz w:val="21"/>
      <w:lang w:val="en-US" w:eastAsia="zh-CN" w:bidi="ar-SA"/>
    </w:rPr>
  </w:style>
  <w:style w:type="paragraph" w:customStyle="1" w:styleId="181">
    <w:name w:val="标准文件_索引字母"/>
    <w:next w:val="62"/>
    <w:qFormat/>
    <w:uiPriority w:val="0"/>
    <w:pPr>
      <w:jc w:val="center"/>
    </w:pPr>
    <w:rPr>
      <w:rFonts w:ascii="宋体" w:hAnsi="宋体" w:eastAsia="Times New Roman" w:cs="Times New Roman"/>
      <w:b/>
      <w:kern w:val="2"/>
      <w:sz w:val="21"/>
      <w:lang w:val="en-US" w:eastAsia="zh-CN" w:bidi="ar-SA"/>
    </w:rPr>
  </w:style>
  <w:style w:type="paragraph" w:customStyle="1" w:styleId="182">
    <w:name w:val="标准文件_附录前"/>
    <w:next w:val="62"/>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3">
    <w:name w:val="标准文件_正文标准名称"/>
    <w:qFormat/>
    <w:uiPriority w:val="0"/>
    <w:pPr>
      <w:spacing w:beforeLines="20" w:after="640" w:line="400" w:lineRule="exact"/>
      <w:jc w:val="center"/>
    </w:pPr>
    <w:rPr>
      <w:rFonts w:ascii="黑体" w:hAnsi="黑体" w:eastAsia="黑体" w:cs="Times New Roman"/>
      <w:kern w:val="2"/>
      <w:sz w:val="32"/>
      <w:szCs w:val="32"/>
      <w:lang w:val="en-US" w:eastAsia="zh-CN" w:bidi="ar-SA"/>
    </w:rPr>
  </w:style>
  <w:style w:type="paragraph" w:customStyle="1" w:styleId="184">
    <w:name w:val="标准文件_表格"/>
    <w:basedOn w:val="62"/>
    <w:qFormat/>
    <w:uiPriority w:val="0"/>
    <w:pPr>
      <w:ind w:firstLine="0" w:firstLineChars="0"/>
      <w:jc w:val="center"/>
    </w:pPr>
    <w:rPr>
      <w:sz w:val="18"/>
    </w:rPr>
  </w:style>
  <w:style w:type="paragraph" w:customStyle="1" w:styleId="185">
    <w:name w:val="标准文件_注："/>
    <w:next w:val="62"/>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注×："/>
    <w:qFormat/>
    <w:uiPriority w:val="0"/>
    <w:pPr>
      <w:widowControl w:val="0"/>
      <w:numPr>
        <w:ilvl w:val="0"/>
        <w:numId w:val="28"/>
      </w:numPr>
      <w:autoSpaceDE w:val="0"/>
      <w:autoSpaceDN w:val="0"/>
      <w:jc w:val="both"/>
    </w:pPr>
    <w:rPr>
      <w:rFonts w:ascii="宋体" w:hAnsi="Times New Roman" w:eastAsia="宋体" w:cs="Times New Roman"/>
      <w:sz w:val="18"/>
      <w:szCs w:val="18"/>
      <w:lang w:val="en-US" w:eastAsia="zh-CN" w:bidi="ar-SA"/>
    </w:rPr>
  </w:style>
  <w:style w:type="paragraph" w:customStyle="1" w:styleId="187">
    <w:name w:val="标准文件_示例："/>
    <w:next w:val="188"/>
    <w:qFormat/>
    <w:uiPriority w:val="0"/>
    <w:pPr>
      <w:widowControl w:val="0"/>
      <w:numPr>
        <w:ilvl w:val="0"/>
        <w:numId w:val="29"/>
      </w:numPr>
      <w:jc w:val="both"/>
    </w:pPr>
    <w:rPr>
      <w:rFonts w:ascii="宋体" w:hAnsi="Times New Roman" w:eastAsia="宋体" w:cs="Times New Roman"/>
      <w:sz w:val="18"/>
      <w:szCs w:val="18"/>
      <w:lang w:val="en-US" w:eastAsia="zh-CN" w:bidi="ar-SA"/>
    </w:rPr>
  </w:style>
  <w:style w:type="paragraph" w:customStyle="1" w:styleId="188">
    <w:name w:val="标准文件_示例内容"/>
    <w:basedOn w:val="62"/>
    <w:qFormat/>
    <w:uiPriority w:val="0"/>
    <w:pPr>
      <w:ind w:firstLine="420"/>
    </w:pPr>
    <w:rPr>
      <w:sz w:val="18"/>
    </w:rPr>
  </w:style>
  <w:style w:type="paragraph" w:customStyle="1" w:styleId="189">
    <w:name w:val="标准文件_示例×："/>
    <w:basedOn w:val="1"/>
    <w:next w:val="188"/>
    <w:qFormat/>
    <w:uiPriority w:val="0"/>
    <w:pPr>
      <w:widowControl/>
      <w:numPr>
        <w:ilvl w:val="0"/>
        <w:numId w:val="30"/>
      </w:numPr>
      <w:adjustRightInd/>
      <w:spacing w:line="240" w:lineRule="auto"/>
    </w:pPr>
    <w:rPr>
      <w:rFonts w:ascii="宋体" w:hAnsi="Times New Roman"/>
      <w:kern w:val="0"/>
      <w:sz w:val="18"/>
      <w:szCs w:val="18"/>
    </w:rPr>
  </w:style>
  <w:style w:type="character" w:customStyle="1" w:styleId="190">
    <w:name w:val="标准文件_段 Char"/>
    <w:link w:val="62"/>
    <w:qFormat/>
    <w:uiPriority w:val="0"/>
    <w:rPr>
      <w:rFonts w:ascii="宋体" w:hAnsi="Times New Roman"/>
      <w:sz w:val="21"/>
    </w:rPr>
  </w:style>
  <w:style w:type="paragraph" w:customStyle="1" w:styleId="191">
    <w:name w:val="标准文件_表格续"/>
    <w:basedOn w:val="62"/>
    <w:next w:val="62"/>
    <w:qFormat/>
    <w:uiPriority w:val="0"/>
    <w:pPr>
      <w:jc w:val="center"/>
    </w:pPr>
    <w:rPr>
      <w:rFonts w:ascii="黑体" w:hAnsi="黑体" w:eastAsia="黑体"/>
    </w:rPr>
  </w:style>
  <w:style w:type="character" w:styleId="192">
    <w:name w:val="Placeholder Text"/>
    <w:basedOn w:val="33"/>
    <w:semiHidden/>
    <w:qFormat/>
    <w:uiPriority w:val="99"/>
    <w:rPr>
      <w:color w:val="808080"/>
    </w:rPr>
  </w:style>
  <w:style w:type="paragraph" w:customStyle="1" w:styleId="193">
    <w:name w:val="标准文件_二级项2"/>
    <w:basedOn w:val="62"/>
    <w:qFormat/>
    <w:uiPriority w:val="0"/>
    <w:pPr>
      <w:numPr>
        <w:ilvl w:val="1"/>
        <w:numId w:val="22"/>
      </w:numPr>
      <w:ind w:firstLine="0" w:firstLineChars="0"/>
    </w:pPr>
  </w:style>
  <w:style w:type="paragraph" w:customStyle="1" w:styleId="194">
    <w:name w:val="标准文件_三级项2"/>
    <w:basedOn w:val="62"/>
    <w:qFormat/>
    <w:uiPriority w:val="0"/>
    <w:pPr>
      <w:numPr>
        <w:ilvl w:val="0"/>
        <w:numId w:val="31"/>
      </w:numPr>
      <w:spacing w:line="300" w:lineRule="exact"/>
      <w:ind w:firstLineChars="0"/>
    </w:pPr>
    <w:rPr>
      <w:rFonts w:ascii="Times New Roman"/>
    </w:rPr>
  </w:style>
  <w:style w:type="paragraph" w:customStyle="1" w:styleId="195">
    <w:name w:val="标准文件_一级项2"/>
    <w:basedOn w:val="62"/>
    <w:qFormat/>
    <w:uiPriority w:val="0"/>
    <w:pPr>
      <w:numPr>
        <w:ilvl w:val="0"/>
        <w:numId w:val="32"/>
      </w:numPr>
      <w:spacing w:line="300" w:lineRule="exact"/>
      <w:ind w:firstLineChars="0"/>
    </w:pPr>
    <w:rPr>
      <w:rFonts w:ascii="Times New Roman"/>
    </w:rPr>
  </w:style>
  <w:style w:type="paragraph" w:customStyle="1" w:styleId="196">
    <w:name w:val="标准文件_提示"/>
    <w:basedOn w:val="62"/>
    <w:next w:val="62"/>
    <w:qFormat/>
    <w:uiPriority w:val="0"/>
    <w:pPr>
      <w:ind w:firstLine="420"/>
    </w:pPr>
    <w:rPr>
      <w:rFonts w:ascii="黑体" w:eastAsia="黑体"/>
    </w:rPr>
  </w:style>
  <w:style w:type="character" w:customStyle="1" w:styleId="197">
    <w:name w:val="标准文件_来源"/>
    <w:basedOn w:val="33"/>
    <w:qFormat/>
    <w:uiPriority w:val="1"/>
    <w:rPr>
      <w:rFonts w:eastAsia="宋体"/>
      <w:sz w:val="21"/>
    </w:rPr>
  </w:style>
  <w:style w:type="paragraph" w:customStyle="1" w:styleId="19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9">
    <w:name w:val="其他发布日期"/>
    <w:basedOn w:val="126"/>
    <w:qFormat/>
    <w:uiPriority w:val="0"/>
    <w:pPr>
      <w:framePr w:w="3997" w:h="471" w:hRule="exact" w:hSpace="0" w:vSpace="181" w:wrap="around" w:vAnchor="page" w:hAnchor="page" w:x="1419" w:y="14097"/>
    </w:pPr>
  </w:style>
  <w:style w:type="paragraph" w:customStyle="1" w:styleId="200">
    <w:name w:val="其他实施日期"/>
    <w:basedOn w:val="160"/>
    <w:qFormat/>
    <w:uiPriority w:val="0"/>
    <w:pPr>
      <w:framePr w:w="3997" w:h="471" w:hRule="exact" w:vSpace="181" w:wrap="around" w:vAnchor="page" w:hAnchor="page" w:x="7089" w:y="14097"/>
    </w:pPr>
  </w:style>
  <w:style w:type="paragraph" w:customStyle="1" w:styleId="201">
    <w:name w:val="标准文件_文件编号"/>
    <w:basedOn w:val="62"/>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2">
    <w:name w:val="标准文件_替换文件编号"/>
    <w:basedOn w:val="201"/>
    <w:qFormat/>
    <w:uiPriority w:val="0"/>
    <w:pPr>
      <w:framePr/>
      <w:spacing w:before="57"/>
    </w:pPr>
    <w:rPr>
      <w:sz w:val="21"/>
    </w:rPr>
  </w:style>
  <w:style w:type="paragraph" w:customStyle="1" w:styleId="203">
    <w:name w:val="标准文件_文件名称"/>
    <w:basedOn w:val="62"/>
    <w:next w:val="62"/>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4">
    <w:name w:val="标准文件_附录图标号"/>
    <w:basedOn w:val="62"/>
    <w:next w:val="62"/>
    <w:qFormat/>
    <w:uiPriority w:val="0"/>
    <w:pPr>
      <w:numPr>
        <w:ilvl w:val="0"/>
        <w:numId w:val="7"/>
      </w:numPr>
      <w:spacing w:line="14" w:lineRule="exact"/>
      <w:ind w:firstLine="0" w:firstLineChars="0"/>
      <w:jc w:val="center"/>
    </w:pPr>
    <w:rPr>
      <w:rFonts w:ascii="黑体" w:hAnsi="黑体" w:eastAsia="黑体"/>
      <w:vanish/>
      <w:sz w:val="2"/>
      <w:szCs w:val="21"/>
    </w:rPr>
  </w:style>
  <w:style w:type="paragraph" w:customStyle="1" w:styleId="205">
    <w:name w:val="标准文件_附录表标号"/>
    <w:basedOn w:val="62"/>
    <w:next w:val="62"/>
    <w:qFormat/>
    <w:uiPriority w:val="0"/>
    <w:pPr>
      <w:numPr>
        <w:ilvl w:val="0"/>
        <w:numId w:val="6"/>
      </w:numPr>
      <w:spacing w:line="14" w:lineRule="exact"/>
      <w:ind w:firstLine="0" w:firstLineChars="0"/>
      <w:jc w:val="center"/>
    </w:pPr>
    <w:rPr>
      <w:rFonts w:eastAsia="黑体"/>
      <w:vanish/>
      <w:sz w:val="2"/>
    </w:rPr>
  </w:style>
  <w:style w:type="paragraph" w:customStyle="1" w:styleId="206">
    <w:name w:val="标准文件_引言一级条标题"/>
    <w:basedOn w:val="62"/>
    <w:next w:val="62"/>
    <w:qFormat/>
    <w:uiPriority w:val="0"/>
    <w:pPr>
      <w:numPr>
        <w:ilvl w:val="1"/>
        <w:numId w:val="9"/>
      </w:numPr>
      <w:spacing w:beforeLines="50" w:afterLines="50"/>
      <w:ind w:firstLineChars="0"/>
    </w:pPr>
    <w:rPr>
      <w:rFonts w:ascii="黑体" w:eastAsia="黑体"/>
    </w:rPr>
  </w:style>
  <w:style w:type="paragraph" w:customStyle="1" w:styleId="207">
    <w:name w:val="标准文件_引言二级条标题"/>
    <w:basedOn w:val="62"/>
    <w:next w:val="62"/>
    <w:qFormat/>
    <w:uiPriority w:val="0"/>
    <w:pPr>
      <w:numPr>
        <w:ilvl w:val="2"/>
        <w:numId w:val="9"/>
      </w:numPr>
      <w:spacing w:beforeLines="50" w:afterLines="50"/>
      <w:ind w:firstLineChars="0"/>
    </w:pPr>
    <w:rPr>
      <w:rFonts w:ascii="黑体" w:eastAsia="黑体"/>
    </w:rPr>
  </w:style>
  <w:style w:type="paragraph" w:customStyle="1" w:styleId="208">
    <w:name w:val="标准文件_引言三级条标题"/>
    <w:basedOn w:val="62"/>
    <w:next w:val="62"/>
    <w:qFormat/>
    <w:uiPriority w:val="0"/>
    <w:pPr>
      <w:numPr>
        <w:ilvl w:val="3"/>
        <w:numId w:val="9"/>
      </w:numPr>
      <w:spacing w:beforeLines="50" w:afterLines="50"/>
      <w:ind w:firstLineChars="0"/>
    </w:pPr>
    <w:rPr>
      <w:rFonts w:ascii="黑体" w:eastAsia="黑体"/>
    </w:rPr>
  </w:style>
  <w:style w:type="paragraph" w:customStyle="1" w:styleId="209">
    <w:name w:val="标准文件_引言四级条标题"/>
    <w:basedOn w:val="62"/>
    <w:next w:val="62"/>
    <w:qFormat/>
    <w:uiPriority w:val="0"/>
    <w:pPr>
      <w:numPr>
        <w:ilvl w:val="4"/>
        <w:numId w:val="9"/>
      </w:numPr>
      <w:spacing w:beforeLines="50" w:afterLines="50"/>
      <w:ind w:firstLineChars="0"/>
    </w:pPr>
    <w:rPr>
      <w:rFonts w:ascii="黑体" w:eastAsia="黑体"/>
    </w:rPr>
  </w:style>
  <w:style w:type="paragraph" w:customStyle="1" w:styleId="210">
    <w:name w:val="标准文件_引言五级条标题"/>
    <w:basedOn w:val="62"/>
    <w:next w:val="62"/>
    <w:qFormat/>
    <w:uiPriority w:val="0"/>
    <w:pPr>
      <w:numPr>
        <w:ilvl w:val="5"/>
        <w:numId w:val="9"/>
      </w:numPr>
      <w:spacing w:beforeLines="50" w:afterLines="50"/>
      <w:ind w:firstLineChars="0"/>
    </w:pPr>
    <w:rPr>
      <w:rFonts w:ascii="黑体" w:eastAsia="黑体"/>
    </w:rPr>
  </w:style>
  <w:style w:type="paragraph" w:customStyle="1" w:styleId="211">
    <w:name w:val="标准文件_注后"/>
    <w:basedOn w:val="62"/>
    <w:qFormat/>
    <w:uiPriority w:val="0"/>
    <w:pPr>
      <w:ind w:left="811" w:firstLine="0" w:firstLineChars="0"/>
    </w:pPr>
    <w:rPr>
      <w:sz w:val="18"/>
    </w:rPr>
  </w:style>
  <w:style w:type="paragraph" w:customStyle="1" w:styleId="212">
    <w:name w:val="标准文件_注X后"/>
    <w:basedOn w:val="62"/>
    <w:qFormat/>
    <w:uiPriority w:val="0"/>
    <w:pPr>
      <w:ind w:left="811" w:firstLine="0" w:firstLineChars="0"/>
    </w:pPr>
    <w:rPr>
      <w:sz w:val="18"/>
    </w:rPr>
  </w:style>
  <w:style w:type="paragraph" w:customStyle="1" w:styleId="213">
    <w:name w:val="标准文件_示例后"/>
    <w:basedOn w:val="62"/>
    <w:qFormat/>
    <w:uiPriority w:val="0"/>
    <w:pPr>
      <w:ind w:left="964" w:firstLine="0" w:firstLineChars="0"/>
    </w:pPr>
    <w:rPr>
      <w:sz w:val="18"/>
    </w:rPr>
  </w:style>
  <w:style w:type="paragraph" w:customStyle="1" w:styleId="214">
    <w:name w:val="标准文件_示例X后"/>
    <w:basedOn w:val="62"/>
    <w:link w:val="215"/>
    <w:qFormat/>
    <w:uiPriority w:val="0"/>
    <w:pPr>
      <w:ind w:left="1049" w:firstLine="0" w:firstLineChars="0"/>
    </w:pPr>
    <w:rPr>
      <w:sz w:val="18"/>
    </w:rPr>
  </w:style>
  <w:style w:type="character" w:customStyle="1" w:styleId="215">
    <w:name w:val="标准文件_示例X后 字符"/>
    <w:basedOn w:val="190"/>
    <w:link w:val="214"/>
    <w:qFormat/>
    <w:uiPriority w:val="0"/>
    <w:rPr>
      <w:rFonts w:ascii="宋体" w:hAnsi="Times New Roman"/>
      <w:sz w:val="18"/>
    </w:rPr>
  </w:style>
  <w:style w:type="paragraph" w:customStyle="1" w:styleId="216">
    <w:name w:val="标准文件_索引项"/>
    <w:basedOn w:val="62"/>
    <w:next w:val="62"/>
    <w:qFormat/>
    <w:uiPriority w:val="0"/>
    <w:pPr>
      <w:tabs>
        <w:tab w:val="right" w:leader="dot" w:pos="9356"/>
      </w:tabs>
      <w:ind w:left="210" w:hanging="210" w:firstLineChars="0"/>
      <w:jc w:val="left"/>
    </w:pPr>
  </w:style>
  <w:style w:type="paragraph" w:customStyle="1" w:styleId="217">
    <w:name w:val="标准文件_附录一级无标题"/>
    <w:basedOn w:val="84"/>
    <w:qFormat/>
    <w:uiPriority w:val="0"/>
    <w:pPr>
      <w:spacing w:beforeLines="0" w:afterLines="0" w:line="276" w:lineRule="auto"/>
      <w:outlineLvl w:val="9"/>
    </w:pPr>
    <w:rPr>
      <w:rFonts w:ascii="宋体" w:eastAsia="宋体"/>
    </w:rPr>
  </w:style>
  <w:style w:type="paragraph" w:customStyle="1" w:styleId="218">
    <w:name w:val="标准文件_附录二级无标题"/>
    <w:basedOn w:val="85"/>
    <w:qFormat/>
    <w:uiPriority w:val="0"/>
    <w:pPr>
      <w:spacing w:beforeLines="0" w:afterLines="0" w:line="276" w:lineRule="auto"/>
      <w:outlineLvl w:val="9"/>
    </w:pPr>
    <w:rPr>
      <w:rFonts w:ascii="宋体" w:eastAsia="宋体"/>
    </w:rPr>
  </w:style>
  <w:style w:type="paragraph" w:customStyle="1" w:styleId="219">
    <w:name w:val="标准文件_附录三级无标题"/>
    <w:basedOn w:val="87"/>
    <w:qFormat/>
    <w:uiPriority w:val="0"/>
    <w:pPr>
      <w:spacing w:beforeLines="0" w:afterLines="0" w:line="276" w:lineRule="auto"/>
      <w:outlineLvl w:val="9"/>
    </w:pPr>
    <w:rPr>
      <w:rFonts w:ascii="宋体" w:eastAsia="宋体"/>
    </w:rPr>
  </w:style>
  <w:style w:type="paragraph" w:customStyle="1" w:styleId="220">
    <w:name w:val="标准文件_附录四级无标题"/>
    <w:basedOn w:val="88"/>
    <w:qFormat/>
    <w:uiPriority w:val="0"/>
    <w:pPr>
      <w:spacing w:beforeLines="0" w:afterLines="0" w:line="276" w:lineRule="auto"/>
      <w:outlineLvl w:val="9"/>
    </w:pPr>
    <w:rPr>
      <w:rFonts w:ascii="宋体" w:eastAsia="宋体"/>
    </w:rPr>
  </w:style>
  <w:style w:type="paragraph" w:customStyle="1" w:styleId="221">
    <w:name w:val="标准文件_附录五级无标题"/>
    <w:basedOn w:val="90"/>
    <w:qFormat/>
    <w:uiPriority w:val="0"/>
    <w:pPr>
      <w:spacing w:beforeLines="0" w:afterLines="0" w:line="276" w:lineRule="auto"/>
      <w:outlineLvl w:val="9"/>
    </w:pPr>
    <w:rPr>
      <w:rFonts w:ascii="宋体" w:eastAsia="宋体"/>
    </w:rPr>
  </w:style>
  <w:style w:type="paragraph" w:customStyle="1" w:styleId="222">
    <w:name w:val="标准文件_引言一级无标题"/>
    <w:basedOn w:val="206"/>
    <w:next w:val="62"/>
    <w:qFormat/>
    <w:uiPriority w:val="0"/>
    <w:pPr>
      <w:spacing w:beforeLines="0" w:afterLines="0" w:line="276" w:lineRule="auto"/>
    </w:pPr>
    <w:rPr>
      <w:rFonts w:ascii="宋体" w:eastAsia="宋体"/>
    </w:rPr>
  </w:style>
  <w:style w:type="paragraph" w:customStyle="1" w:styleId="223">
    <w:name w:val="标准文件_引言二级无标题"/>
    <w:basedOn w:val="207"/>
    <w:next w:val="62"/>
    <w:qFormat/>
    <w:uiPriority w:val="0"/>
    <w:pPr>
      <w:spacing w:beforeLines="0" w:afterLines="0" w:line="276" w:lineRule="auto"/>
    </w:pPr>
    <w:rPr>
      <w:rFonts w:ascii="宋体" w:eastAsia="宋体"/>
    </w:rPr>
  </w:style>
  <w:style w:type="paragraph" w:customStyle="1" w:styleId="224">
    <w:name w:val="标准文件_引言三级无标题"/>
    <w:basedOn w:val="208"/>
    <w:next w:val="62"/>
    <w:qFormat/>
    <w:uiPriority w:val="0"/>
    <w:pPr>
      <w:spacing w:beforeLines="0" w:afterLines="0" w:line="276" w:lineRule="auto"/>
    </w:pPr>
    <w:rPr>
      <w:rFonts w:ascii="宋体" w:eastAsia="宋体"/>
    </w:rPr>
  </w:style>
  <w:style w:type="paragraph" w:customStyle="1" w:styleId="225">
    <w:name w:val="标准文件_引言四级无标题"/>
    <w:basedOn w:val="209"/>
    <w:next w:val="62"/>
    <w:qFormat/>
    <w:uiPriority w:val="0"/>
    <w:pPr>
      <w:spacing w:beforeLines="0" w:afterLines="0" w:line="276" w:lineRule="auto"/>
    </w:pPr>
    <w:rPr>
      <w:rFonts w:ascii="宋体" w:eastAsia="宋体"/>
    </w:rPr>
  </w:style>
  <w:style w:type="paragraph" w:customStyle="1" w:styleId="226">
    <w:name w:val="标准文件_引言五级无标题"/>
    <w:basedOn w:val="210"/>
    <w:next w:val="62"/>
    <w:qFormat/>
    <w:uiPriority w:val="0"/>
    <w:pPr>
      <w:spacing w:beforeLines="0" w:afterLines="0" w:line="276" w:lineRule="auto"/>
    </w:pPr>
    <w:rPr>
      <w:rFonts w:ascii="宋体" w:eastAsia="宋体"/>
    </w:rPr>
  </w:style>
  <w:style w:type="paragraph" w:customStyle="1" w:styleId="227">
    <w:name w:val="标准文件_索引标题"/>
    <w:basedOn w:val="69"/>
    <w:next w:val="62"/>
    <w:qFormat/>
    <w:uiPriority w:val="0"/>
    <w:rPr>
      <w:rFonts w:hAnsi="黑体"/>
    </w:rPr>
  </w:style>
  <w:style w:type="paragraph" w:customStyle="1" w:styleId="228">
    <w:name w:val="标准文件_脚注内容"/>
    <w:basedOn w:val="62"/>
    <w:qFormat/>
    <w:uiPriority w:val="0"/>
    <w:pPr>
      <w:ind w:left="400" w:leftChars="200" w:hanging="200" w:hangingChars="200"/>
    </w:pPr>
    <w:rPr>
      <w:sz w:val="15"/>
    </w:rPr>
  </w:style>
  <w:style w:type="paragraph" w:customStyle="1" w:styleId="229">
    <w:name w:val="标准文件_术语条一"/>
    <w:basedOn w:val="168"/>
    <w:next w:val="62"/>
    <w:qFormat/>
    <w:uiPriority w:val="0"/>
  </w:style>
  <w:style w:type="paragraph" w:customStyle="1" w:styleId="230">
    <w:name w:val="标准文件_术语条二"/>
    <w:basedOn w:val="171"/>
    <w:next w:val="62"/>
    <w:qFormat/>
    <w:uiPriority w:val="0"/>
  </w:style>
  <w:style w:type="paragraph" w:customStyle="1" w:styleId="231">
    <w:name w:val="标准文件_术语条三"/>
    <w:basedOn w:val="170"/>
    <w:next w:val="62"/>
    <w:qFormat/>
    <w:uiPriority w:val="0"/>
  </w:style>
  <w:style w:type="paragraph" w:customStyle="1" w:styleId="232">
    <w:name w:val="标准文件_术语条四"/>
    <w:basedOn w:val="173"/>
    <w:next w:val="62"/>
    <w:qFormat/>
    <w:uiPriority w:val="0"/>
  </w:style>
  <w:style w:type="paragraph" w:customStyle="1" w:styleId="233">
    <w:name w:val="标准文件_术语条五"/>
    <w:basedOn w:val="169"/>
    <w:next w:val="62"/>
    <w:qFormat/>
    <w:uiPriority w:val="0"/>
  </w:style>
  <w:style w:type="paragraph" w:customStyle="1" w:styleId="2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5">
    <w:name w:val="发布"/>
    <w:basedOn w:val="33"/>
    <w:qFormat/>
    <w:uiPriority w:val="0"/>
    <w:rPr>
      <w:rFonts w:ascii="黑体" w:eastAsia="黑体"/>
      <w:spacing w:val="85"/>
      <w:w w:val="100"/>
      <w:position w:val="3"/>
      <w:sz w:val="28"/>
      <w:szCs w:val="28"/>
    </w:rPr>
  </w:style>
  <w:style w:type="character" w:customStyle="1" w:styleId="236">
    <w:name w:val="fontstyle01"/>
    <w:qFormat/>
    <w:uiPriority w:val="0"/>
    <w:rPr>
      <w:rFonts w:hint="eastAsia" w:ascii="宋体" w:hAnsi="宋体" w:eastAsia="宋体"/>
      <w:color w:val="000000"/>
      <w:sz w:val="22"/>
      <w:szCs w:val="22"/>
    </w:rPr>
  </w:style>
  <w:style w:type="paragraph" w:customStyle="1" w:styleId="237">
    <w:name w:val="段"/>
    <w:link w:val="23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8">
    <w:name w:val="段 Char"/>
    <w:basedOn w:val="33"/>
    <w:link w:val="237"/>
    <w:qFormat/>
    <w:uiPriority w:val="0"/>
    <w:rPr>
      <w:rFonts w:ascii="宋体" w:hAnsi="Times New Roman"/>
      <w:sz w:val="21"/>
    </w:rPr>
  </w:style>
  <w:style w:type="paragraph" w:customStyle="1" w:styleId="239">
    <w:name w:val="数字编号列项（二级）"/>
    <w:qFormat/>
    <w:uiPriority w:val="0"/>
    <w:pPr>
      <w:numPr>
        <w:ilvl w:val="1"/>
        <w:numId w:val="33"/>
      </w:numPr>
      <w:jc w:val="both"/>
    </w:pPr>
    <w:rPr>
      <w:rFonts w:ascii="宋体" w:hAnsi="Times New Roman" w:eastAsia="宋体" w:cs="Times New Roman"/>
      <w:sz w:val="21"/>
      <w:lang w:val="en-US" w:eastAsia="zh-CN" w:bidi="ar-SA"/>
    </w:rPr>
  </w:style>
  <w:style w:type="paragraph" w:customStyle="1" w:styleId="240">
    <w:name w:val="字母编号列项（一级）"/>
    <w:qFormat/>
    <w:uiPriority w:val="0"/>
    <w:pPr>
      <w:numPr>
        <w:ilvl w:val="0"/>
        <w:numId w:val="33"/>
      </w:numPr>
      <w:jc w:val="both"/>
    </w:pPr>
    <w:rPr>
      <w:rFonts w:ascii="宋体" w:hAnsi="Times New Roman" w:eastAsia="宋体" w:cs="Times New Roman"/>
      <w:sz w:val="21"/>
      <w:lang w:val="en-US" w:eastAsia="zh-CN" w:bidi="ar-SA"/>
    </w:rPr>
  </w:style>
  <w:style w:type="paragraph" w:styleId="241">
    <w:name w:val="List Paragraph"/>
    <w:basedOn w:val="1"/>
    <w:qFormat/>
    <w:uiPriority w:val="34"/>
    <w:pPr>
      <w:ind w:firstLine="420" w:firstLineChars="200"/>
    </w:pPr>
  </w:style>
  <w:style w:type="paragraph" w:customStyle="1" w:styleId="242">
    <w:name w:val="修订1"/>
    <w:hidden/>
    <w:semiHidden/>
    <w:qFormat/>
    <w:uiPriority w:val="99"/>
    <w:rPr>
      <w:rFonts w:ascii="Calibri" w:hAnsi="Calibri" w:eastAsia="宋体" w:cs="Times New Roman"/>
      <w:kern w:val="2"/>
      <w:sz w:val="21"/>
      <w:szCs w:val="21"/>
      <w:lang w:val="en-US" w:eastAsia="zh-CN" w:bidi="ar-SA"/>
    </w:rPr>
  </w:style>
  <w:style w:type="character" w:customStyle="1" w:styleId="243">
    <w:name w:val="批注文字 字符"/>
    <w:basedOn w:val="33"/>
    <w:link w:val="14"/>
    <w:qFormat/>
    <w:uiPriority w:val="99"/>
    <w:rPr>
      <w:kern w:val="2"/>
      <w:sz w:val="21"/>
      <w:szCs w:val="21"/>
    </w:rPr>
  </w:style>
  <w:style w:type="character" w:customStyle="1" w:styleId="244">
    <w:name w:val="批注主题 字符"/>
    <w:basedOn w:val="243"/>
    <w:link w:val="30"/>
    <w:semiHidden/>
    <w:qFormat/>
    <w:uiPriority w:val="99"/>
    <w:rPr>
      <w:b/>
      <w:bCs/>
      <w:kern w:val="2"/>
      <w:sz w:val="21"/>
      <w:szCs w:val="21"/>
    </w:rPr>
  </w:style>
  <w:style w:type="table" w:customStyle="1" w:styleId="245">
    <w:name w:val="Table Normal1"/>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6">
    <w:name w:val="Table Paragraph"/>
    <w:basedOn w:val="1"/>
    <w:qFormat/>
    <w:uiPriority w:val="1"/>
    <w:pPr>
      <w:autoSpaceDE w:val="0"/>
      <w:autoSpaceDN w:val="0"/>
      <w:adjustRightInd/>
      <w:spacing w:line="240" w:lineRule="auto"/>
      <w:jc w:val="left"/>
    </w:pPr>
    <w:rPr>
      <w:rFonts w:ascii="宋体" w:hAnsi="宋体" w:cs="宋体"/>
      <w:kern w:val="0"/>
      <w:sz w:val="22"/>
      <w:szCs w:val="22"/>
      <w:lang w:eastAsia="en-US"/>
    </w:rPr>
  </w:style>
  <w:style w:type="character" w:customStyle="1" w:styleId="247">
    <w:name w:val="日期 字符"/>
    <w:basedOn w:val="33"/>
    <w:link w:val="19"/>
    <w:semiHidden/>
    <w:qFormat/>
    <w:uiPriority w:val="99"/>
    <w:rPr>
      <w:kern w:val="2"/>
      <w:sz w:val="21"/>
      <w:szCs w:val="21"/>
    </w:rPr>
  </w:style>
  <w:style w:type="character" w:customStyle="1" w:styleId="248">
    <w:name w:val="未处理的提及1"/>
    <w:basedOn w:val="33"/>
    <w:semiHidden/>
    <w:unhideWhenUsed/>
    <w:qFormat/>
    <w:uiPriority w:val="99"/>
    <w:rPr>
      <w:color w:val="605E5C"/>
      <w:shd w:val="clear" w:color="auto" w:fill="E1DFDD"/>
    </w:rPr>
  </w:style>
  <w:style w:type="paragraph" w:customStyle="1" w:styleId="249">
    <w:name w:val="修订2"/>
    <w:hidden/>
    <w:unhideWhenUsed/>
    <w:qFormat/>
    <w:uiPriority w:val="99"/>
    <w:rPr>
      <w:rFonts w:ascii="Calibri" w:hAnsi="Calibri" w:eastAsia="宋体" w:cs="Times New Roman"/>
      <w:kern w:val="2"/>
      <w:sz w:val="21"/>
      <w:szCs w:val="21"/>
      <w:lang w:val="en-US" w:eastAsia="zh-CN" w:bidi="ar-SA"/>
    </w:rPr>
  </w:style>
  <w:style w:type="character" w:customStyle="1" w:styleId="250">
    <w:name w:val="未处理的提及2"/>
    <w:basedOn w:val="33"/>
    <w:semiHidden/>
    <w:unhideWhenUsed/>
    <w:qFormat/>
    <w:uiPriority w:val="99"/>
    <w:rPr>
      <w:color w:val="605E5C"/>
      <w:shd w:val="clear" w:color="auto" w:fill="E1DFDD"/>
    </w:rPr>
  </w:style>
  <w:style w:type="character" w:customStyle="1" w:styleId="251">
    <w:name w:val="Subtle Reference"/>
    <w:basedOn w:val="33"/>
    <w:qFormat/>
    <w:uiPriority w:val="31"/>
    <w:rPr>
      <w:smallCaps/>
      <w:color w:val="ED7D31" w:themeColor="accent2"/>
      <w:u w:val="single"/>
      <w14:textFill>
        <w14:solidFill>
          <w14:schemeClr w14:val="accent2"/>
        </w14:solidFill>
      </w14:textFill>
    </w:rPr>
  </w:style>
  <w:style w:type="paragraph" w:customStyle="1" w:styleId="252">
    <w:name w:val="TOC Heading"/>
    <w:basedOn w:val="2"/>
    <w:next w:val="1"/>
    <w:unhideWhenUsed/>
    <w:qFormat/>
    <w:uiPriority w:val="39"/>
    <w:pPr>
      <w:widowControl/>
      <w:adjustRightInd/>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53">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glossaryDocument" Target="glossary/document.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tiff"/><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CA9705200F54D5DA63CB215674CDF32"/>
        <w:style w:val=""/>
        <w:category>
          <w:name w:val="常规"/>
          <w:gallery w:val="placeholder"/>
        </w:category>
        <w:types>
          <w:type w:val="bbPlcHdr"/>
        </w:types>
        <w:behaviors>
          <w:behavior w:val="content"/>
        </w:behaviors>
        <w:description w:val=""/>
        <w:guid w:val="{18E41846-B196-4C51-82BD-87F381C4E779}"/>
      </w:docPartPr>
      <w:docPartBody>
        <w:p w14:paraId="5D99AD64">
          <w:pPr>
            <w:pStyle w:val="5"/>
          </w:pPr>
          <w:r>
            <w:rPr>
              <w:rStyle w:val="4"/>
              <w:rFonts w:hint="eastAsia"/>
            </w:rPr>
            <w:t>单击或点击此处输入文字。</w:t>
          </w:r>
        </w:p>
      </w:docPartBody>
    </w:docPart>
    <w:docPart>
      <w:docPartPr>
        <w:name w:val="A78AD1C4A6FE4F85BA56B7411691F9B7"/>
        <w:style w:val=""/>
        <w:category>
          <w:name w:val="常规"/>
          <w:gallery w:val="placeholder"/>
        </w:category>
        <w:types>
          <w:type w:val="bbPlcHdr"/>
        </w:types>
        <w:behaviors>
          <w:behavior w:val="content"/>
        </w:behaviors>
        <w:description w:val=""/>
        <w:guid w:val="{CF9F6A89-B253-402C-9230-CD72E1555B2B}"/>
      </w:docPartPr>
      <w:docPartBody>
        <w:p w14:paraId="0D664401">
          <w:pPr>
            <w:pStyle w:val="6"/>
          </w:pPr>
          <w:r>
            <w:rPr>
              <w:rStyle w:val="4"/>
              <w:rFonts w:hint="eastAsia"/>
            </w:rPr>
            <w:t>选择一项。</w:t>
          </w:r>
        </w:p>
      </w:docPartBody>
    </w:docPart>
    <w:docPart>
      <w:docPartPr>
        <w:name w:val="85EDC9AD9BB14E2D8D4D102E2FF55561"/>
        <w:style w:val=""/>
        <w:category>
          <w:name w:val="常规"/>
          <w:gallery w:val="placeholder"/>
        </w:category>
        <w:types>
          <w:type w:val="bbPlcHdr"/>
        </w:types>
        <w:behaviors>
          <w:behavior w:val="content"/>
        </w:behaviors>
        <w:description w:val=""/>
        <w:guid w:val="{D51EF9E0-7D62-42BD-921D-CAE70DE5CE5F}"/>
      </w:docPartPr>
      <w:docPartBody>
        <w:p w14:paraId="0C04554F">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162"/>
    <w:rsid w:val="00003FE8"/>
    <w:rsid w:val="00011A76"/>
    <w:rsid w:val="000348BA"/>
    <w:rsid w:val="000450BC"/>
    <w:rsid w:val="0009465C"/>
    <w:rsid w:val="000A3DDF"/>
    <w:rsid w:val="000E0841"/>
    <w:rsid w:val="000E443A"/>
    <w:rsid w:val="000E7CF5"/>
    <w:rsid w:val="00141626"/>
    <w:rsid w:val="00167372"/>
    <w:rsid w:val="00173B81"/>
    <w:rsid w:val="00174180"/>
    <w:rsid w:val="00176055"/>
    <w:rsid w:val="001952A2"/>
    <w:rsid w:val="001A1D04"/>
    <w:rsid w:val="001A259B"/>
    <w:rsid w:val="001A2A33"/>
    <w:rsid w:val="001C2A6A"/>
    <w:rsid w:val="001D07C8"/>
    <w:rsid w:val="002070B5"/>
    <w:rsid w:val="00230ED5"/>
    <w:rsid w:val="0025374A"/>
    <w:rsid w:val="00261A9F"/>
    <w:rsid w:val="0026432B"/>
    <w:rsid w:val="00273FB1"/>
    <w:rsid w:val="0027490E"/>
    <w:rsid w:val="002755C0"/>
    <w:rsid w:val="00275606"/>
    <w:rsid w:val="00277D01"/>
    <w:rsid w:val="00296BFF"/>
    <w:rsid w:val="002A33C6"/>
    <w:rsid w:val="002B4A68"/>
    <w:rsid w:val="002C4316"/>
    <w:rsid w:val="002C72F1"/>
    <w:rsid w:val="00350408"/>
    <w:rsid w:val="0035085A"/>
    <w:rsid w:val="00373B21"/>
    <w:rsid w:val="00385813"/>
    <w:rsid w:val="0038607B"/>
    <w:rsid w:val="003871FC"/>
    <w:rsid w:val="003B42B9"/>
    <w:rsid w:val="003B4F0C"/>
    <w:rsid w:val="003B5A41"/>
    <w:rsid w:val="003C091F"/>
    <w:rsid w:val="003D5F3F"/>
    <w:rsid w:val="003D7200"/>
    <w:rsid w:val="003E2A23"/>
    <w:rsid w:val="003E7EC6"/>
    <w:rsid w:val="00404427"/>
    <w:rsid w:val="0041099C"/>
    <w:rsid w:val="0041696D"/>
    <w:rsid w:val="004420D5"/>
    <w:rsid w:val="00460757"/>
    <w:rsid w:val="00463231"/>
    <w:rsid w:val="004650A2"/>
    <w:rsid w:val="00467588"/>
    <w:rsid w:val="004749A5"/>
    <w:rsid w:val="00475AD5"/>
    <w:rsid w:val="004A776D"/>
    <w:rsid w:val="005421A9"/>
    <w:rsid w:val="00544BC3"/>
    <w:rsid w:val="0055796E"/>
    <w:rsid w:val="005742D4"/>
    <w:rsid w:val="00575889"/>
    <w:rsid w:val="00576E60"/>
    <w:rsid w:val="005829CE"/>
    <w:rsid w:val="005B2C35"/>
    <w:rsid w:val="005B7BFF"/>
    <w:rsid w:val="005C533F"/>
    <w:rsid w:val="005D38EF"/>
    <w:rsid w:val="00606F18"/>
    <w:rsid w:val="00610430"/>
    <w:rsid w:val="006111FD"/>
    <w:rsid w:val="00614121"/>
    <w:rsid w:val="00617831"/>
    <w:rsid w:val="006353A1"/>
    <w:rsid w:val="0064173C"/>
    <w:rsid w:val="00653498"/>
    <w:rsid w:val="00655B5C"/>
    <w:rsid w:val="0069482D"/>
    <w:rsid w:val="00697E1B"/>
    <w:rsid w:val="006C3EB4"/>
    <w:rsid w:val="006D364D"/>
    <w:rsid w:val="006E41A9"/>
    <w:rsid w:val="006F40C3"/>
    <w:rsid w:val="007075A1"/>
    <w:rsid w:val="0072582D"/>
    <w:rsid w:val="00741891"/>
    <w:rsid w:val="00744D9C"/>
    <w:rsid w:val="007808DB"/>
    <w:rsid w:val="00780A89"/>
    <w:rsid w:val="0078799F"/>
    <w:rsid w:val="00790816"/>
    <w:rsid w:val="007966E4"/>
    <w:rsid w:val="007A79ED"/>
    <w:rsid w:val="007A7B5A"/>
    <w:rsid w:val="00814AA1"/>
    <w:rsid w:val="008330F3"/>
    <w:rsid w:val="00843C11"/>
    <w:rsid w:val="008520B1"/>
    <w:rsid w:val="0085525E"/>
    <w:rsid w:val="00873069"/>
    <w:rsid w:val="00882877"/>
    <w:rsid w:val="008849BE"/>
    <w:rsid w:val="00886BF8"/>
    <w:rsid w:val="008A6681"/>
    <w:rsid w:val="009007D9"/>
    <w:rsid w:val="00932BCB"/>
    <w:rsid w:val="0094356F"/>
    <w:rsid w:val="00974599"/>
    <w:rsid w:val="009775F5"/>
    <w:rsid w:val="0098281B"/>
    <w:rsid w:val="0099540A"/>
    <w:rsid w:val="009A38FE"/>
    <w:rsid w:val="009A6C71"/>
    <w:rsid w:val="009B21ED"/>
    <w:rsid w:val="009B4913"/>
    <w:rsid w:val="009C0B3B"/>
    <w:rsid w:val="009E1E4C"/>
    <w:rsid w:val="009E4A54"/>
    <w:rsid w:val="00A10F4C"/>
    <w:rsid w:val="00A4306B"/>
    <w:rsid w:val="00A676CD"/>
    <w:rsid w:val="00A72E26"/>
    <w:rsid w:val="00A7416A"/>
    <w:rsid w:val="00A82D25"/>
    <w:rsid w:val="00AA384C"/>
    <w:rsid w:val="00AB03C8"/>
    <w:rsid w:val="00AD3CC4"/>
    <w:rsid w:val="00AD4C22"/>
    <w:rsid w:val="00AF0303"/>
    <w:rsid w:val="00B05F75"/>
    <w:rsid w:val="00B12E41"/>
    <w:rsid w:val="00B21D65"/>
    <w:rsid w:val="00B2421F"/>
    <w:rsid w:val="00B25A16"/>
    <w:rsid w:val="00B535E2"/>
    <w:rsid w:val="00B54C90"/>
    <w:rsid w:val="00B705B9"/>
    <w:rsid w:val="00B81FE8"/>
    <w:rsid w:val="00BC72AD"/>
    <w:rsid w:val="00BF1BD5"/>
    <w:rsid w:val="00C426A5"/>
    <w:rsid w:val="00C50583"/>
    <w:rsid w:val="00C736AD"/>
    <w:rsid w:val="00C83BE6"/>
    <w:rsid w:val="00CC2231"/>
    <w:rsid w:val="00CD4ADF"/>
    <w:rsid w:val="00CD4CDF"/>
    <w:rsid w:val="00CE3693"/>
    <w:rsid w:val="00CF6E6A"/>
    <w:rsid w:val="00D0320B"/>
    <w:rsid w:val="00D12A3C"/>
    <w:rsid w:val="00D26BAE"/>
    <w:rsid w:val="00D354A1"/>
    <w:rsid w:val="00D46F42"/>
    <w:rsid w:val="00D47DCE"/>
    <w:rsid w:val="00D5163F"/>
    <w:rsid w:val="00D6346C"/>
    <w:rsid w:val="00D70C2A"/>
    <w:rsid w:val="00D73B2E"/>
    <w:rsid w:val="00D9358F"/>
    <w:rsid w:val="00DE5BA2"/>
    <w:rsid w:val="00DF5829"/>
    <w:rsid w:val="00DF6655"/>
    <w:rsid w:val="00E41205"/>
    <w:rsid w:val="00E44926"/>
    <w:rsid w:val="00E5617D"/>
    <w:rsid w:val="00E75086"/>
    <w:rsid w:val="00E76A67"/>
    <w:rsid w:val="00E9023E"/>
    <w:rsid w:val="00E94F9C"/>
    <w:rsid w:val="00E9784B"/>
    <w:rsid w:val="00EA484D"/>
    <w:rsid w:val="00EB6CE5"/>
    <w:rsid w:val="00EE7805"/>
    <w:rsid w:val="00EF306B"/>
    <w:rsid w:val="00F04DA1"/>
    <w:rsid w:val="00F10499"/>
    <w:rsid w:val="00F26162"/>
    <w:rsid w:val="00F269A9"/>
    <w:rsid w:val="00F30B8B"/>
    <w:rsid w:val="00F3744D"/>
    <w:rsid w:val="00F41226"/>
    <w:rsid w:val="00F70295"/>
    <w:rsid w:val="00F8709E"/>
    <w:rsid w:val="00F92BC4"/>
    <w:rsid w:val="00F9453C"/>
    <w:rsid w:val="00FA04EA"/>
    <w:rsid w:val="00FA0BBD"/>
    <w:rsid w:val="00FF15A6"/>
    <w:rsid w:val="00FF229D"/>
    <w:rsid w:val="00FF79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DCA9705200F54D5DA63CB215674CDF3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A78AD1C4A6FE4F85BA56B7411691F9B7"/>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85EDC9AD9BB14E2D8D4D102E2FF55561"/>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5AA481-558C-461D-B0AA-288FE77B3E8F}">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21</Pages>
  <Words>13131</Words>
  <Characters>14705</Characters>
  <Lines>209</Lines>
  <Paragraphs>798</Paragraphs>
  <TotalTime>34</TotalTime>
  <ScaleCrop>false</ScaleCrop>
  <LinksUpToDate>false</LinksUpToDate>
  <CharactersWithSpaces>14951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2026-09-17T10:07:00Z</dcterms:created>
  <dc:creator>hj</dc:creator>
  <dc:description>&lt;config cover="true" show_menu="true" version="1.0.0" doctype="SDKXY"&gt;_x000d_
&lt;/config&gt;</dc:description>
  <cp:lastModifiedBy>潘龙</cp:lastModifiedBy>
  <cp:lastPrinted>2022-04-15T20:32:00Z</cp:lastPrinted>
  <dcterms:modified xsi:type="dcterms:W3CDTF">2026-09-22T08:34:21Z</dcterms:modified>
  <dc:title>地方标准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eyJoZGlkIjoiY2U2MTA3NGM3MzBiOTEyNzEwOTQxNTUxN2M3Yjc0MmUiLCJ1c2VySWQiOiIxNDc5MTEyNTQ1In0=</vt:lpwstr>
  </property>
  <property fmtid="{D5CDD505-2E9C-101B-9397-08002B2CF9AE}" pid="15" name="KSOProductBuildVer">
    <vt:lpwstr>2052-12.1.0.25225</vt:lpwstr>
  </property>
  <property fmtid="{D5CDD505-2E9C-101B-9397-08002B2CF9AE}" pid="16" name="ICV">
    <vt:lpwstr>7076AA5CD94F4B3D8998DA2D5A21DE38_13</vt:lpwstr>
  </property>
</Properties>
</file>