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C8131">
      <w:pPr>
        <w:spacing w:line="360" w:lineRule="auto"/>
        <w:jc w:val="center"/>
        <w:rPr>
          <w:rFonts w:hint="eastAsia" w:ascii="宋体" w:hAnsi="宋体" w:cs="宋体"/>
          <w:szCs w:val="21"/>
          <w:highlight w:val="none"/>
        </w:rPr>
      </w:pPr>
      <w:r>
        <w:rPr>
          <w:rFonts w:hint="eastAsia" w:hAnsi="宋体"/>
          <w:b/>
          <w:sz w:val="28"/>
          <w:szCs w:val="28"/>
          <w:highlight w:val="none"/>
          <w:u w:val="single"/>
          <w:lang w:eastAsia="zh-CN"/>
        </w:rPr>
        <w:t>武汉天河机场T3航站楼部分空置媒体招商项目招商公告</w:t>
      </w:r>
    </w:p>
    <w:p w14:paraId="08987732">
      <w:pPr>
        <w:spacing w:line="360" w:lineRule="auto"/>
        <w:ind w:firstLine="437"/>
        <w:jc w:val="left"/>
        <w:rPr>
          <w:rFonts w:hint="eastAsia" w:ascii="宋体" w:hAnsi="宋体" w:cs="宋体"/>
          <w:szCs w:val="21"/>
          <w:highlight w:val="none"/>
        </w:rPr>
      </w:pPr>
      <w:r>
        <w:rPr>
          <w:rFonts w:hint="eastAsia" w:ascii="宋体" w:hAnsi="宋体" w:cs="宋体"/>
          <w:szCs w:val="21"/>
          <w:highlight w:val="none"/>
        </w:rPr>
        <w:t>湖北国华项目管理咨询有限公司（以下简称“招商代理机构”）受</w:t>
      </w:r>
      <w:r>
        <w:rPr>
          <w:rFonts w:hint="eastAsia" w:hAnsi="宋体"/>
          <w:b/>
          <w:szCs w:val="21"/>
          <w:highlight w:val="none"/>
          <w:u w:val="single"/>
        </w:rPr>
        <w:t>湖北空港首广联合传媒有限公司</w:t>
      </w:r>
      <w:r>
        <w:rPr>
          <w:rFonts w:hint="eastAsia" w:ascii="宋体" w:hAnsi="宋体" w:cs="宋体"/>
          <w:szCs w:val="21"/>
          <w:highlight w:val="none"/>
        </w:rPr>
        <w:t>（以下简称“招商人”）的委托，对</w:t>
      </w:r>
      <w:r>
        <w:rPr>
          <w:rFonts w:hint="eastAsia" w:ascii="宋体" w:hAnsi="宋体" w:cs="宋体"/>
          <w:b/>
          <w:bCs/>
          <w:szCs w:val="21"/>
          <w:highlight w:val="none"/>
          <w:u w:val="single"/>
          <w:lang w:eastAsia="zh-CN"/>
        </w:rPr>
        <w:t>武汉天河机场T3航站楼部分空置媒体招商项目</w:t>
      </w:r>
      <w:r>
        <w:rPr>
          <w:rFonts w:hint="eastAsia" w:ascii="宋体" w:hAnsi="宋体" w:cs="宋体"/>
          <w:b w:val="0"/>
          <w:bCs w:val="0"/>
          <w:szCs w:val="21"/>
          <w:highlight w:val="none"/>
          <w:u w:val="none"/>
          <w:lang w:val="en-US" w:eastAsia="zh-CN"/>
        </w:rPr>
        <w:t>项目</w:t>
      </w:r>
      <w:r>
        <w:rPr>
          <w:rFonts w:hint="eastAsia" w:ascii="宋体" w:hAnsi="宋体" w:cs="宋体"/>
          <w:szCs w:val="21"/>
          <w:highlight w:val="none"/>
        </w:rPr>
        <w:t>进行招商。资金来源：</w:t>
      </w:r>
      <w:r>
        <w:rPr>
          <w:rFonts w:hint="eastAsia" w:hAnsi="宋体"/>
          <w:b/>
          <w:szCs w:val="21"/>
          <w:highlight w:val="none"/>
          <w:u w:val="single"/>
        </w:rPr>
        <w:t xml:space="preserve">招商响应人自筹 </w:t>
      </w:r>
      <w:r>
        <w:rPr>
          <w:rFonts w:hint="eastAsia" w:ascii="宋体" w:hAnsi="宋体" w:cs="宋体"/>
          <w:szCs w:val="21"/>
          <w:highlight w:val="none"/>
        </w:rPr>
        <w:t>。欢迎符合资格条件的招商响应人参加磋商。</w:t>
      </w:r>
    </w:p>
    <w:p w14:paraId="28F93A96">
      <w:pPr>
        <w:spacing w:before="120" w:beforeLines="50" w:after="120" w:afterLines="50" w:line="360" w:lineRule="auto"/>
        <w:outlineLvl w:val="1"/>
        <w:rPr>
          <w:rFonts w:hint="eastAsia" w:ascii="宋体" w:hAnsi="宋体" w:cs="宋体"/>
          <w:b/>
          <w:szCs w:val="21"/>
          <w:highlight w:val="none"/>
        </w:rPr>
      </w:pPr>
      <w:bookmarkStart w:id="0" w:name="_Toc365302267"/>
      <w:bookmarkStart w:id="1" w:name="_Toc380747815"/>
      <w:bookmarkStart w:id="2" w:name="_Toc6581"/>
      <w:bookmarkStart w:id="3" w:name="_Toc1449"/>
      <w:r>
        <w:rPr>
          <w:rFonts w:hint="eastAsia" w:ascii="宋体" w:hAnsi="宋体" w:cs="宋体"/>
          <w:b/>
          <w:szCs w:val="21"/>
          <w:highlight w:val="none"/>
        </w:rPr>
        <w:t>一、项目</w:t>
      </w:r>
      <w:bookmarkEnd w:id="0"/>
      <w:bookmarkEnd w:id="1"/>
      <w:bookmarkEnd w:id="2"/>
      <w:r>
        <w:rPr>
          <w:rFonts w:hint="eastAsia" w:ascii="宋体" w:hAnsi="宋体" w:cs="宋体"/>
          <w:b/>
          <w:szCs w:val="21"/>
          <w:highlight w:val="none"/>
        </w:rPr>
        <w:t>概况</w:t>
      </w:r>
      <w:bookmarkEnd w:id="3"/>
    </w:p>
    <w:p w14:paraId="478169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1.招商人：</w:t>
      </w:r>
      <w:r>
        <w:rPr>
          <w:rFonts w:hint="eastAsia" w:hAnsi="宋体"/>
          <w:b/>
          <w:szCs w:val="21"/>
          <w:highlight w:val="none"/>
          <w:u w:val="single"/>
        </w:rPr>
        <w:t>湖北空港首广联合传媒有限公司</w:t>
      </w:r>
    </w:p>
    <w:p w14:paraId="7952F2AA">
      <w:pPr>
        <w:spacing w:line="360" w:lineRule="auto"/>
        <w:ind w:firstLine="420" w:firstLineChars="200"/>
        <w:rPr>
          <w:rFonts w:hint="eastAsia" w:hAnsi="宋体" w:eastAsia="宋体"/>
          <w:b/>
          <w:szCs w:val="21"/>
          <w:highlight w:val="none"/>
          <w:u w:val="single"/>
          <w:lang w:eastAsia="zh-CN"/>
        </w:rPr>
      </w:pPr>
      <w:r>
        <w:rPr>
          <w:rFonts w:hint="eastAsia" w:ascii="宋体" w:hAnsi="宋体" w:cs="宋体"/>
          <w:szCs w:val="21"/>
          <w:highlight w:val="none"/>
        </w:rPr>
        <w:t>2.项目名称：</w:t>
      </w:r>
      <w:r>
        <w:rPr>
          <w:rFonts w:hint="eastAsia" w:hAnsi="宋体"/>
          <w:b/>
          <w:szCs w:val="21"/>
          <w:highlight w:val="none"/>
          <w:u w:val="single"/>
          <w:lang w:eastAsia="zh-CN"/>
        </w:rPr>
        <w:t>武汉天河机场T3航站楼部分空置媒体招商项目</w:t>
      </w:r>
    </w:p>
    <w:p w14:paraId="0F07461D">
      <w:pPr>
        <w:spacing w:line="360" w:lineRule="auto"/>
        <w:ind w:firstLine="420" w:firstLineChars="200"/>
        <w:rPr>
          <w:rFonts w:hint="eastAsia" w:hAnsi="宋体"/>
          <w:b/>
          <w:szCs w:val="21"/>
          <w:highlight w:val="none"/>
          <w:u w:val="single"/>
        </w:rPr>
      </w:pPr>
      <w:r>
        <w:rPr>
          <w:rFonts w:hint="eastAsia" w:ascii="宋体" w:hAnsi="宋体" w:cs="宋体"/>
          <w:szCs w:val="21"/>
          <w:highlight w:val="none"/>
        </w:rPr>
        <w:t>3.项目编号：ZB0102-202509-FZBFW1448</w:t>
      </w:r>
    </w:p>
    <w:p w14:paraId="1E777BB0">
      <w:pPr>
        <w:tabs>
          <w:tab w:val="left" w:pos="3306"/>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4.招商内容：</w:t>
      </w:r>
      <w:r>
        <w:rPr>
          <w:rFonts w:hint="eastAsia" w:ascii="宋体" w:hAnsi="宋体" w:cs="宋体"/>
          <w:szCs w:val="21"/>
          <w:highlight w:val="none"/>
          <w:u w:val="single"/>
        </w:rPr>
        <w:t>本项目对</w:t>
      </w:r>
      <w:r>
        <w:rPr>
          <w:rFonts w:hint="eastAsia" w:ascii="宋体" w:hAnsi="宋体" w:cs="宋体"/>
          <w:szCs w:val="21"/>
          <w:highlight w:val="none"/>
          <w:u w:val="single"/>
          <w:lang w:eastAsia="zh-CN"/>
        </w:rPr>
        <w:t>四</w:t>
      </w:r>
      <w:r>
        <w:rPr>
          <w:rFonts w:hint="eastAsia" w:ascii="宋体" w:hAnsi="宋体" w:cs="宋体"/>
          <w:szCs w:val="21"/>
          <w:highlight w:val="none"/>
          <w:u w:val="single"/>
        </w:rPr>
        <w:t>个标段进行招商</w:t>
      </w:r>
      <w:r>
        <w:rPr>
          <w:rFonts w:hint="eastAsia" w:ascii="宋体" w:hAnsi="宋体" w:cs="宋体"/>
          <w:szCs w:val="21"/>
          <w:highlight w:val="none"/>
        </w:rPr>
        <w:t>。</w:t>
      </w:r>
    </w:p>
    <w:tbl>
      <w:tblPr>
        <w:tblStyle w:val="3"/>
        <w:tblW w:w="9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672"/>
        <w:gridCol w:w="694"/>
        <w:gridCol w:w="927"/>
        <w:gridCol w:w="906"/>
        <w:gridCol w:w="2138"/>
        <w:gridCol w:w="821"/>
        <w:gridCol w:w="2106"/>
        <w:gridCol w:w="991"/>
      </w:tblGrid>
      <w:tr w14:paraId="0242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564" w:type="dxa"/>
            <w:tcBorders>
              <w:top w:val="single" w:color="000000" w:sz="4" w:space="0"/>
              <w:left w:val="single" w:color="000000" w:sz="4" w:space="0"/>
              <w:bottom w:val="single" w:color="auto" w:sz="4" w:space="0"/>
              <w:right w:val="single" w:color="000000" w:sz="4" w:space="0"/>
            </w:tcBorders>
            <w:shd w:val="clear" w:color="auto" w:fill="auto"/>
            <w:vAlign w:val="center"/>
          </w:tcPr>
          <w:p w14:paraId="0051D3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14:paraId="0FBF6F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标段划分</w:t>
            </w:r>
          </w:p>
        </w:tc>
        <w:tc>
          <w:tcPr>
            <w:tcW w:w="694" w:type="dxa"/>
            <w:tcBorders>
              <w:top w:val="single" w:color="000000" w:sz="4" w:space="0"/>
              <w:left w:val="single" w:color="000000" w:sz="4" w:space="0"/>
              <w:bottom w:val="single" w:color="auto" w:sz="4" w:space="0"/>
              <w:right w:val="single" w:color="000000" w:sz="4" w:space="0"/>
            </w:tcBorders>
            <w:shd w:val="clear" w:color="auto" w:fill="auto"/>
            <w:vAlign w:val="center"/>
          </w:tcPr>
          <w:p w14:paraId="519197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楼层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E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媒体区域</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48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媒体类型</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6B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媒体编号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22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媒体数量</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73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媒体规格（m)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F9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合同可发布起始时间</w:t>
            </w:r>
          </w:p>
        </w:tc>
      </w:tr>
      <w:tr w14:paraId="743C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B13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B64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853C02">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二层</w:t>
            </w:r>
          </w:p>
        </w:tc>
        <w:tc>
          <w:tcPr>
            <w:tcW w:w="92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58F0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行李提取厅出口</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72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灯箱</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8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HBWUH-32G-D007-2</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00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C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10.94*1.35</w:t>
            </w:r>
          </w:p>
        </w:tc>
        <w:tc>
          <w:tcPr>
            <w:tcW w:w="991" w:type="dxa"/>
            <w:vMerge w:val="restart"/>
            <w:tcBorders>
              <w:top w:val="nil"/>
              <w:left w:val="single" w:color="000000" w:sz="4" w:space="0"/>
              <w:bottom w:val="single" w:color="000000" w:sz="4" w:space="0"/>
              <w:right w:val="single" w:color="000000" w:sz="4" w:space="0"/>
            </w:tcBorders>
            <w:shd w:val="clear" w:color="auto" w:fill="auto"/>
            <w:vAlign w:val="center"/>
          </w:tcPr>
          <w:p w14:paraId="34BE4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中标后以合同约定时间起算</w:t>
            </w:r>
          </w:p>
        </w:tc>
      </w:tr>
      <w:tr w14:paraId="6F7D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FB264">
            <w:pPr>
              <w:jc w:val="center"/>
              <w:rPr>
                <w:rFonts w:hint="eastAsia" w:ascii="宋体" w:hAnsi="宋体" w:eastAsia="宋体" w:cs="宋体"/>
                <w:i w:val="0"/>
                <w:iCs w:val="0"/>
                <w:color w:val="000000"/>
                <w:sz w:val="21"/>
                <w:szCs w:val="21"/>
                <w:u w:val="none"/>
              </w:rPr>
            </w:pPr>
          </w:p>
        </w:tc>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FAD82">
            <w:pPr>
              <w:jc w:val="center"/>
              <w:rPr>
                <w:rFonts w:hint="eastAsia" w:ascii="宋体" w:hAnsi="宋体" w:eastAsia="宋体" w:cs="宋体"/>
                <w:i w:val="0"/>
                <w:iCs w:val="0"/>
                <w:color w:val="000000"/>
                <w:sz w:val="21"/>
                <w:szCs w:val="21"/>
                <w:u w:val="none"/>
              </w:rPr>
            </w:pPr>
          </w:p>
        </w:tc>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F2FC7">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1B5AFAB">
            <w:pPr>
              <w:jc w:val="center"/>
              <w:rPr>
                <w:rFonts w:hint="eastAsia" w:ascii="宋体" w:hAnsi="宋体" w:eastAsia="宋体" w:cs="宋体"/>
                <w:i w:val="0"/>
                <w:iCs w:val="0"/>
                <w:color w:val="000000"/>
                <w:sz w:val="21"/>
                <w:szCs w:val="21"/>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3674">
            <w:pPr>
              <w:jc w:val="center"/>
              <w:rPr>
                <w:rFonts w:hint="eastAsia" w:ascii="宋体" w:hAnsi="宋体" w:eastAsia="宋体" w:cs="宋体"/>
                <w:i w:val="0"/>
                <w:iCs w:val="0"/>
                <w:color w:val="000000"/>
                <w:sz w:val="21"/>
                <w:szCs w:val="21"/>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E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HBWUH-32G-D008-2</w:t>
            </w: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D98C">
            <w:pPr>
              <w:jc w:val="center"/>
              <w:rPr>
                <w:rFonts w:hint="eastAsia" w:ascii="宋体" w:hAnsi="宋体" w:eastAsia="宋体" w:cs="宋体"/>
                <w:i w:val="0"/>
                <w:iCs w:val="0"/>
                <w:color w:val="000000"/>
                <w:sz w:val="21"/>
                <w:szCs w:val="21"/>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3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10.94*1.35</w:t>
            </w:r>
          </w:p>
        </w:tc>
        <w:tc>
          <w:tcPr>
            <w:tcW w:w="991" w:type="dxa"/>
            <w:vMerge w:val="continue"/>
            <w:tcBorders>
              <w:top w:val="nil"/>
              <w:left w:val="single" w:color="000000" w:sz="4" w:space="0"/>
              <w:bottom w:val="single" w:color="000000" w:sz="4" w:space="0"/>
              <w:right w:val="single" w:color="000000" w:sz="4" w:space="0"/>
            </w:tcBorders>
            <w:shd w:val="clear" w:color="auto" w:fill="auto"/>
            <w:vAlign w:val="center"/>
          </w:tcPr>
          <w:p w14:paraId="238F1D67">
            <w:pPr>
              <w:jc w:val="center"/>
              <w:rPr>
                <w:rFonts w:hint="eastAsia" w:ascii="宋体" w:hAnsi="宋体" w:eastAsia="宋体" w:cs="宋体"/>
                <w:i w:val="0"/>
                <w:iCs w:val="0"/>
                <w:color w:val="000000"/>
                <w:sz w:val="21"/>
                <w:szCs w:val="21"/>
                <w:u w:val="none"/>
              </w:rPr>
            </w:pPr>
          </w:p>
        </w:tc>
      </w:tr>
      <w:tr w14:paraId="39C1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0EC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D5E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1BECA">
            <w:pPr>
              <w:jc w:val="center"/>
              <w:rPr>
                <w:rFonts w:hint="eastAsia" w:ascii="宋体" w:hAnsi="宋体" w:eastAsia="宋体" w:cs="宋体"/>
                <w:i w:val="0"/>
                <w:iCs w:val="0"/>
                <w:color w:val="000000"/>
                <w:sz w:val="21"/>
                <w:szCs w:val="21"/>
                <w:u w:val="none"/>
              </w:rPr>
            </w:pPr>
          </w:p>
        </w:tc>
        <w:tc>
          <w:tcPr>
            <w:tcW w:w="92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0FAE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混流厅</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A9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灯箱</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HBWUH-32N-D059</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F5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E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8.35*3</w:t>
            </w:r>
          </w:p>
        </w:tc>
        <w:tc>
          <w:tcPr>
            <w:tcW w:w="991" w:type="dxa"/>
            <w:vMerge w:val="continue"/>
            <w:tcBorders>
              <w:top w:val="nil"/>
              <w:left w:val="single" w:color="000000" w:sz="4" w:space="0"/>
              <w:bottom w:val="single" w:color="000000" w:sz="4" w:space="0"/>
              <w:right w:val="single" w:color="000000" w:sz="4" w:space="0"/>
            </w:tcBorders>
            <w:shd w:val="clear" w:color="auto" w:fill="auto"/>
            <w:vAlign w:val="center"/>
          </w:tcPr>
          <w:p w14:paraId="470B93B7">
            <w:pPr>
              <w:jc w:val="center"/>
              <w:rPr>
                <w:rFonts w:hint="eastAsia" w:ascii="宋体" w:hAnsi="宋体" w:eastAsia="宋体" w:cs="宋体"/>
                <w:i w:val="0"/>
                <w:iCs w:val="0"/>
                <w:color w:val="000000"/>
                <w:sz w:val="21"/>
                <w:szCs w:val="21"/>
                <w:u w:val="none"/>
              </w:rPr>
            </w:pPr>
          </w:p>
        </w:tc>
      </w:tr>
      <w:tr w14:paraId="6E75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CC3B8">
            <w:pPr>
              <w:jc w:val="center"/>
              <w:rPr>
                <w:rFonts w:hint="eastAsia" w:ascii="宋体" w:hAnsi="宋体" w:eastAsia="宋体" w:cs="宋体"/>
                <w:i w:val="0"/>
                <w:iCs w:val="0"/>
                <w:color w:val="000000"/>
                <w:sz w:val="21"/>
                <w:szCs w:val="21"/>
                <w:u w:val="none"/>
              </w:rPr>
            </w:pPr>
          </w:p>
        </w:tc>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CD2A0">
            <w:pPr>
              <w:jc w:val="center"/>
              <w:rPr>
                <w:rFonts w:hint="eastAsia" w:ascii="宋体" w:hAnsi="宋体" w:eastAsia="宋体" w:cs="宋体"/>
                <w:i w:val="0"/>
                <w:iCs w:val="0"/>
                <w:color w:val="000000"/>
                <w:sz w:val="21"/>
                <w:szCs w:val="21"/>
                <w:u w:val="none"/>
              </w:rPr>
            </w:pPr>
          </w:p>
        </w:tc>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EE4B1">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8DCD4E9">
            <w:pPr>
              <w:jc w:val="center"/>
              <w:rPr>
                <w:rFonts w:hint="eastAsia" w:ascii="宋体" w:hAnsi="宋体" w:eastAsia="宋体" w:cs="宋体"/>
                <w:i w:val="0"/>
                <w:iCs w:val="0"/>
                <w:color w:val="000000"/>
                <w:sz w:val="21"/>
                <w:szCs w:val="21"/>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94262">
            <w:pPr>
              <w:jc w:val="center"/>
              <w:rPr>
                <w:rFonts w:hint="eastAsia" w:ascii="宋体" w:hAnsi="宋体" w:eastAsia="宋体" w:cs="宋体"/>
                <w:i w:val="0"/>
                <w:iCs w:val="0"/>
                <w:color w:val="000000"/>
                <w:sz w:val="21"/>
                <w:szCs w:val="21"/>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2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HBWUH-32N-D061</w:t>
            </w: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FB4C">
            <w:pPr>
              <w:jc w:val="center"/>
              <w:rPr>
                <w:rFonts w:hint="eastAsia" w:ascii="宋体" w:hAnsi="宋体" w:eastAsia="宋体" w:cs="宋体"/>
                <w:i w:val="0"/>
                <w:iCs w:val="0"/>
                <w:color w:val="000000"/>
                <w:sz w:val="21"/>
                <w:szCs w:val="21"/>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5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8.35*3</w:t>
            </w:r>
          </w:p>
        </w:tc>
        <w:tc>
          <w:tcPr>
            <w:tcW w:w="991" w:type="dxa"/>
            <w:vMerge w:val="continue"/>
            <w:tcBorders>
              <w:top w:val="nil"/>
              <w:left w:val="single" w:color="000000" w:sz="4" w:space="0"/>
              <w:bottom w:val="single" w:color="000000" w:sz="4" w:space="0"/>
              <w:right w:val="single" w:color="000000" w:sz="4" w:space="0"/>
            </w:tcBorders>
            <w:shd w:val="clear" w:color="auto" w:fill="auto"/>
            <w:vAlign w:val="center"/>
          </w:tcPr>
          <w:p w14:paraId="5F835247">
            <w:pPr>
              <w:jc w:val="center"/>
              <w:rPr>
                <w:rFonts w:hint="eastAsia" w:ascii="宋体" w:hAnsi="宋体" w:eastAsia="宋体" w:cs="宋体"/>
                <w:i w:val="0"/>
                <w:iCs w:val="0"/>
                <w:color w:val="000000"/>
                <w:sz w:val="21"/>
                <w:szCs w:val="21"/>
                <w:u w:val="none"/>
              </w:rPr>
            </w:pPr>
          </w:p>
        </w:tc>
      </w:tr>
      <w:tr w14:paraId="0AD1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650FF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A74A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04A67">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auto" w:sz="4" w:space="0"/>
              <w:bottom w:val="single" w:color="000000" w:sz="4" w:space="0"/>
              <w:right w:val="single" w:color="000000" w:sz="4" w:space="0"/>
            </w:tcBorders>
            <w:shd w:val="clear" w:color="auto" w:fill="auto"/>
            <w:vAlign w:val="center"/>
          </w:tcPr>
          <w:p w14:paraId="20118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到达行李厅8号门对面</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展位</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6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HBWUH-32G-W002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F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991" w:type="dxa"/>
            <w:vMerge w:val="continue"/>
            <w:tcBorders>
              <w:top w:val="nil"/>
              <w:left w:val="single" w:color="000000" w:sz="4" w:space="0"/>
              <w:bottom w:val="single" w:color="000000" w:sz="4" w:space="0"/>
              <w:right w:val="single" w:color="000000" w:sz="4" w:space="0"/>
            </w:tcBorders>
            <w:shd w:val="clear" w:color="auto" w:fill="auto"/>
            <w:vAlign w:val="center"/>
          </w:tcPr>
          <w:p w14:paraId="44CBEDC6">
            <w:pPr>
              <w:jc w:val="center"/>
              <w:rPr>
                <w:rFonts w:hint="eastAsia" w:ascii="宋体" w:hAnsi="宋体" w:eastAsia="宋体" w:cs="宋体"/>
                <w:i w:val="0"/>
                <w:iCs w:val="0"/>
                <w:color w:val="000000"/>
                <w:sz w:val="21"/>
                <w:szCs w:val="21"/>
                <w:u w:val="none"/>
              </w:rPr>
            </w:pPr>
          </w:p>
        </w:tc>
      </w:tr>
      <w:tr w14:paraId="349CE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0C1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2B8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FB981">
            <w:pPr>
              <w:jc w:val="center"/>
              <w:rPr>
                <w:rFonts w:hint="eastAsia" w:ascii="宋体" w:hAnsi="宋体" w:eastAsia="宋体" w:cs="宋体"/>
                <w:i w:val="0"/>
                <w:iCs w:val="0"/>
                <w:color w:val="000000"/>
                <w:sz w:val="21"/>
                <w:szCs w:val="21"/>
                <w:u w:val="none"/>
              </w:rPr>
            </w:pPr>
          </w:p>
        </w:tc>
        <w:tc>
          <w:tcPr>
            <w:tcW w:w="92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69364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到达厅</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1B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B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HBWUH-32N-L001-012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5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1D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6*1.75（双面）</w:t>
            </w:r>
          </w:p>
        </w:tc>
        <w:tc>
          <w:tcPr>
            <w:tcW w:w="991" w:type="dxa"/>
            <w:vMerge w:val="continue"/>
            <w:tcBorders>
              <w:top w:val="nil"/>
              <w:left w:val="single" w:color="000000" w:sz="4" w:space="0"/>
              <w:bottom w:val="single" w:color="000000" w:sz="4" w:space="0"/>
              <w:right w:val="single" w:color="000000" w:sz="4" w:space="0"/>
            </w:tcBorders>
            <w:shd w:val="clear" w:color="auto" w:fill="auto"/>
            <w:vAlign w:val="center"/>
          </w:tcPr>
          <w:p w14:paraId="0F4E01D3">
            <w:pPr>
              <w:jc w:val="center"/>
              <w:rPr>
                <w:rFonts w:hint="eastAsia" w:ascii="宋体" w:hAnsi="宋体" w:eastAsia="宋体" w:cs="宋体"/>
                <w:i w:val="0"/>
                <w:iCs w:val="0"/>
                <w:color w:val="000000"/>
                <w:sz w:val="21"/>
                <w:szCs w:val="21"/>
                <w:u w:val="none"/>
              </w:rPr>
            </w:pPr>
          </w:p>
        </w:tc>
      </w:tr>
      <w:tr w14:paraId="449E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AC323CE">
            <w:pPr>
              <w:jc w:val="center"/>
              <w:rPr>
                <w:rFonts w:hint="eastAsia" w:ascii="宋体" w:hAnsi="宋体" w:eastAsia="宋体" w:cs="宋体"/>
                <w:i w:val="0"/>
                <w:iCs w:val="0"/>
                <w:color w:val="000000"/>
                <w:sz w:val="21"/>
                <w:szCs w:val="21"/>
                <w:u w:val="none"/>
              </w:rPr>
            </w:pPr>
          </w:p>
        </w:tc>
        <w:tc>
          <w:tcPr>
            <w:tcW w:w="6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FD6245">
            <w:pPr>
              <w:jc w:val="center"/>
              <w:rPr>
                <w:rFonts w:hint="eastAsia" w:ascii="宋体" w:hAnsi="宋体" w:eastAsia="宋体" w:cs="宋体"/>
                <w:i w:val="0"/>
                <w:iCs w:val="0"/>
                <w:color w:val="000000"/>
                <w:sz w:val="21"/>
                <w:szCs w:val="21"/>
                <w:u w:val="none"/>
              </w:rPr>
            </w:pPr>
          </w:p>
        </w:tc>
        <w:tc>
          <w:tcPr>
            <w:tcW w:w="69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EE90FA0">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9647151">
            <w:pPr>
              <w:jc w:val="center"/>
              <w:rPr>
                <w:rFonts w:hint="eastAsia" w:ascii="宋体" w:hAnsi="宋体" w:eastAsia="宋体" w:cs="宋体"/>
                <w:i w:val="0"/>
                <w:iCs w:val="0"/>
                <w:color w:val="000000"/>
                <w:sz w:val="21"/>
                <w:szCs w:val="21"/>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0C4E">
            <w:pPr>
              <w:jc w:val="center"/>
              <w:rPr>
                <w:rFonts w:hint="eastAsia" w:ascii="宋体" w:hAnsi="宋体" w:eastAsia="宋体" w:cs="宋体"/>
                <w:i w:val="0"/>
                <w:iCs w:val="0"/>
                <w:color w:val="000000"/>
                <w:sz w:val="21"/>
                <w:szCs w:val="21"/>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E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HBWUH-32J-L001-006</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2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37B6">
            <w:pPr>
              <w:jc w:val="center"/>
              <w:rPr>
                <w:rFonts w:hint="eastAsia" w:ascii="宋体" w:hAnsi="宋体" w:eastAsia="宋体" w:cs="宋体"/>
                <w:i w:val="0"/>
                <w:iCs w:val="0"/>
                <w:color w:val="000000"/>
                <w:sz w:val="21"/>
                <w:szCs w:val="21"/>
                <w:u w:val="none"/>
              </w:rPr>
            </w:pPr>
          </w:p>
        </w:tc>
        <w:tc>
          <w:tcPr>
            <w:tcW w:w="991" w:type="dxa"/>
            <w:vMerge w:val="continue"/>
            <w:tcBorders>
              <w:top w:val="nil"/>
              <w:left w:val="single" w:color="000000" w:sz="4" w:space="0"/>
              <w:bottom w:val="single" w:color="000000" w:sz="4" w:space="0"/>
              <w:right w:val="single" w:color="000000" w:sz="4" w:space="0"/>
            </w:tcBorders>
            <w:shd w:val="clear" w:color="auto" w:fill="auto"/>
            <w:vAlign w:val="center"/>
          </w:tcPr>
          <w:p w14:paraId="5577A7A6">
            <w:pPr>
              <w:jc w:val="center"/>
              <w:rPr>
                <w:rFonts w:hint="eastAsia" w:ascii="宋体" w:hAnsi="宋体" w:eastAsia="宋体" w:cs="宋体"/>
                <w:i w:val="0"/>
                <w:iCs w:val="0"/>
                <w:color w:val="000000"/>
                <w:sz w:val="21"/>
                <w:szCs w:val="21"/>
                <w:u w:val="none"/>
              </w:rPr>
            </w:pPr>
          </w:p>
        </w:tc>
      </w:tr>
    </w:tbl>
    <w:p w14:paraId="6724016E">
      <w:pPr>
        <w:spacing w:line="360" w:lineRule="auto"/>
        <w:ind w:firstLine="420" w:firstLineChars="200"/>
        <w:rPr>
          <w:rFonts w:hint="eastAsia" w:ascii="宋体" w:hAnsi="宋体" w:cs="宋体"/>
          <w:bCs/>
          <w:szCs w:val="21"/>
          <w:highlight w:val="none"/>
        </w:rPr>
      </w:pPr>
    </w:p>
    <w:p w14:paraId="4E0BBABD">
      <w:pPr>
        <w:spacing w:line="360" w:lineRule="auto"/>
        <w:ind w:firstLine="420" w:firstLineChars="200"/>
        <w:rPr>
          <w:rFonts w:hint="eastAsia" w:hAnsi="宋体"/>
          <w:b/>
          <w:szCs w:val="21"/>
          <w:highlight w:val="none"/>
          <w:u w:val="single"/>
        </w:rPr>
      </w:pPr>
      <w:r>
        <w:rPr>
          <w:rFonts w:hint="eastAsia" w:ascii="宋体" w:hAnsi="宋体" w:cs="宋体"/>
          <w:bCs/>
          <w:szCs w:val="21"/>
          <w:highlight w:val="none"/>
        </w:rPr>
        <w:t>5.</w:t>
      </w:r>
      <w:r>
        <w:rPr>
          <w:rFonts w:hint="eastAsia" w:ascii="宋体" w:hAnsi="宋体" w:cs="宋体"/>
          <w:szCs w:val="21"/>
          <w:highlight w:val="none"/>
        </w:rPr>
        <w:t>资金来源：</w:t>
      </w:r>
      <w:r>
        <w:rPr>
          <w:rFonts w:hint="eastAsia" w:hAnsi="宋体"/>
          <w:b/>
          <w:szCs w:val="21"/>
          <w:highlight w:val="none"/>
          <w:u w:val="single"/>
        </w:rPr>
        <w:t>招商响应人自筹</w:t>
      </w:r>
      <w:r>
        <w:rPr>
          <w:rFonts w:hint="eastAsia" w:hAnsi="宋体"/>
          <w:b/>
          <w:szCs w:val="21"/>
          <w:highlight w:val="none"/>
        </w:rPr>
        <w:t>。</w:t>
      </w:r>
    </w:p>
    <w:p w14:paraId="2C611E84">
      <w:pPr>
        <w:spacing w:line="360" w:lineRule="auto"/>
        <w:outlineLvl w:val="1"/>
        <w:rPr>
          <w:rFonts w:hint="eastAsia" w:hAnsi="宋体"/>
          <w:b/>
          <w:szCs w:val="21"/>
          <w:highlight w:val="none"/>
          <w:u w:val="single"/>
        </w:rPr>
      </w:pPr>
      <w:bookmarkStart w:id="4" w:name="_Toc23791"/>
      <w:r>
        <w:rPr>
          <w:rFonts w:hint="eastAsia" w:hAnsi="宋体"/>
          <w:b/>
          <w:szCs w:val="21"/>
          <w:highlight w:val="none"/>
        </w:rPr>
        <w:t>二、合同经营期限及其他商务条款</w:t>
      </w:r>
      <w:bookmarkEnd w:id="4"/>
    </w:p>
    <w:p w14:paraId="5A694368">
      <w:pPr>
        <w:widowControl/>
        <w:tabs>
          <w:tab w:val="left" w:pos="420"/>
        </w:tabs>
        <w:spacing w:line="360" w:lineRule="auto"/>
        <w:ind w:firstLine="420" w:firstLineChars="200"/>
        <w:rPr>
          <w:rFonts w:hint="eastAsia" w:ascii="宋体" w:hAnsi="宋体" w:cs="宋体"/>
          <w:szCs w:val="21"/>
          <w:highlight w:val="none"/>
          <w:lang w:bidi="ar"/>
        </w:rPr>
      </w:pPr>
      <w:bookmarkStart w:id="5" w:name="_Toc26049"/>
      <w:bookmarkStart w:id="6" w:name="_Toc458503196"/>
      <w:bookmarkStart w:id="7" w:name="_Toc17887"/>
      <w:bookmarkStart w:id="8" w:name="_Toc27593"/>
      <w:bookmarkStart w:id="9" w:name="_Toc25557"/>
      <w:bookmarkStart w:id="10" w:name="_Toc24811"/>
      <w:bookmarkStart w:id="27" w:name="_GoBack"/>
      <w:bookmarkEnd w:id="27"/>
      <w:r>
        <w:rPr>
          <w:rFonts w:hint="eastAsia" w:ascii="宋体" w:hAnsi="宋体" w:cs="宋体"/>
          <w:szCs w:val="21"/>
          <w:highlight w:val="none"/>
          <w:lang w:eastAsia="zh-CN" w:bidi="ar"/>
        </w:rPr>
        <w:t>标段</w:t>
      </w:r>
      <w:r>
        <w:rPr>
          <w:rFonts w:hint="eastAsia" w:ascii="宋体" w:hAnsi="宋体" w:cs="宋体"/>
          <w:szCs w:val="21"/>
          <w:highlight w:val="none"/>
          <w:lang w:val="en-US" w:eastAsia="zh-CN" w:bidi="ar"/>
        </w:rPr>
        <w:t>1-标段4</w:t>
      </w:r>
      <w:r>
        <w:rPr>
          <w:rFonts w:hint="eastAsia" w:ascii="宋体" w:hAnsi="宋体" w:cs="宋体"/>
          <w:bCs/>
          <w:kern w:val="0"/>
          <w:szCs w:val="21"/>
          <w:highlight w:val="none"/>
        </w:rPr>
        <w:t>经营期为</w:t>
      </w:r>
      <w:r>
        <w:rPr>
          <w:rFonts w:hint="eastAsia" w:ascii="宋体" w:hAnsi="宋体" w:cs="宋体"/>
          <w:bCs/>
          <w:kern w:val="0"/>
          <w:szCs w:val="21"/>
          <w:highlight w:val="none"/>
          <w:lang w:val="en-US" w:eastAsia="zh-CN"/>
        </w:rPr>
        <w:t>1-3年</w:t>
      </w:r>
      <w:r>
        <w:rPr>
          <w:rFonts w:hint="eastAsia" w:ascii="宋体" w:hAnsi="宋体" w:cs="宋体"/>
          <w:bCs/>
          <w:kern w:val="0"/>
          <w:szCs w:val="21"/>
          <w:highlight w:val="none"/>
        </w:rPr>
        <w:t>，</w:t>
      </w:r>
      <w:r>
        <w:rPr>
          <w:rFonts w:hint="eastAsia" w:ascii="宋体" w:hAnsi="宋体" w:cs="宋体"/>
          <w:bCs/>
          <w:kern w:val="0"/>
          <w:szCs w:val="21"/>
          <w:highlight w:val="none"/>
          <w:lang w:eastAsia="zh-CN"/>
        </w:rPr>
        <w:t>响应人</w:t>
      </w:r>
      <w:r>
        <w:rPr>
          <w:rFonts w:hint="eastAsia" w:ascii="宋体" w:hAnsi="宋体" w:cs="宋体"/>
          <w:bCs/>
          <w:kern w:val="0"/>
          <w:szCs w:val="21"/>
          <w:highlight w:val="none"/>
        </w:rPr>
        <w:t>仅需对第一年广告费进行报价，每年广告费较上一年递增3%。</w:t>
      </w:r>
    </w:p>
    <w:p w14:paraId="73FDCF5E">
      <w:pPr>
        <w:autoSpaceDE w:val="0"/>
        <w:autoSpaceDN w:val="0"/>
        <w:spacing w:line="360" w:lineRule="auto"/>
        <w:ind w:left="632" w:hanging="632" w:hangingChars="300"/>
        <w:outlineLvl w:val="1"/>
        <w:rPr>
          <w:rFonts w:hint="eastAsia" w:ascii="宋体" w:hAnsi="宋体" w:cs="宋体"/>
          <w:b/>
          <w:bCs/>
          <w:kern w:val="0"/>
          <w:szCs w:val="21"/>
          <w:highlight w:val="none"/>
        </w:rPr>
      </w:pPr>
      <w:r>
        <w:rPr>
          <w:rFonts w:hint="eastAsia" w:ascii="宋体" w:hAnsi="宋体" w:cs="宋体"/>
          <w:b/>
          <w:bCs/>
          <w:kern w:val="0"/>
          <w:szCs w:val="21"/>
          <w:highlight w:val="none"/>
        </w:rPr>
        <w:t>三、响应资格及要求：</w:t>
      </w:r>
      <w:bookmarkEnd w:id="5"/>
      <w:bookmarkEnd w:id="6"/>
      <w:bookmarkEnd w:id="7"/>
      <w:bookmarkEnd w:id="8"/>
      <w:bookmarkEnd w:id="9"/>
      <w:bookmarkEnd w:id="10"/>
      <w:bookmarkStart w:id="11" w:name="_Toc19838"/>
    </w:p>
    <w:p w14:paraId="2DD4A22F">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1.招商响应人须具备市场监督管理部门核发的有效营业执照，具有独立法人资格；</w:t>
      </w:r>
    </w:p>
    <w:p w14:paraId="189C474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2.招商响应人须具有健全的财务会计制度；</w:t>
      </w:r>
    </w:p>
    <w:p w14:paraId="6437772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3.招商响应人未被“信用中国”网站（</w:t>
      </w:r>
      <w:r>
        <w:rPr>
          <w:szCs w:val="21"/>
          <w:highlight w:val="none"/>
          <w:lang w:bidi="ar"/>
        </w:rPr>
        <w:t>www.creditchina.gov.cn</w:t>
      </w:r>
      <w:r>
        <w:rPr>
          <w:rFonts w:hint="eastAsia" w:ascii="宋体" w:hAnsi="宋体" w:cs="宋体"/>
          <w:szCs w:val="21"/>
          <w:highlight w:val="none"/>
          <w:lang w:bidi="ar"/>
        </w:rPr>
        <w:t>）或者“中国执行信息公开网”（</w:t>
      </w:r>
      <w:r>
        <w:rPr>
          <w:szCs w:val="21"/>
          <w:highlight w:val="none"/>
          <w:lang w:bidi="ar"/>
        </w:rPr>
        <w:t>zxgk.court.gov.cn</w:t>
      </w:r>
      <w:r>
        <w:rPr>
          <w:rFonts w:hint="eastAsia" w:ascii="宋体" w:hAnsi="宋体" w:cs="宋体"/>
          <w:szCs w:val="21"/>
          <w:highlight w:val="none"/>
          <w:lang w:bidi="ar"/>
        </w:rPr>
        <w:t>）列入失信被执行人名单，以公告发布之后的查询结果为准；</w:t>
      </w:r>
    </w:p>
    <w:p w14:paraId="5AC0B9C2">
      <w:pPr>
        <w:spacing w:line="360" w:lineRule="auto"/>
        <w:ind w:firstLine="420" w:firstLineChars="200"/>
        <w:rPr>
          <w:rFonts w:hint="eastAsia" w:ascii="宋体" w:hAnsi="宋体" w:cs="宋体"/>
          <w:szCs w:val="21"/>
          <w:highlight w:val="none"/>
          <w:lang w:bidi="ar"/>
        </w:rPr>
      </w:pPr>
      <w:bookmarkStart w:id="12" w:name="_Toc4001"/>
      <w:r>
        <w:rPr>
          <w:rFonts w:hint="eastAsia" w:ascii="宋体" w:hAnsi="宋体" w:cs="宋体"/>
          <w:szCs w:val="21"/>
          <w:highlight w:val="none"/>
          <w:lang w:bidi="ar"/>
        </w:rPr>
        <w:t>4.截至招商公告发布日前两个年度（24个月）内，在经营活动中未发现以商业贿赂等不正当竞争手段取得经营权的记录；无违法记录，无商标侵权行为，无虚假广告行为，无不正当竞争行为。</w:t>
      </w:r>
    </w:p>
    <w:p w14:paraId="190CA7FC">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5</w:t>
      </w:r>
      <w:r>
        <w:rPr>
          <w:rFonts w:hint="eastAsia" w:ascii="宋体" w:hAnsi="宋体" w:cs="宋体"/>
          <w:szCs w:val="21"/>
          <w:highlight w:val="none"/>
          <w:lang w:bidi="ar"/>
        </w:rPr>
        <w:t>.与招商方的合作中，截至2024年10月31日不存在2023年计提欠款大于200万元（含）的情况。</w:t>
      </w:r>
    </w:p>
    <w:p w14:paraId="199E2749">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6</w:t>
      </w:r>
      <w:r>
        <w:rPr>
          <w:rFonts w:hint="eastAsia" w:ascii="宋体" w:hAnsi="宋体" w:cs="宋体"/>
          <w:szCs w:val="21"/>
          <w:highlight w:val="none"/>
          <w:lang w:bidi="ar"/>
        </w:rPr>
        <w:t>.与首都机场集团传媒有限公司及所属分（子）司的合作中，截至2024年12月31日，欠款统计口径不存在2024年计提欠款的情况。</w:t>
      </w:r>
    </w:p>
    <w:p w14:paraId="4280C276">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7</w:t>
      </w:r>
      <w:r>
        <w:rPr>
          <w:rFonts w:hint="eastAsia" w:ascii="宋体" w:hAnsi="宋体" w:cs="宋体"/>
          <w:szCs w:val="21"/>
          <w:highlight w:val="none"/>
          <w:lang w:bidi="ar"/>
        </w:rPr>
        <w:t>.招商响应人截至招商公告发布之日，与招商方不存在未结诉讼、仲裁案件，或未执行完毕的生效法律文书。</w:t>
      </w:r>
    </w:p>
    <w:p w14:paraId="0413BE34">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8</w:t>
      </w:r>
      <w:r>
        <w:rPr>
          <w:rFonts w:hint="eastAsia" w:ascii="宋体" w:hAnsi="宋体" w:cs="宋体"/>
          <w:szCs w:val="21"/>
          <w:highlight w:val="none"/>
          <w:lang w:bidi="ar"/>
        </w:rPr>
        <w:t>.截至2025年8月31日，与招商方的合作中不存在2025年计提欠款的情况。。</w:t>
      </w:r>
    </w:p>
    <w:bookmarkEnd w:id="12"/>
    <w:p w14:paraId="7412771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9.招商响应人须针对《湖北机场集团“供应商不良行为”管理暂行办法》在响应文件中做出承诺，格式详见响应文件格式；</w:t>
      </w:r>
    </w:p>
    <w:p w14:paraId="65B4E465">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10.单位负责人为同一人或者存在直接控股、管理关系的不同招商响应人，不得参加本项目同一合同项下的招商。</w:t>
      </w:r>
    </w:p>
    <w:p w14:paraId="2254D0F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11.本次招商不接受联合体响应。</w:t>
      </w:r>
    </w:p>
    <w:p w14:paraId="2745F35A">
      <w:pPr>
        <w:tabs>
          <w:tab w:val="left" w:pos="540"/>
          <w:tab w:val="left" w:pos="840"/>
        </w:tabs>
        <w:spacing w:line="360" w:lineRule="auto"/>
        <w:outlineLvl w:val="1"/>
        <w:rPr>
          <w:rFonts w:hint="eastAsia" w:ascii="宋体" w:hAnsi="宋体" w:cs="宋体"/>
          <w:b/>
          <w:szCs w:val="21"/>
          <w:highlight w:val="none"/>
        </w:rPr>
      </w:pPr>
      <w:bookmarkStart w:id="13" w:name="_Toc22528"/>
      <w:r>
        <w:rPr>
          <w:rFonts w:hint="eastAsia" w:ascii="宋体" w:hAnsi="宋体" w:cs="宋体"/>
          <w:b/>
          <w:szCs w:val="21"/>
          <w:highlight w:val="none"/>
        </w:rPr>
        <w:t>四、招商文件的获取</w:t>
      </w:r>
      <w:bookmarkEnd w:id="11"/>
      <w:bookmarkEnd w:id="13"/>
    </w:p>
    <w:p w14:paraId="3C39BB43">
      <w:pPr>
        <w:tabs>
          <w:tab w:val="left" w:pos="540"/>
          <w:tab w:val="left" w:pos="840"/>
        </w:tabs>
        <w:wordWrap w:val="0"/>
        <w:overflowPunct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szCs w:val="21"/>
          <w:highlight w:val="none"/>
        </w:rPr>
        <w:t>拟参加本项目的</w:t>
      </w:r>
      <w:r>
        <w:rPr>
          <w:rFonts w:hint="eastAsia" w:eastAsia="宋体"/>
          <w:szCs w:val="21"/>
          <w:highlight w:val="none"/>
          <w:lang w:eastAsia="zh-CN"/>
        </w:rPr>
        <w:t>响应人</w:t>
      </w:r>
      <w:r>
        <w:rPr>
          <w:szCs w:val="21"/>
          <w:highlight w:val="none"/>
        </w:rPr>
        <w:t>须在阳光招采电子交易平台免费注册（网址：</w:t>
      </w:r>
      <w:r>
        <w:rPr>
          <w:highlight w:val="none"/>
        </w:rPr>
        <w:fldChar w:fldCharType="begin"/>
      </w:r>
      <w:r>
        <w:rPr>
          <w:highlight w:val="none"/>
        </w:rPr>
        <w:instrText xml:space="preserve"> HYPERLINK "https://www.yangguangzhaocai.com" </w:instrText>
      </w:r>
      <w:r>
        <w:rPr>
          <w:highlight w:val="none"/>
        </w:rPr>
        <w:fldChar w:fldCharType="separate"/>
      </w:r>
      <w:r>
        <w:rPr>
          <w:rStyle w:val="5"/>
          <w:color w:val="auto"/>
          <w:szCs w:val="21"/>
          <w:highlight w:val="none"/>
        </w:rPr>
        <w:t>https://www.yangguangzhaocai.com</w:t>
      </w:r>
      <w:r>
        <w:rPr>
          <w:rStyle w:val="5"/>
          <w:color w:val="auto"/>
          <w:szCs w:val="21"/>
          <w:highlight w:val="none"/>
        </w:rPr>
        <w:fldChar w:fldCharType="end"/>
      </w:r>
      <w:r>
        <w:rPr>
          <w:rFonts w:hint="eastAsia" w:ascii="宋体" w:hAnsi="宋体" w:cs="宋体"/>
          <w:szCs w:val="21"/>
          <w:highlight w:val="none"/>
        </w:rPr>
        <w:t>---【新用户注册】，相关操作帮助详见：帮助中心--- 投标人注册操作指南）；</w:t>
      </w:r>
    </w:p>
    <w:p w14:paraId="1216E77F">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szCs w:val="21"/>
          <w:highlight w:val="none"/>
          <w:lang w:val="zh-CN"/>
        </w:rPr>
        <w:t>注册完成后，请于</w:t>
      </w:r>
      <w:r>
        <w:rPr>
          <w:rFonts w:hint="eastAsia" w:eastAsia="宋体"/>
          <w:b/>
          <w:bCs/>
          <w:szCs w:val="21"/>
          <w:highlight w:val="none"/>
          <w:u w:val="single"/>
          <w:lang w:eastAsia="zh-CN"/>
        </w:rPr>
        <w:t>即日起</w:t>
      </w:r>
      <w:r>
        <w:rPr>
          <w:rFonts w:hint="eastAsia" w:ascii="宋体" w:hAnsi="宋体"/>
          <w:szCs w:val="21"/>
          <w:highlight w:val="none"/>
          <w:lang w:val="zh-CN"/>
        </w:rPr>
        <w:t>至</w:t>
      </w:r>
      <w:r>
        <w:rPr>
          <w:b/>
          <w:bCs/>
          <w:szCs w:val="21"/>
          <w:highlight w:val="none"/>
          <w:u w:val="single"/>
        </w:rPr>
        <w:t>202</w:t>
      </w:r>
      <w:r>
        <w:rPr>
          <w:rFonts w:hint="eastAsia"/>
          <w:b/>
          <w:bCs/>
          <w:szCs w:val="21"/>
          <w:highlight w:val="none"/>
          <w:u w:val="single"/>
        </w:rPr>
        <w:t>5</w:t>
      </w:r>
      <w:r>
        <w:rPr>
          <w:rFonts w:hint="eastAsia" w:ascii="宋体" w:hAnsi="宋体"/>
          <w:szCs w:val="21"/>
          <w:highlight w:val="none"/>
          <w:lang w:val="zh-CN"/>
        </w:rPr>
        <w:t>年</w:t>
      </w:r>
      <w:r>
        <w:rPr>
          <w:rFonts w:hint="eastAsia" w:ascii="Times New Roman" w:eastAsia="宋体"/>
          <w:b/>
          <w:bCs/>
          <w:szCs w:val="21"/>
          <w:highlight w:val="none"/>
          <w:u w:val="single"/>
          <w:lang w:val="en-US" w:eastAsia="zh-CN"/>
        </w:rPr>
        <w:t>10</w:t>
      </w:r>
      <w:r>
        <w:rPr>
          <w:rFonts w:hint="eastAsia" w:ascii="宋体" w:hAnsi="宋体"/>
          <w:szCs w:val="21"/>
          <w:highlight w:val="none"/>
          <w:lang w:val="zh-CN"/>
        </w:rPr>
        <w:t>月</w:t>
      </w:r>
      <w:r>
        <w:rPr>
          <w:rFonts w:hint="eastAsia" w:ascii="Times New Roman" w:eastAsia="宋体"/>
          <w:b/>
          <w:bCs/>
          <w:szCs w:val="21"/>
          <w:highlight w:val="none"/>
          <w:u w:val="single"/>
          <w:lang w:val="en-US" w:eastAsia="zh-CN"/>
        </w:rPr>
        <w:t>10</w:t>
      </w:r>
      <w:r>
        <w:rPr>
          <w:rFonts w:hint="eastAsia" w:ascii="宋体" w:hAnsi="宋体"/>
          <w:szCs w:val="21"/>
          <w:highlight w:val="none"/>
          <w:lang w:val="zh-CN"/>
        </w:rPr>
        <w:t>日</w:t>
      </w:r>
      <w:r>
        <w:rPr>
          <w:b/>
          <w:bCs/>
          <w:szCs w:val="21"/>
          <w:highlight w:val="none"/>
          <w:u w:val="single"/>
        </w:rPr>
        <w:t>17</w:t>
      </w:r>
      <w:r>
        <w:rPr>
          <w:b/>
          <w:bCs/>
          <w:szCs w:val="21"/>
          <w:highlight w:val="none"/>
          <w:u w:val="single"/>
          <w:lang w:val="zh-CN"/>
        </w:rPr>
        <w:t>:00</w:t>
      </w:r>
      <w:r>
        <w:rPr>
          <w:rFonts w:hint="eastAsia" w:ascii="宋体" w:hAnsi="宋体"/>
          <w:szCs w:val="21"/>
          <w:highlight w:val="none"/>
          <w:lang w:val="zh-CN"/>
        </w:rPr>
        <w:t>时止（北京时间）登录电子交易平台，点击【投标人】，在【公告信息】</w:t>
      </w:r>
      <w:r>
        <w:rPr>
          <w:rFonts w:hint="eastAsia" w:ascii="宋体" w:hAnsi="宋体"/>
          <w:szCs w:val="21"/>
          <w:highlight w:val="none"/>
        </w:rPr>
        <w:t>---</w:t>
      </w:r>
      <w:r>
        <w:rPr>
          <w:rFonts w:hint="eastAsia" w:ascii="宋体" w:hAnsi="宋体"/>
          <w:szCs w:val="21"/>
          <w:highlight w:val="none"/>
          <w:lang w:val="zh-CN"/>
        </w:rPr>
        <w:t>【采购公告】栏下载拟投标段采购文件（拟投多标段的，应按标段分别下载</w:t>
      </w:r>
      <w:r>
        <w:rPr>
          <w:rFonts w:hint="eastAsia" w:ascii="宋体" w:hAnsi="宋体"/>
          <w:color w:val="000000"/>
          <w:szCs w:val="21"/>
          <w:highlight w:val="none"/>
          <w:lang w:val="zh-CN"/>
        </w:rPr>
        <w:t>），</w:t>
      </w:r>
      <w:r>
        <w:rPr>
          <w:rFonts w:hint="eastAsia" w:ascii="宋体" w:hAnsi="宋体"/>
          <w:color w:val="000000"/>
          <w:szCs w:val="21"/>
          <w:highlight w:val="none"/>
        </w:rPr>
        <w:t>本</w:t>
      </w:r>
      <w:r>
        <w:rPr>
          <w:rFonts w:hint="eastAsia" w:ascii="宋体" w:hAnsi="宋体"/>
          <w:color w:val="000000"/>
          <w:szCs w:val="21"/>
          <w:highlight w:val="none"/>
          <w:lang w:val="zh-CN"/>
        </w:rPr>
        <w:t>招标文件标书费用金额</w:t>
      </w:r>
      <w:r>
        <w:rPr>
          <w:rFonts w:hint="eastAsia" w:ascii="宋体" w:hAnsi="宋体"/>
          <w:color w:val="000000"/>
          <w:szCs w:val="21"/>
          <w:highlight w:val="none"/>
          <w:u w:val="single"/>
        </w:rPr>
        <w:t>500</w:t>
      </w:r>
      <w:r>
        <w:rPr>
          <w:rFonts w:hint="eastAsia" w:ascii="宋体" w:hAnsi="宋体"/>
          <w:color w:val="000000"/>
          <w:szCs w:val="21"/>
          <w:highlight w:val="none"/>
          <w:lang w:val="zh-CN"/>
        </w:rPr>
        <w:t>元/份，售后不退。</w:t>
      </w:r>
      <w:r>
        <w:rPr>
          <w:rFonts w:hint="eastAsia" w:ascii="宋体" w:hAnsi="宋体"/>
          <w:color w:val="000000"/>
          <w:szCs w:val="21"/>
          <w:highlight w:val="none"/>
        </w:rPr>
        <w:t>联合体参与响应的，由牵头人注册</w:t>
      </w:r>
      <w:r>
        <w:rPr>
          <w:rFonts w:ascii="宋体" w:hAnsi="宋体"/>
          <w:color w:val="000000"/>
          <w:szCs w:val="21"/>
          <w:highlight w:val="none"/>
        </w:rPr>
        <w:t>及</w:t>
      </w:r>
      <w:r>
        <w:rPr>
          <w:rFonts w:hint="eastAsia" w:ascii="宋体" w:hAnsi="宋体"/>
          <w:color w:val="000000"/>
          <w:szCs w:val="21"/>
          <w:highlight w:val="none"/>
        </w:rPr>
        <w:t>下载采购文件。</w:t>
      </w:r>
      <w:r>
        <w:rPr>
          <w:rFonts w:hint="eastAsia" w:ascii="宋体" w:hAnsi="宋体"/>
          <w:color w:val="000000"/>
          <w:szCs w:val="21"/>
          <w:highlight w:val="none"/>
          <w:lang w:val="zh-CN"/>
        </w:rPr>
        <w:t>未按规定获取采购文件的，其响应文件将被拒绝</w:t>
      </w:r>
      <w:r>
        <w:rPr>
          <w:rFonts w:hint="eastAsia" w:ascii="宋体" w:hAnsi="宋体" w:cs="宋体"/>
          <w:szCs w:val="21"/>
          <w:highlight w:val="none"/>
        </w:rPr>
        <w:t>；</w:t>
      </w:r>
    </w:p>
    <w:p w14:paraId="5DA64656">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b/>
          <w:bCs/>
          <w:szCs w:val="21"/>
          <w:highlight w:val="none"/>
          <w:lang w:val="zh-CN"/>
        </w:rPr>
        <w:t>本项目非全流程电子标</w:t>
      </w:r>
      <w:r>
        <w:rPr>
          <w:rFonts w:hint="eastAsia" w:ascii="宋体" w:hAnsi="宋体"/>
          <w:szCs w:val="21"/>
          <w:highlight w:val="none"/>
          <w:lang w:val="zh-CN"/>
        </w:rPr>
        <w:t>，供应商人无须办理CA数字证书</w:t>
      </w:r>
      <w:r>
        <w:rPr>
          <w:rFonts w:hint="eastAsia" w:ascii="宋体" w:hAnsi="宋体" w:cs="宋体"/>
          <w:szCs w:val="21"/>
          <w:highlight w:val="none"/>
        </w:rPr>
        <w:t>；</w:t>
      </w:r>
    </w:p>
    <w:p w14:paraId="0C9021C3">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4.在电子交易平台遇到的各类操作问题（登录、注册、文件下载、标书制作等问题），请拨打技术支持电话010-21362559（工作日:08:00～18:00；节假日:09:00～12:00，14:00～18:00)。</w:t>
      </w:r>
    </w:p>
    <w:p w14:paraId="3B21FA02">
      <w:pPr>
        <w:tabs>
          <w:tab w:val="left" w:pos="540"/>
          <w:tab w:val="left" w:pos="840"/>
        </w:tabs>
        <w:spacing w:line="360" w:lineRule="auto"/>
        <w:ind w:firstLine="422" w:firstLineChars="200"/>
        <w:jc w:val="left"/>
        <w:rPr>
          <w:rFonts w:hint="eastAsia" w:ascii="宋体" w:hAnsi="宋体" w:cs="宋体"/>
          <w:szCs w:val="21"/>
          <w:highlight w:val="none"/>
        </w:rPr>
      </w:pPr>
      <w:r>
        <w:rPr>
          <w:rFonts w:hint="eastAsia" w:ascii="宋体" w:hAnsi="宋体" w:cs="宋体"/>
          <w:b/>
          <w:bCs/>
          <w:szCs w:val="21"/>
          <w:highlight w:val="none"/>
        </w:rPr>
        <w:t>注：</w:t>
      </w:r>
      <w:r>
        <w:rPr>
          <w:rFonts w:hint="eastAsia" w:ascii="宋体" w:hAnsi="宋体" w:cs="宋体"/>
          <w:szCs w:val="21"/>
          <w:highlight w:val="none"/>
        </w:rPr>
        <w:t>多标段项目响应人可对本次招商各标段进行选择性投标响应，也可同时投标响应；但评标时将以标段为单位进行独立评审，分别确定成交候选人。响应人若同时投多个标段，则须分别编制响应文件、分别报价。</w:t>
      </w:r>
    </w:p>
    <w:p w14:paraId="0DAAE503">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4" w:name="_Toc18519"/>
      <w:r>
        <w:rPr>
          <w:rFonts w:hint="eastAsia" w:ascii="宋体" w:hAnsi="宋体" w:cs="宋体"/>
          <w:b/>
          <w:bCs/>
          <w:szCs w:val="32"/>
          <w:highlight w:val="none"/>
        </w:rPr>
        <w:t>五、递交响应文件的截止时间及招商时间</w:t>
      </w:r>
      <w:bookmarkEnd w:id="14"/>
    </w:p>
    <w:p w14:paraId="5C3E7C8F">
      <w:pPr>
        <w:autoSpaceDE w:val="0"/>
        <w:autoSpaceDN w:val="0"/>
        <w:adjustRightInd w:val="0"/>
        <w:spacing w:line="360" w:lineRule="auto"/>
        <w:ind w:left="631" w:leftChars="200" w:hanging="211" w:hangingChars="100"/>
        <w:rPr>
          <w:rFonts w:hint="eastAsia" w:ascii="宋体" w:hAnsi="宋体" w:cs="宋体"/>
          <w:szCs w:val="21"/>
          <w:highlight w:val="none"/>
        </w:rPr>
      </w:pPr>
      <w:r>
        <w:rPr>
          <w:rFonts w:hint="eastAsia" w:hAnsi="宋体"/>
          <w:b/>
          <w:szCs w:val="21"/>
          <w:highlight w:val="none"/>
          <w:u w:val="single"/>
        </w:rPr>
        <w:t>2025年</w:t>
      </w:r>
      <w:r>
        <w:rPr>
          <w:rFonts w:hint="eastAsia" w:hAnsi="宋体"/>
          <w:b/>
          <w:szCs w:val="21"/>
          <w:highlight w:val="none"/>
          <w:u w:val="single"/>
          <w:lang w:val="en-US" w:eastAsia="zh-CN"/>
        </w:rPr>
        <w:t>10</w:t>
      </w:r>
      <w:r>
        <w:rPr>
          <w:rFonts w:hint="eastAsia" w:hAnsi="宋体"/>
          <w:b/>
          <w:szCs w:val="21"/>
          <w:highlight w:val="none"/>
          <w:u w:val="single"/>
        </w:rPr>
        <w:t>月</w:t>
      </w:r>
      <w:r>
        <w:rPr>
          <w:rFonts w:hint="eastAsia" w:hAnsi="宋体"/>
          <w:b/>
          <w:szCs w:val="21"/>
          <w:highlight w:val="none"/>
          <w:u w:val="single"/>
          <w:lang w:val="en-US" w:eastAsia="zh-CN"/>
        </w:rPr>
        <w:t>11</w:t>
      </w:r>
      <w:r>
        <w:rPr>
          <w:rFonts w:hint="eastAsia" w:hAnsi="宋体"/>
          <w:b/>
          <w:szCs w:val="21"/>
          <w:highlight w:val="none"/>
          <w:u w:val="single"/>
        </w:rPr>
        <w:t>日14时30分</w:t>
      </w:r>
      <w:r>
        <w:rPr>
          <w:rFonts w:hint="eastAsia" w:ascii="宋体" w:hAnsi="宋体" w:cs="宋体"/>
          <w:szCs w:val="21"/>
          <w:highlight w:val="none"/>
        </w:rPr>
        <w:t>（北京时间）。</w:t>
      </w:r>
    </w:p>
    <w:p w14:paraId="3DFA80AC">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选用竞争性磋商方式，有效招商响应人不足三家的，经评审委员会商议一致后，对于符合招商文件要求，满足招商需求的，可继续采取两家比选或一家直接洽商方式进行评审。对于不满足招商需求的，经评审委员会确认后，可终止招商。</w:t>
      </w:r>
    </w:p>
    <w:p w14:paraId="2FB6FA1C">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5" w:name="_Toc259028276"/>
      <w:bookmarkStart w:id="16" w:name="_Toc259028696"/>
      <w:bookmarkStart w:id="17" w:name="_Toc15832"/>
      <w:bookmarkStart w:id="18" w:name="_Toc11358"/>
      <w:bookmarkStart w:id="19" w:name="_Toc6777"/>
      <w:r>
        <w:rPr>
          <w:rFonts w:hint="eastAsia" w:ascii="宋体" w:hAnsi="宋体" w:cs="宋体"/>
          <w:b/>
          <w:bCs/>
          <w:szCs w:val="32"/>
          <w:highlight w:val="none"/>
        </w:rPr>
        <w:t>六、招商响应文件送达地点及招商地点</w:t>
      </w:r>
      <w:bookmarkEnd w:id="15"/>
      <w:bookmarkEnd w:id="16"/>
      <w:bookmarkEnd w:id="17"/>
      <w:bookmarkEnd w:id="18"/>
      <w:bookmarkEnd w:id="19"/>
    </w:p>
    <w:p w14:paraId="4AC822DC">
      <w:pPr>
        <w:spacing w:line="360" w:lineRule="auto"/>
        <w:ind w:firstLine="422" w:firstLineChars="200"/>
        <w:rPr>
          <w:rFonts w:hint="eastAsia" w:hAnsi="宋体"/>
          <w:b/>
          <w:szCs w:val="21"/>
          <w:highlight w:val="none"/>
          <w:u w:val="single"/>
        </w:rPr>
      </w:pPr>
      <w:r>
        <w:rPr>
          <w:rFonts w:hint="eastAsia" w:hAnsi="宋体"/>
          <w:b/>
          <w:szCs w:val="21"/>
          <w:highlight w:val="none"/>
          <w:u w:val="single"/>
        </w:rPr>
        <w:t>武汉天河机场综合保障楼A208。</w:t>
      </w:r>
    </w:p>
    <w:p w14:paraId="66C1CCEF">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20" w:name="_Toc25113"/>
      <w:bookmarkStart w:id="21" w:name="_Toc3790"/>
      <w:bookmarkStart w:id="22" w:name="_Toc8044"/>
      <w:bookmarkStart w:id="23" w:name="_Toc7227"/>
      <w:bookmarkStart w:id="24" w:name="_Toc15722"/>
      <w:bookmarkStart w:id="25" w:name="_Toc12626"/>
      <w:r>
        <w:rPr>
          <w:rFonts w:hint="eastAsia" w:ascii="宋体" w:hAnsi="宋体" w:cs="宋体"/>
          <w:b/>
          <w:bCs/>
          <w:szCs w:val="32"/>
          <w:highlight w:val="none"/>
        </w:rPr>
        <w:t>七、联系方式</w:t>
      </w:r>
      <w:bookmarkEnd w:id="20"/>
      <w:bookmarkEnd w:id="21"/>
      <w:bookmarkEnd w:id="22"/>
      <w:bookmarkEnd w:id="23"/>
    </w:p>
    <w:p w14:paraId="32F59C04">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招商人：</w:t>
      </w:r>
      <w:r>
        <w:rPr>
          <w:rFonts w:hint="eastAsia" w:asciiTheme="minorEastAsia" w:hAnsiTheme="minorEastAsia" w:eastAsiaTheme="minorEastAsia" w:cstheme="minorEastAsia"/>
          <w:b/>
          <w:szCs w:val="21"/>
          <w:highlight w:val="none"/>
          <w:u w:val="single"/>
        </w:rPr>
        <w:t>湖北空港首广联合传媒有限公司</w:t>
      </w:r>
      <w:r>
        <w:rPr>
          <w:rFonts w:hint="eastAsia" w:asciiTheme="minorEastAsia" w:hAnsiTheme="minorEastAsia" w:eastAsiaTheme="minorEastAsia" w:cstheme="minorEastAsia"/>
          <w:szCs w:val="21"/>
          <w:highlight w:val="none"/>
        </w:rPr>
        <w:t xml:space="preserve">   代理机构：</w:t>
      </w:r>
      <w:r>
        <w:rPr>
          <w:rFonts w:hint="eastAsia" w:asciiTheme="minorEastAsia" w:hAnsiTheme="minorEastAsia" w:eastAsiaTheme="minorEastAsia" w:cstheme="minorEastAsia"/>
          <w:b/>
          <w:szCs w:val="21"/>
          <w:highlight w:val="none"/>
          <w:u w:val="single"/>
        </w:rPr>
        <w:t>湖北国华项目管理咨询有限公司</w:t>
      </w:r>
    </w:p>
    <w:p w14:paraId="35B34075">
      <w:pPr>
        <w:spacing w:line="360" w:lineRule="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武汉天河机场</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武昌区中北路109号中铁1818中心10楼</w:t>
      </w:r>
    </w:p>
    <w:p w14:paraId="2D789D0D">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邮    编：</w:t>
      </w:r>
      <w:r>
        <w:rPr>
          <w:rFonts w:hint="eastAsia" w:asciiTheme="minorEastAsia" w:hAnsiTheme="minorEastAsia" w:eastAsiaTheme="minorEastAsia" w:cstheme="minorEastAsia"/>
          <w:b/>
          <w:szCs w:val="21"/>
          <w:highlight w:val="none"/>
          <w:u w:val="single"/>
        </w:rPr>
        <w:t>430302</w:t>
      </w:r>
      <w:r>
        <w:rPr>
          <w:rFonts w:hint="eastAsia" w:asciiTheme="minorEastAsia" w:hAnsiTheme="minorEastAsia" w:eastAsiaTheme="minorEastAsia" w:cstheme="minorEastAsia"/>
          <w:szCs w:val="21"/>
          <w:highlight w:val="none"/>
        </w:rPr>
        <w:t xml:space="preserve">                       邮    编：</w:t>
      </w:r>
      <w:r>
        <w:rPr>
          <w:rFonts w:hint="eastAsia" w:asciiTheme="minorEastAsia" w:hAnsiTheme="minorEastAsia" w:eastAsiaTheme="minorEastAsia" w:cstheme="minorEastAsia"/>
          <w:b/>
          <w:szCs w:val="21"/>
          <w:highlight w:val="none"/>
          <w:u w:val="single"/>
        </w:rPr>
        <w:t>430071</w:t>
      </w:r>
    </w:p>
    <w:p w14:paraId="7F5EEA75">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 系 人：</w:t>
      </w:r>
      <w:r>
        <w:rPr>
          <w:rFonts w:hint="eastAsia" w:asciiTheme="minorEastAsia" w:hAnsiTheme="minorEastAsia" w:eastAsiaTheme="minorEastAsia" w:cstheme="minorEastAsia"/>
          <w:b/>
          <w:bCs/>
          <w:szCs w:val="21"/>
          <w:highlight w:val="none"/>
          <w:u w:val="single"/>
        </w:rPr>
        <w:t xml:space="preserve">蔡先生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b/>
          <w:szCs w:val="21"/>
          <w:highlight w:val="none"/>
          <w:u w:val="single"/>
        </w:rPr>
        <w:t xml:space="preserve"> </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联 系 人：</w:t>
      </w:r>
      <w:r>
        <w:rPr>
          <w:rFonts w:hint="eastAsia" w:asciiTheme="minorEastAsia" w:hAnsiTheme="minorEastAsia" w:eastAsiaTheme="minorEastAsia" w:cstheme="minorEastAsia"/>
          <w:b/>
          <w:szCs w:val="21"/>
          <w:highlight w:val="none"/>
          <w:u w:val="single"/>
        </w:rPr>
        <w:t>李贝、万齐威</w:t>
      </w:r>
      <w:r>
        <w:rPr>
          <w:rFonts w:hint="eastAsia" w:asciiTheme="minorEastAsia" w:hAnsiTheme="minorEastAsia" w:eastAsiaTheme="minorEastAsia" w:cstheme="minorEastAsia"/>
          <w:szCs w:val="21"/>
          <w:highlight w:val="none"/>
        </w:rPr>
        <w:t xml:space="preserve">  </w:t>
      </w:r>
    </w:p>
    <w:p w14:paraId="6AECD416">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r>
        <w:rPr>
          <w:rFonts w:hint="eastAsia" w:asciiTheme="minorEastAsia" w:hAnsiTheme="minorEastAsia" w:eastAsiaTheme="minorEastAsia" w:cstheme="minorEastAsia"/>
          <w:b/>
          <w:bCs/>
          <w:szCs w:val="21"/>
          <w:highlight w:val="none"/>
          <w:u w:val="single"/>
        </w:rPr>
        <w:t>027-85819672</w:t>
      </w:r>
      <w:r>
        <w:rPr>
          <w:rFonts w:hint="eastAsia" w:asciiTheme="minorEastAsia" w:hAnsiTheme="minorEastAsia" w:eastAsiaTheme="minorEastAsia" w:cstheme="minorEastAsia"/>
          <w:b/>
          <w:szCs w:val="21"/>
          <w:highlight w:val="none"/>
          <w:u w:val="single"/>
        </w:rPr>
        <w:t xml:space="preserve"> </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电    话：</w:t>
      </w:r>
      <w:r>
        <w:rPr>
          <w:rFonts w:hint="eastAsia" w:asciiTheme="minorEastAsia" w:hAnsiTheme="minorEastAsia" w:eastAsiaTheme="minorEastAsia" w:cstheme="minorEastAsia"/>
          <w:b/>
          <w:szCs w:val="21"/>
          <w:highlight w:val="none"/>
          <w:u w:val="single"/>
        </w:rPr>
        <w:t>027-87272701</w:t>
      </w:r>
      <w:r>
        <w:rPr>
          <w:rFonts w:hint="eastAsia" w:asciiTheme="minorEastAsia" w:hAnsiTheme="minorEastAsia" w:eastAsiaTheme="minorEastAsia" w:cstheme="minorEastAsia"/>
          <w:szCs w:val="21"/>
          <w:highlight w:val="none"/>
        </w:rPr>
        <w:t xml:space="preserve">  </w:t>
      </w:r>
    </w:p>
    <w:bookmarkEnd w:id="24"/>
    <w:p w14:paraId="0EBEB063">
      <w:pPr>
        <w:tabs>
          <w:tab w:val="left" w:pos="540"/>
          <w:tab w:val="left" w:pos="840"/>
        </w:tabs>
        <w:spacing w:line="360" w:lineRule="auto"/>
        <w:outlineLvl w:val="1"/>
        <w:rPr>
          <w:rFonts w:hint="eastAsia" w:ascii="宋体" w:hAnsi="宋体" w:cs="宋体"/>
          <w:b/>
          <w:szCs w:val="21"/>
          <w:highlight w:val="none"/>
        </w:rPr>
      </w:pPr>
      <w:bookmarkStart w:id="26" w:name="_Toc13586"/>
      <w:r>
        <w:rPr>
          <w:rFonts w:hint="eastAsia" w:ascii="宋体" w:hAnsi="宋体" w:cs="宋体"/>
          <w:b/>
          <w:szCs w:val="21"/>
          <w:highlight w:val="none"/>
        </w:rPr>
        <w:t>八、信息发布媒体</w:t>
      </w:r>
      <w:bookmarkEnd w:id="25"/>
      <w:bookmarkEnd w:id="26"/>
    </w:p>
    <w:p w14:paraId="1B939CF7">
      <w:pPr>
        <w:adjustRightInd w:val="0"/>
        <w:spacing w:line="360" w:lineRule="auto"/>
        <w:ind w:firstLine="422" w:firstLineChars="200"/>
        <w:jc w:val="left"/>
        <w:rPr>
          <w:rFonts w:hint="eastAsia" w:ascii="宋体" w:hAnsi="宋体" w:cs="宋体"/>
          <w:bCs/>
          <w:szCs w:val="21"/>
          <w:highlight w:val="none"/>
        </w:rPr>
      </w:pPr>
      <w:r>
        <w:rPr>
          <w:rFonts w:hint="eastAsia" w:hAnsi="宋体"/>
          <w:b/>
          <w:szCs w:val="21"/>
          <w:highlight w:val="none"/>
          <w:u w:val="single"/>
        </w:rPr>
        <w:t>《湖北机场集团有限公司外网》、《首都机场集团传媒有限公司外网》、《中国招标投标公共服务平台》、《湖北国华项目管理咨询有限公司官网》</w:t>
      </w:r>
    </w:p>
    <w:p w14:paraId="2BF90E8E">
      <w:pPr>
        <w:spacing w:line="360" w:lineRule="auto"/>
        <w:jc w:val="right"/>
        <w:rPr>
          <w:rFonts w:hint="eastAsia" w:hAnsi="宋体"/>
          <w:b/>
          <w:szCs w:val="21"/>
          <w:highlight w:val="none"/>
        </w:rPr>
      </w:pPr>
      <w:r>
        <w:rPr>
          <w:rFonts w:hint="eastAsia" w:hAnsi="宋体"/>
          <w:b/>
          <w:szCs w:val="21"/>
          <w:highlight w:val="none"/>
        </w:rPr>
        <w:t>湖北国华项目管理咨询有限公司</w:t>
      </w:r>
    </w:p>
    <w:p w14:paraId="0EE72951">
      <w:pPr>
        <w:spacing w:line="360" w:lineRule="auto"/>
        <w:jc w:val="right"/>
        <w:rPr>
          <w:highlight w:val="none"/>
        </w:rPr>
      </w:pPr>
      <w:r>
        <w:rPr>
          <w:rFonts w:hint="eastAsia" w:hAnsi="宋体"/>
          <w:b/>
          <w:szCs w:val="21"/>
          <w:highlight w:val="none"/>
        </w:rPr>
        <w:t>2025年</w:t>
      </w:r>
      <w:r>
        <w:rPr>
          <w:rFonts w:hint="eastAsia" w:hAnsi="宋体"/>
          <w:b/>
          <w:szCs w:val="21"/>
          <w:highlight w:val="none"/>
          <w:lang w:val="en-US" w:eastAsia="zh-CN"/>
        </w:rPr>
        <w:t>9</w:t>
      </w:r>
      <w:r>
        <w:rPr>
          <w:rFonts w:hint="eastAsia" w:hAnsi="宋体"/>
          <w:b/>
          <w:szCs w:val="21"/>
          <w:highlight w:val="none"/>
        </w:rPr>
        <w:t>月</w:t>
      </w:r>
      <w:r>
        <w:rPr>
          <w:rFonts w:hint="eastAsia" w:hAnsi="宋体"/>
          <w:b/>
          <w:szCs w:val="21"/>
          <w:highlight w:val="none"/>
          <w:lang w:val="en-US" w:eastAsia="zh-CN"/>
        </w:rPr>
        <w:t>25</w:t>
      </w:r>
      <w:r>
        <w:rPr>
          <w:rFonts w:hint="eastAsia" w:hAnsi="宋体"/>
          <w:b/>
          <w:szCs w:val="21"/>
          <w:highlight w:val="none"/>
        </w:rPr>
        <w:t>日</w:t>
      </w:r>
    </w:p>
    <w:p w14:paraId="35E0C3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C50DA"/>
    <w:rsid w:val="0B6C50DA"/>
    <w:rsid w:val="78D24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2025-09-23T07:55:00Z</dcterms:created>
  <dc:creator>李贝</dc:creator>
  <cp:lastModifiedBy>李贝</cp:lastModifiedBy>
  <dcterms:modified xsi:type="dcterms:W3CDTF">2025-09-23T08:00:08Z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FD0E5018348A44A0BC20A4F9553F6CF2_11</vt:lpwstr>
  </property>
  <property fmtid="{D5CDD505-2E9C-101B-9397-08002B2CF9AE}" pid="4" name="KSOTemplateDocerSaveRecord">
    <vt:lpwstr>eyJoZGlkIjoiZmNkZDE0OGE5YjhjMGNiMTYzMmU5MmI3YmEzM2JmMjAiLCJ1c2VySWQiOiI2MjA0MDI5ODEifQ==</vt:lpwstr>
  </property>
</Properties>
</file>