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7393E">
      <w:pPr>
        <w:widowControl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bCs/>
          <w:sz w:val="28"/>
          <w:szCs w:val="28"/>
          <w:lang w:eastAsia="zh-CN"/>
        </w:rPr>
        <w:t>武汉天河机场T3航站楼2025年第四批招商项目</w:t>
      </w:r>
      <w:r>
        <w:rPr>
          <w:rFonts w:hint="eastAsia" w:ascii="宋体" w:hAnsi="宋体" w:cs="宋体"/>
          <w:b/>
          <w:bCs/>
          <w:sz w:val="28"/>
          <w:szCs w:val="28"/>
          <w:lang w:eastAsia="zh-CN"/>
        </w:rPr>
        <w:t>招商公告</w:t>
      </w:r>
    </w:p>
    <w:p w14:paraId="3D7F3275">
      <w:pPr>
        <w:widowControl w:val="0"/>
        <w:spacing w:line="360" w:lineRule="auto"/>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湖北国华项目管理咨询有限公司（以下简称“招商代理机构”）受湖北机场集团实业发展有限公司（以下简称“招商人”）的委托，就其武汉天河机场T3航站楼2025年第四批招商项目招商，现公开邀请潜在响应人参与招商活动。</w:t>
      </w:r>
    </w:p>
    <w:p w14:paraId="5325275A">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0" w:name="_Toc431970291"/>
      <w:bookmarkStart w:id="1" w:name="_Toc7359"/>
      <w:bookmarkStart w:id="2" w:name="_Toc430855196"/>
      <w:r>
        <w:rPr>
          <w:rFonts w:hint="eastAsia" w:ascii="宋体" w:hAnsi="宋体" w:eastAsia="宋体" w:cs="宋体"/>
          <w:b/>
          <w:bCs/>
          <w:kern w:val="2"/>
          <w:sz w:val="28"/>
          <w:szCs w:val="28"/>
          <w:lang w:val="en-US" w:eastAsia="zh-CN" w:bidi="ar-SA"/>
        </w:rPr>
        <w:t>一、项目概况</w:t>
      </w:r>
      <w:bookmarkEnd w:id="0"/>
      <w:bookmarkEnd w:id="1"/>
      <w:bookmarkEnd w:id="2"/>
    </w:p>
    <w:p w14:paraId="278E16EE">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sz w:val="24"/>
        </w:rPr>
        <w:t>1、项目名称：</w:t>
      </w:r>
      <w:r>
        <w:rPr>
          <w:rFonts w:hint="eastAsia" w:ascii="宋体" w:hAnsi="宋体" w:eastAsia="宋体" w:cs="宋体"/>
          <w:sz w:val="24"/>
          <w:lang w:eastAsia="zh-CN"/>
        </w:rPr>
        <w:t>武汉天河机场T3航站楼2025年第四批招商项目</w:t>
      </w:r>
    </w:p>
    <w:p w14:paraId="57B15D8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2、招商编号：ZB0102-202507-FZBFW1147      </w:t>
      </w:r>
    </w:p>
    <w:p w14:paraId="4104E40D">
      <w:pPr>
        <w:spacing w:line="360" w:lineRule="auto"/>
        <w:ind w:firstLine="480" w:firstLineChars="200"/>
        <w:rPr>
          <w:rFonts w:hint="eastAsia" w:ascii="宋体" w:hAnsi="宋体" w:eastAsia="宋体" w:cs="宋体"/>
          <w:sz w:val="24"/>
        </w:rPr>
      </w:pPr>
      <w:r>
        <w:rPr>
          <w:rFonts w:hint="eastAsia" w:ascii="宋体" w:hAnsi="宋体" w:eastAsia="宋体" w:cs="宋体"/>
          <w:sz w:val="24"/>
        </w:rPr>
        <w:t>3、招商内容：</w:t>
      </w:r>
      <w:r>
        <w:rPr>
          <w:rFonts w:hint="eastAsia" w:ascii="宋体" w:hAnsi="宋体" w:eastAsia="宋体" w:cs="宋体"/>
          <w:sz w:val="24"/>
          <w:lang w:val="en-US" w:eastAsia="zh-CN"/>
        </w:rPr>
        <w:t>本次招商共4个项目，作为4个标段进行招商。共计招商面积为1002.57㎡。</w:t>
      </w:r>
      <w:r>
        <w:rPr>
          <w:rFonts w:hint="eastAsia" w:ascii="宋体" w:hAnsi="宋体" w:eastAsia="宋体" w:cs="宋体"/>
          <w:sz w:val="24"/>
        </w:rPr>
        <w:t>具体</w:t>
      </w:r>
      <w:r>
        <w:rPr>
          <w:rFonts w:hint="eastAsia" w:ascii="宋体" w:hAnsi="宋体" w:eastAsia="宋体" w:cs="宋体"/>
          <w:sz w:val="24"/>
          <w:lang w:val="en-US" w:eastAsia="zh-CN"/>
        </w:rPr>
        <w:t>详</w:t>
      </w:r>
      <w:r>
        <w:rPr>
          <w:rFonts w:hint="eastAsia" w:ascii="宋体" w:hAnsi="宋体" w:eastAsia="宋体" w:cs="宋体"/>
          <w:sz w:val="24"/>
        </w:rPr>
        <w:t>见下表：</w:t>
      </w:r>
    </w:p>
    <w:tbl>
      <w:tblPr>
        <w:tblStyle w:val="3"/>
        <w:tblpPr w:leftFromText="180" w:rightFromText="180" w:vertAnchor="text" w:horzAnchor="margin" w:tblpXSpec="center" w:tblpY="168"/>
        <w:tblW w:w="8283" w:type="dxa"/>
        <w:tblInd w:w="-230" w:type="dxa"/>
        <w:tblLayout w:type="fixed"/>
        <w:tblCellMar>
          <w:top w:w="15" w:type="dxa"/>
          <w:left w:w="108" w:type="dxa"/>
          <w:bottom w:w="15" w:type="dxa"/>
          <w:right w:w="108" w:type="dxa"/>
        </w:tblCellMar>
      </w:tblPr>
      <w:tblGrid>
        <w:gridCol w:w="795"/>
        <w:gridCol w:w="1367"/>
        <w:gridCol w:w="1512"/>
        <w:gridCol w:w="1265"/>
        <w:gridCol w:w="2035"/>
        <w:gridCol w:w="1309"/>
      </w:tblGrid>
      <w:tr w14:paraId="45ACC43E">
        <w:tblPrEx>
          <w:tblCellMar>
            <w:top w:w="15" w:type="dxa"/>
            <w:left w:w="108" w:type="dxa"/>
            <w:bottom w:w="15" w:type="dxa"/>
            <w:right w:w="108" w:type="dxa"/>
          </w:tblCellMar>
        </w:tblPrEx>
        <w:trPr>
          <w:cantSplit/>
          <w:trHeight w:val="401" w:hRule="atLeast"/>
        </w:trPr>
        <w:tc>
          <w:tcPr>
            <w:tcW w:w="7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244EBA">
            <w:pPr>
              <w:keepNext w:val="0"/>
              <w:keepLines w:val="0"/>
              <w:pageBreakBefore w:val="0"/>
              <w:widowControl w:val="0"/>
              <w:numPr>
                <w:ilvl w:val="0"/>
                <w:numId w:val="0"/>
              </w:numPr>
              <w:kinsoku/>
              <w:overflowPunct/>
              <w:topLinePunct w:val="0"/>
              <w:autoSpaceDE/>
              <w:autoSpaceDN/>
              <w:bidi w:val="0"/>
              <w:adjustRightInd w:val="0"/>
              <w:snapToGrid/>
              <w:spacing w:line="578" w:lineRule="exact"/>
              <w:ind w:leftChars="0"/>
              <w:jc w:val="both"/>
              <w:textAlignment w:val="baseline"/>
              <w:outlineLvl w:val="1"/>
              <w:rPr>
                <w:rFonts w:hint="eastAsia" w:ascii="黑体" w:hAnsi="黑体" w:eastAsia="黑体" w:cs="黑体"/>
                <w:b w:val="0"/>
                <w:bCs w:val="0"/>
                <w:kern w:val="0"/>
                <w:sz w:val="24"/>
                <w:szCs w:val="20"/>
                <w:lang w:val="en-US" w:eastAsia="zh-CN" w:bidi="ar-SA"/>
              </w:rPr>
            </w:pPr>
            <w:r>
              <w:rPr>
                <w:rFonts w:hint="eastAsia" w:ascii="黑体" w:hAnsi="黑体" w:eastAsia="黑体" w:cs="黑体"/>
                <w:b w:val="0"/>
                <w:bCs w:val="0"/>
                <w:kern w:val="0"/>
                <w:sz w:val="24"/>
                <w:szCs w:val="20"/>
                <w:lang w:val="en-US" w:eastAsia="zh-CN" w:bidi="ar-SA"/>
              </w:rPr>
              <w:t>标段</w:t>
            </w:r>
          </w:p>
        </w:tc>
        <w:tc>
          <w:tcPr>
            <w:tcW w:w="1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C76688">
            <w:pPr>
              <w:keepNext w:val="0"/>
              <w:keepLines w:val="0"/>
              <w:pageBreakBefore w:val="0"/>
              <w:widowControl/>
              <w:kinsoku/>
              <w:overflowPunct/>
              <w:topLinePunct w:val="0"/>
              <w:autoSpaceDE/>
              <w:autoSpaceDN/>
              <w:bidi w:val="0"/>
              <w:snapToGrid/>
              <w:spacing w:line="578" w:lineRule="exact"/>
              <w:ind w:firstLine="12"/>
              <w:jc w:val="center"/>
              <w:rPr>
                <w:rFonts w:hint="eastAsia" w:ascii="黑体" w:hAnsi="黑体" w:eastAsia="黑体" w:cs="黑体"/>
                <w:b w:val="0"/>
                <w:bCs w:val="0"/>
                <w:kern w:val="0"/>
                <w:sz w:val="24"/>
                <w:szCs w:val="20"/>
                <w:lang w:val="en-US" w:eastAsia="zh-CN"/>
              </w:rPr>
            </w:pPr>
            <w:r>
              <w:rPr>
                <w:rFonts w:hint="eastAsia" w:ascii="黑体" w:hAnsi="黑体" w:eastAsia="黑体" w:cs="黑体"/>
                <w:b w:val="0"/>
                <w:bCs w:val="0"/>
                <w:kern w:val="0"/>
                <w:sz w:val="24"/>
                <w:szCs w:val="20"/>
                <w:lang w:val="en-US" w:eastAsia="zh-CN"/>
              </w:rPr>
              <w:t>店铺编号</w:t>
            </w:r>
          </w:p>
        </w:tc>
        <w:tc>
          <w:tcPr>
            <w:tcW w:w="15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040831">
            <w:pPr>
              <w:keepNext w:val="0"/>
              <w:keepLines w:val="0"/>
              <w:pageBreakBefore w:val="0"/>
              <w:widowControl/>
              <w:kinsoku/>
              <w:overflowPunct/>
              <w:topLinePunct w:val="0"/>
              <w:autoSpaceDE/>
              <w:autoSpaceDN/>
              <w:bidi w:val="0"/>
              <w:snapToGrid/>
              <w:spacing w:line="578" w:lineRule="exact"/>
              <w:ind w:firstLine="12"/>
              <w:jc w:val="center"/>
              <w:rPr>
                <w:rFonts w:hint="default" w:ascii="黑体" w:hAnsi="黑体" w:eastAsia="黑体" w:cs="黑体"/>
                <w:b w:val="0"/>
                <w:bCs w:val="0"/>
                <w:kern w:val="0"/>
                <w:sz w:val="24"/>
                <w:szCs w:val="20"/>
                <w:lang w:val="en-US" w:eastAsia="zh-CN"/>
              </w:rPr>
            </w:pPr>
            <w:r>
              <w:rPr>
                <w:rFonts w:hint="eastAsia" w:ascii="黑体" w:hAnsi="黑体" w:eastAsia="黑体" w:cs="黑体"/>
                <w:b w:val="0"/>
                <w:bCs w:val="0"/>
                <w:kern w:val="0"/>
                <w:sz w:val="24"/>
                <w:szCs w:val="20"/>
                <w:lang w:val="en-US" w:eastAsia="zh-CN"/>
              </w:rPr>
              <w:t>位置</w:t>
            </w:r>
          </w:p>
        </w:tc>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A19434">
            <w:pPr>
              <w:keepNext w:val="0"/>
              <w:keepLines w:val="0"/>
              <w:pageBreakBefore w:val="0"/>
              <w:widowControl/>
              <w:kinsoku/>
              <w:overflowPunct/>
              <w:topLinePunct w:val="0"/>
              <w:autoSpaceDE/>
              <w:autoSpaceDN/>
              <w:bidi w:val="0"/>
              <w:snapToGrid/>
              <w:spacing w:line="578" w:lineRule="exact"/>
              <w:ind w:firstLine="12"/>
              <w:jc w:val="center"/>
              <w:rPr>
                <w:rFonts w:hint="eastAsia" w:ascii="黑体" w:hAnsi="黑体" w:eastAsia="黑体" w:cs="黑体"/>
                <w:b w:val="0"/>
                <w:bCs w:val="0"/>
                <w:kern w:val="0"/>
                <w:sz w:val="24"/>
                <w:szCs w:val="20"/>
                <w:lang w:val="en-US" w:eastAsia="zh-CN"/>
              </w:rPr>
            </w:pPr>
            <w:r>
              <w:rPr>
                <w:rFonts w:hint="eastAsia" w:ascii="黑体" w:hAnsi="黑体" w:eastAsia="黑体" w:cs="黑体"/>
                <w:b w:val="0"/>
                <w:bCs w:val="0"/>
                <w:kern w:val="0"/>
                <w:sz w:val="24"/>
                <w:szCs w:val="20"/>
                <w:lang w:val="en-US" w:eastAsia="zh-CN"/>
              </w:rPr>
              <w:t>业态</w:t>
            </w:r>
          </w:p>
        </w:tc>
        <w:tc>
          <w:tcPr>
            <w:tcW w:w="20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2B9551">
            <w:pPr>
              <w:keepNext w:val="0"/>
              <w:keepLines w:val="0"/>
              <w:pageBreakBefore w:val="0"/>
              <w:widowControl/>
              <w:kinsoku/>
              <w:overflowPunct/>
              <w:topLinePunct w:val="0"/>
              <w:autoSpaceDE/>
              <w:autoSpaceDN/>
              <w:bidi w:val="0"/>
              <w:snapToGrid/>
              <w:spacing w:line="578" w:lineRule="exact"/>
              <w:ind w:firstLine="12" w:firstLineChars="0"/>
              <w:jc w:val="center"/>
              <w:rPr>
                <w:rFonts w:hint="eastAsia" w:ascii="黑体" w:hAnsi="黑体" w:eastAsia="黑体" w:cs="黑体"/>
                <w:b w:val="0"/>
                <w:bCs w:val="0"/>
                <w:kern w:val="0"/>
                <w:sz w:val="24"/>
                <w:szCs w:val="20"/>
                <w:lang w:val="en-US" w:eastAsia="zh-CN"/>
              </w:rPr>
            </w:pPr>
            <w:r>
              <w:rPr>
                <w:rFonts w:hint="eastAsia" w:ascii="黑体" w:hAnsi="黑体" w:eastAsia="黑体" w:cs="黑体"/>
                <w:b w:val="0"/>
                <w:bCs w:val="0"/>
                <w:kern w:val="0"/>
                <w:sz w:val="24"/>
                <w:szCs w:val="20"/>
                <w:lang w:val="en-US" w:eastAsia="zh-CN"/>
              </w:rPr>
              <w:t>招商品类</w:t>
            </w:r>
          </w:p>
        </w:tc>
        <w:tc>
          <w:tcPr>
            <w:tcW w:w="13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2DB7D9">
            <w:pPr>
              <w:keepNext w:val="0"/>
              <w:keepLines w:val="0"/>
              <w:pageBreakBefore w:val="0"/>
              <w:widowControl/>
              <w:kinsoku/>
              <w:overflowPunct/>
              <w:topLinePunct w:val="0"/>
              <w:autoSpaceDE/>
              <w:autoSpaceDN/>
              <w:bidi w:val="0"/>
              <w:snapToGrid/>
              <w:spacing w:line="578" w:lineRule="exact"/>
              <w:ind w:firstLine="12" w:firstLineChars="0"/>
              <w:jc w:val="center"/>
              <w:rPr>
                <w:rFonts w:hint="eastAsia" w:ascii="黑体" w:hAnsi="黑体" w:eastAsia="黑体" w:cs="黑体"/>
                <w:b w:val="0"/>
                <w:bCs w:val="0"/>
                <w:kern w:val="0"/>
                <w:sz w:val="24"/>
                <w:szCs w:val="20"/>
              </w:rPr>
            </w:pPr>
            <w:r>
              <w:rPr>
                <w:rFonts w:hint="eastAsia" w:ascii="黑体" w:hAnsi="黑体" w:eastAsia="黑体" w:cs="黑体"/>
                <w:b w:val="0"/>
                <w:bCs w:val="0"/>
                <w:kern w:val="0"/>
                <w:sz w:val="24"/>
                <w:szCs w:val="20"/>
                <w:lang w:val="en-US" w:eastAsia="zh-CN"/>
              </w:rPr>
              <w:t>面积（㎡）</w:t>
            </w:r>
          </w:p>
        </w:tc>
      </w:tr>
      <w:tr w14:paraId="177C7192">
        <w:tblPrEx>
          <w:tblCellMar>
            <w:top w:w="15" w:type="dxa"/>
            <w:left w:w="108" w:type="dxa"/>
            <w:bottom w:w="15" w:type="dxa"/>
            <w:right w:w="108" w:type="dxa"/>
          </w:tblCellMar>
        </w:tblPrEx>
        <w:trPr>
          <w:cantSplit/>
          <w:trHeight w:val="935"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6C8F6488">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bookmarkStart w:id="3" w:name="OLE_LINK31" w:colFirst="1" w:colLast="1"/>
            <w:bookmarkStart w:id="4" w:name="OLE_LINK32" w:colFirst="3" w:colLast="3"/>
            <w:bookmarkStart w:id="5" w:name="OLE_LINK33" w:colFirst="5" w:colLast="5"/>
            <w:bookmarkStart w:id="6" w:name="OLE_LINK15" w:colFirst="5" w:colLast="5"/>
            <w:bookmarkStart w:id="7" w:name="OLE_LINK4" w:colFirst="1" w:colLast="1"/>
            <w:bookmarkStart w:id="8" w:name="OLE_LINK22" w:colFirst="4" w:colLast="4"/>
            <w:r>
              <w:rPr>
                <w:rFonts w:hint="eastAsia" w:ascii="仿宋_GB2312" w:hAnsi="仿宋_GB2312" w:eastAsia="仿宋_GB2312" w:cs="仿宋_GB2312"/>
                <w:i w:val="0"/>
                <w:iCs w:val="0"/>
                <w:color w:val="000000"/>
                <w:kern w:val="0"/>
                <w:sz w:val="24"/>
                <w:szCs w:val="24"/>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9C16CC5">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4D1-12</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74A75F33">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四层出发厅</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5AD8B34">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bookmarkStart w:id="9" w:name="OLE_LINK17"/>
            <w:r>
              <w:rPr>
                <w:rFonts w:hint="eastAsia" w:ascii="仿宋_GB2312" w:hAnsi="仿宋_GB2312" w:eastAsia="仿宋_GB2312" w:cs="仿宋_GB2312"/>
                <w:i w:val="0"/>
                <w:iCs w:val="0"/>
                <w:color w:val="000000"/>
                <w:kern w:val="0"/>
                <w:sz w:val="24"/>
                <w:szCs w:val="24"/>
                <w:u w:val="none"/>
                <w:lang w:val="en-US" w:eastAsia="zh-CN" w:bidi="ar"/>
              </w:rPr>
              <w:t>零售+轻餐饮</w:t>
            </w:r>
            <w:bookmarkEnd w:id="9"/>
          </w:p>
        </w:tc>
        <w:tc>
          <w:tcPr>
            <w:tcW w:w="2035" w:type="dxa"/>
            <w:tcBorders>
              <w:top w:val="single" w:color="auto" w:sz="4" w:space="0"/>
              <w:left w:val="single" w:color="auto" w:sz="4" w:space="0"/>
              <w:bottom w:val="single" w:color="auto" w:sz="4" w:space="0"/>
              <w:right w:val="single" w:color="auto" w:sz="4" w:space="0"/>
            </w:tcBorders>
            <w:noWrap w:val="0"/>
            <w:vAlign w:val="center"/>
          </w:tcPr>
          <w:p w14:paraId="697F401A">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bookmarkStart w:id="10" w:name="OLE_LINK12"/>
            <w:r>
              <w:rPr>
                <w:rFonts w:hint="eastAsia" w:ascii="仿宋_GB2312" w:hAnsi="仿宋_GB2312" w:eastAsia="仿宋_GB2312" w:cs="仿宋_GB2312"/>
                <w:i w:val="0"/>
                <w:iCs w:val="0"/>
                <w:color w:val="000000"/>
                <w:kern w:val="0"/>
                <w:sz w:val="24"/>
                <w:szCs w:val="24"/>
                <w:u w:val="none"/>
                <w:lang w:val="en-US" w:eastAsia="zh-CN" w:bidi="ar"/>
              </w:rPr>
              <w:t>咖啡简餐+科技体验+荆楚文化特产</w:t>
            </w:r>
            <w:bookmarkEnd w:id="10"/>
          </w:p>
        </w:tc>
        <w:tc>
          <w:tcPr>
            <w:tcW w:w="1309" w:type="dxa"/>
            <w:tcBorders>
              <w:top w:val="single" w:color="auto" w:sz="4" w:space="0"/>
              <w:left w:val="single" w:color="auto" w:sz="4" w:space="0"/>
              <w:bottom w:val="single" w:color="auto" w:sz="4" w:space="0"/>
              <w:right w:val="single" w:color="auto" w:sz="4" w:space="0"/>
            </w:tcBorders>
            <w:noWrap w:val="0"/>
            <w:vAlign w:val="center"/>
          </w:tcPr>
          <w:p w14:paraId="4361DD3D">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457.25</w:t>
            </w:r>
          </w:p>
        </w:tc>
      </w:tr>
      <w:tr w14:paraId="1D225094">
        <w:tblPrEx>
          <w:tblCellMar>
            <w:top w:w="15" w:type="dxa"/>
            <w:left w:w="108" w:type="dxa"/>
            <w:bottom w:w="15" w:type="dxa"/>
            <w:right w:w="108" w:type="dxa"/>
          </w:tblCellMar>
        </w:tblPrEx>
        <w:trPr>
          <w:cantSplit/>
          <w:trHeight w:val="935"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678F8797">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bookmarkStart w:id="11" w:name="OLE_LINK14" w:colFirst="4" w:colLast="4"/>
            <w:bookmarkStart w:id="12" w:name="OLE_LINK6" w:colFirst="1" w:colLast="1"/>
            <w:r>
              <w:rPr>
                <w:rFonts w:hint="eastAsia" w:ascii="仿宋_GB2312" w:hAnsi="仿宋_GB2312" w:eastAsia="仿宋_GB2312" w:cs="仿宋_GB2312"/>
                <w:i w:val="0"/>
                <w:iCs w:val="0"/>
                <w:color w:val="000000"/>
                <w:kern w:val="0"/>
                <w:sz w:val="24"/>
                <w:szCs w:val="24"/>
                <w:u w:val="none"/>
                <w:lang w:val="en-US" w:eastAsia="zh-CN" w:bidi="ar"/>
              </w:rPr>
              <w:t>2</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0DECE4B">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2WC-36</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5C371D9B">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bookmarkStart w:id="13" w:name="OLE_LINK5"/>
            <w:r>
              <w:rPr>
                <w:rFonts w:hint="eastAsia" w:ascii="仿宋_GB2312" w:hAnsi="仿宋_GB2312" w:eastAsia="仿宋_GB2312" w:cs="仿宋_GB2312"/>
                <w:i w:val="0"/>
                <w:iCs w:val="0"/>
                <w:color w:val="000000"/>
                <w:kern w:val="0"/>
                <w:sz w:val="24"/>
                <w:szCs w:val="24"/>
                <w:u w:val="none"/>
                <w:lang w:val="en-US" w:eastAsia="zh-CN" w:bidi="ar"/>
              </w:rPr>
              <w:t>东西连廊</w:t>
            </w:r>
            <w:bookmarkEnd w:id="13"/>
          </w:p>
        </w:tc>
        <w:tc>
          <w:tcPr>
            <w:tcW w:w="1265" w:type="dxa"/>
            <w:tcBorders>
              <w:top w:val="single" w:color="auto" w:sz="4" w:space="0"/>
              <w:left w:val="single" w:color="auto" w:sz="4" w:space="0"/>
              <w:bottom w:val="single" w:color="auto" w:sz="4" w:space="0"/>
              <w:right w:val="single" w:color="auto" w:sz="4" w:space="0"/>
            </w:tcBorders>
            <w:noWrap w:val="0"/>
            <w:vAlign w:val="center"/>
          </w:tcPr>
          <w:p w14:paraId="2C320DE3">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便利服务</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08EE277C">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展示销售、休闲娱乐、睡眠舱、计时休息区等</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9F17EBA">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187.66</w:t>
            </w:r>
          </w:p>
        </w:tc>
      </w:tr>
      <w:bookmarkEnd w:id="11"/>
      <w:tr w14:paraId="7AA715C0">
        <w:tblPrEx>
          <w:tblCellMar>
            <w:top w:w="15" w:type="dxa"/>
            <w:left w:w="108" w:type="dxa"/>
            <w:bottom w:w="15" w:type="dxa"/>
            <w:right w:w="108" w:type="dxa"/>
          </w:tblCellMar>
        </w:tblPrEx>
        <w:trPr>
          <w:cantSplit/>
          <w:trHeight w:val="935"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2EC52692">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7940E13">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2EC-41</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2CFAC6B">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东西连廊</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54F0041">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便利服务</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1C0C2EB7">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展示销售、休闲娱乐、睡眠舱、计时休息区等</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3D9D3832">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187.66</w:t>
            </w:r>
          </w:p>
        </w:tc>
      </w:tr>
      <w:bookmarkEnd w:id="3"/>
      <w:bookmarkEnd w:id="4"/>
      <w:bookmarkEnd w:id="5"/>
      <w:tr w14:paraId="4B20A801">
        <w:tblPrEx>
          <w:tblCellMar>
            <w:top w:w="15" w:type="dxa"/>
            <w:left w:w="108" w:type="dxa"/>
            <w:bottom w:w="15" w:type="dxa"/>
            <w:right w:w="108" w:type="dxa"/>
          </w:tblCellMar>
        </w:tblPrEx>
        <w:trPr>
          <w:cantSplit/>
          <w:trHeight w:val="935"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487B1FBE">
            <w:pPr>
              <w:keepNext w:val="0"/>
              <w:keepLines w:val="0"/>
              <w:pageBreakBefore w:val="0"/>
              <w:widowControl/>
              <w:kinsoku/>
              <w:overflowPunct/>
              <w:topLinePunct w:val="0"/>
              <w:autoSpaceDE/>
              <w:autoSpaceDN/>
              <w:bidi w:val="0"/>
              <w:snapToGrid/>
              <w:spacing w:line="240" w:lineRule="auto"/>
              <w:jc w:val="center"/>
              <w:rPr>
                <w:rFonts w:hint="default" w:ascii="仿宋_GB2312" w:hAnsi="仿宋_GB2312" w:eastAsia="仿宋_GB2312" w:cs="仿宋_GB2312"/>
                <w:i w:val="0"/>
                <w:iCs w:val="0"/>
                <w:color w:val="000000"/>
                <w:kern w:val="0"/>
                <w:sz w:val="24"/>
                <w:szCs w:val="24"/>
                <w:u w:val="none"/>
                <w:lang w:val="en-US" w:eastAsia="zh-CN" w:bidi="ar"/>
              </w:rPr>
            </w:pPr>
            <w:bookmarkStart w:id="14" w:name="OLE_LINK30" w:colFirst="1" w:colLast="5"/>
            <w:bookmarkStart w:id="15" w:name="OLE_LINK29" w:colFirst="2" w:colLast="4"/>
            <w:r>
              <w:rPr>
                <w:rFonts w:hint="eastAsia" w:ascii="仿宋_GB2312" w:hAnsi="仿宋_GB2312" w:eastAsia="仿宋_GB2312" w:cs="仿宋_GB2312"/>
                <w:i w:val="0"/>
                <w:iCs w:val="0"/>
                <w:color w:val="000000"/>
                <w:kern w:val="0"/>
                <w:sz w:val="24"/>
                <w:szCs w:val="24"/>
                <w:u w:val="none"/>
                <w:lang w:val="en-US" w:eastAsia="zh-CN" w:bidi="ar"/>
              </w:rPr>
              <w:t>4</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42C9AAE3">
            <w:pPr>
              <w:keepNext w:val="0"/>
              <w:keepLines w:val="0"/>
              <w:pageBreakBefore w:val="0"/>
              <w:widowControl/>
              <w:kinsoku/>
              <w:overflowPunct/>
              <w:topLinePunct w:val="0"/>
              <w:autoSpaceDE/>
              <w:autoSpaceDN/>
              <w:bidi w:val="0"/>
              <w:snapToGrid/>
              <w:spacing w:line="240" w:lineRule="auto"/>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2M-08</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09C1F03">
            <w:pPr>
              <w:keepNext w:val="0"/>
              <w:keepLines w:val="0"/>
              <w:pageBreakBefore w:val="0"/>
              <w:widowControl/>
              <w:kinsoku/>
              <w:overflowPunct/>
              <w:topLinePunct w:val="0"/>
              <w:autoSpaceDE/>
              <w:autoSpaceDN/>
              <w:bidi w:val="0"/>
              <w:snapToGrid/>
              <w:spacing w:line="240" w:lineRule="auto"/>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东西连廊</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878CAE7">
            <w:pPr>
              <w:keepNext w:val="0"/>
              <w:keepLines w:val="0"/>
              <w:pageBreakBefore w:val="0"/>
              <w:widowControl/>
              <w:kinsoku/>
              <w:overflowPunct/>
              <w:topLinePunct w:val="0"/>
              <w:autoSpaceDE/>
              <w:autoSpaceDN/>
              <w:bidi w:val="0"/>
              <w:snapToGrid/>
              <w:spacing w:line="240" w:lineRule="auto"/>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便利服务</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2DBCD12E">
            <w:pPr>
              <w:keepNext w:val="0"/>
              <w:keepLines w:val="0"/>
              <w:pageBreakBefore w:val="0"/>
              <w:widowControl/>
              <w:kinsoku/>
              <w:overflowPunct/>
              <w:topLinePunct w:val="0"/>
              <w:autoSpaceDE/>
              <w:autoSpaceDN/>
              <w:bidi w:val="0"/>
              <w:snapToGrid/>
              <w:spacing w:line="240" w:lineRule="auto"/>
              <w:jc w:val="center"/>
              <w:rPr>
                <w:rFonts w:hint="default" w:ascii="仿宋_GB2312" w:hAnsi="仿宋_GB2312" w:eastAsia="仿宋_GB2312" w:cs="仿宋_GB2312"/>
                <w:b w:val="0"/>
                <w:bCs w:val="0"/>
                <w:i w:val="0"/>
                <w:iCs w:val="0"/>
                <w:color w:val="000000"/>
                <w:kern w:val="0"/>
                <w:sz w:val="24"/>
                <w:szCs w:val="24"/>
                <w:u w:val="none"/>
                <w:lang w:val="en-US" w:eastAsia="zh-CN" w:bidi="ar"/>
              </w:rPr>
            </w:pPr>
            <w:bookmarkStart w:id="16" w:name="OLE_LINK40"/>
            <w:r>
              <w:rPr>
                <w:rFonts w:hint="eastAsia" w:ascii="仿宋_GB2312" w:hAnsi="仿宋_GB2312" w:eastAsia="仿宋_GB2312" w:cs="仿宋_GB2312"/>
                <w:b w:val="0"/>
                <w:bCs w:val="0"/>
                <w:i w:val="0"/>
                <w:iCs w:val="0"/>
                <w:color w:val="000000"/>
                <w:kern w:val="0"/>
                <w:sz w:val="24"/>
                <w:szCs w:val="24"/>
                <w:u w:val="none"/>
                <w:lang w:val="en-US" w:eastAsia="zh-CN" w:bidi="ar"/>
              </w:rPr>
              <w:t>展示销售、休闲娱乐、睡眠舱、计时休息区等</w:t>
            </w:r>
            <w:bookmarkEnd w:id="16"/>
          </w:p>
        </w:tc>
        <w:tc>
          <w:tcPr>
            <w:tcW w:w="1309" w:type="dxa"/>
            <w:tcBorders>
              <w:top w:val="single" w:color="auto" w:sz="4" w:space="0"/>
              <w:left w:val="single" w:color="auto" w:sz="4" w:space="0"/>
              <w:bottom w:val="single" w:color="auto" w:sz="4" w:space="0"/>
              <w:right w:val="single" w:color="auto" w:sz="4" w:space="0"/>
            </w:tcBorders>
            <w:noWrap w:val="0"/>
            <w:vAlign w:val="center"/>
          </w:tcPr>
          <w:p w14:paraId="22535D8A">
            <w:pPr>
              <w:keepNext w:val="0"/>
              <w:keepLines w:val="0"/>
              <w:pageBreakBefore w:val="0"/>
              <w:widowControl/>
              <w:kinsoku/>
              <w:overflowPunct/>
              <w:topLinePunct w:val="0"/>
              <w:autoSpaceDE/>
              <w:autoSpaceDN/>
              <w:bidi w:val="0"/>
              <w:snapToGrid/>
              <w:spacing w:line="240" w:lineRule="auto"/>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170</w:t>
            </w:r>
          </w:p>
        </w:tc>
      </w:tr>
      <w:bookmarkEnd w:id="14"/>
      <w:bookmarkEnd w:id="15"/>
      <w:tr w14:paraId="2DCD0D6D">
        <w:tblPrEx>
          <w:tblCellMar>
            <w:top w:w="15" w:type="dxa"/>
            <w:left w:w="108" w:type="dxa"/>
            <w:bottom w:w="15" w:type="dxa"/>
            <w:right w:w="108" w:type="dxa"/>
          </w:tblCellMar>
        </w:tblPrEx>
        <w:trPr>
          <w:cantSplit/>
          <w:trHeight w:val="935"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26B3CEAA">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99912FE">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603B99B">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AA33D6C">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5850A2BF">
            <w:pPr>
              <w:keepNext w:val="0"/>
              <w:keepLines w:val="0"/>
              <w:pageBreakBefore w:val="0"/>
              <w:widowControl/>
              <w:kinsoku/>
              <w:overflowPunct/>
              <w:topLinePunct w:val="0"/>
              <w:autoSpaceDE/>
              <w:autoSpaceDN/>
              <w:bidi w:val="0"/>
              <w:snapToGrid/>
              <w:spacing w:line="240" w:lineRule="auto"/>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03DB5383">
            <w:pPr>
              <w:keepNext w:val="0"/>
              <w:keepLines w:val="0"/>
              <w:pageBreakBefore w:val="0"/>
              <w:widowControl/>
              <w:kinsoku/>
              <w:overflowPunct/>
              <w:topLinePunct w:val="0"/>
              <w:autoSpaceDE/>
              <w:autoSpaceDN/>
              <w:bidi w:val="0"/>
              <w:snapToGrid/>
              <w:spacing w:line="240" w:lineRule="auto"/>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1002.57</w:t>
            </w:r>
          </w:p>
        </w:tc>
      </w:tr>
      <w:bookmarkEnd w:id="6"/>
      <w:bookmarkEnd w:id="7"/>
      <w:bookmarkEnd w:id="8"/>
      <w:bookmarkEnd w:id="12"/>
    </w:tbl>
    <w:p w14:paraId="43DA8FD6">
      <w:pPr>
        <w:numPr>
          <w:ilvl w:val="0"/>
          <w:numId w:val="0"/>
        </w:numPr>
        <w:snapToGrid w:val="0"/>
        <w:spacing w:line="360" w:lineRule="auto"/>
        <w:rPr>
          <w:rFonts w:hint="eastAsia" w:ascii="宋体" w:hAnsi="宋体" w:eastAsia="宋体" w:cs="宋体"/>
          <w:sz w:val="24"/>
        </w:rPr>
      </w:pPr>
    </w:p>
    <w:p w14:paraId="032B7BC9">
      <w:pPr>
        <w:numPr>
          <w:ilvl w:val="0"/>
          <w:numId w:val="1"/>
        </w:num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项目范围：</w:t>
      </w:r>
    </w:p>
    <w:p w14:paraId="32489CDB">
      <w:pPr>
        <w:numPr>
          <w:ilvl w:val="0"/>
          <w:numId w:val="0"/>
        </w:num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标段1：响应人可自行组合3种（含以上）不同业态或品类，包括但不仅限于咖啡简餐、科技体验、荆楚文化等，但便利店、卤制品品类除外；其中餐饮业态经营面积不得超过总面积的1/3。</w:t>
      </w:r>
    </w:p>
    <w:p w14:paraId="7E19638E">
      <w:pPr>
        <w:numPr>
          <w:ilvl w:val="0"/>
          <w:numId w:val="0"/>
        </w:num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标段2-4：主要经营展示销售、休闲娱乐、睡眠舱、计时休息区等等便利服务业态，响应人须取得经营前置许可相关文件，经营睡眠舱、计时休息区的成交响应人须负责办理报警系统、身份识别系统等接入流程（具体以机场公安等相关单位要求为准）。</w:t>
      </w:r>
    </w:p>
    <w:p w14:paraId="48386894">
      <w:pPr>
        <w:numPr>
          <w:ilvl w:val="0"/>
          <w:numId w:val="0"/>
        </w:numPr>
        <w:snapToGrid w:val="0"/>
        <w:spacing w:line="360" w:lineRule="auto"/>
        <w:rPr>
          <w:rFonts w:hint="eastAsia" w:ascii="宋体" w:hAnsi="宋体" w:eastAsia="宋体" w:cs="宋体"/>
          <w:sz w:val="24"/>
        </w:rPr>
      </w:pPr>
      <w:bookmarkStart w:id="29" w:name="_GoBack"/>
      <w:bookmarkEnd w:id="29"/>
      <w:r>
        <w:rPr>
          <w:rFonts w:hint="eastAsia" w:ascii="宋体" w:hAnsi="宋体" w:eastAsia="宋体" w:cs="宋体"/>
          <w:kern w:val="2"/>
          <w:sz w:val="24"/>
          <w:szCs w:val="24"/>
          <w:lang w:val="en-US" w:eastAsia="zh-CN" w:bidi="ar-SA"/>
        </w:rPr>
        <w:t>5、</w:t>
      </w:r>
      <w:r>
        <w:rPr>
          <w:rFonts w:hint="eastAsia" w:ascii="宋体" w:hAnsi="宋体" w:eastAsia="宋体" w:cs="宋体"/>
          <w:sz w:val="24"/>
        </w:rPr>
        <w:t>合同期限：</w:t>
      </w:r>
      <w:bookmarkStart w:id="17" w:name="OLE_LINK10"/>
    </w:p>
    <w:p w14:paraId="49290F89">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标段1合同期限为5年，合同执行期限自适用场地交付起开始计算，装修免租期为适用场地交付之日起最多不最多不超过60个日历日；</w:t>
      </w:r>
    </w:p>
    <w:p w14:paraId="53753135">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标段2-4合同期限为3年，合同执行期限自适用场地交付起开始计算，装修免租期为适用场地交付之日起最多不超过45个日历日。</w:t>
      </w:r>
    </w:p>
    <w:p w14:paraId="6AE1EF5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其中非经营方原因导致的停工，在提供相应证明文件后，可不计入免租期，具体以招商人审批为准。如提前完成装修并开业以实际开业之日起租。</w:t>
      </w:r>
    </w:p>
    <w:bookmarkEnd w:id="17"/>
    <w:p w14:paraId="05D5BFE6">
      <w:pPr>
        <w:keepNext/>
        <w:keepLines/>
        <w:widowControl w:val="0"/>
        <w:spacing w:before="156" w:beforeLines="50" w:after="156" w:afterLines="50" w:line="360" w:lineRule="auto"/>
        <w:jc w:val="both"/>
        <w:outlineLvl w:val="1"/>
        <w:rPr>
          <w:rFonts w:hint="eastAsia" w:ascii="宋体" w:hAnsi="宋体" w:eastAsia="宋体" w:cs="宋体"/>
          <w:b/>
          <w:bCs/>
          <w:kern w:val="2"/>
          <w:sz w:val="28"/>
          <w:szCs w:val="28"/>
          <w:lang w:val="en-US" w:eastAsia="zh-CN" w:bidi="ar-SA"/>
        </w:rPr>
      </w:pPr>
      <w:bookmarkStart w:id="18" w:name="_Toc431970292"/>
      <w:bookmarkStart w:id="19" w:name="_Toc2445"/>
      <w:bookmarkStart w:id="20" w:name="_Toc430855197"/>
      <w:r>
        <w:rPr>
          <w:rFonts w:hint="eastAsia" w:ascii="宋体" w:hAnsi="宋体" w:eastAsia="宋体" w:cs="宋体"/>
          <w:b/>
          <w:bCs/>
          <w:kern w:val="2"/>
          <w:sz w:val="28"/>
          <w:szCs w:val="28"/>
          <w:lang w:val="en-US" w:eastAsia="zh-CN" w:bidi="ar-SA"/>
        </w:rPr>
        <w:t>二、响应人资格要求</w:t>
      </w:r>
      <w:bookmarkEnd w:id="18"/>
      <w:bookmarkEnd w:id="19"/>
      <w:bookmarkEnd w:id="20"/>
      <w:r>
        <w:rPr>
          <w:rFonts w:hint="eastAsia" w:ascii="宋体" w:hAnsi="宋体" w:eastAsia="宋体" w:cs="宋体"/>
          <w:b/>
          <w:bCs/>
          <w:kern w:val="2"/>
          <w:sz w:val="28"/>
          <w:szCs w:val="28"/>
          <w:lang w:val="en-US" w:eastAsia="zh-CN" w:bidi="ar-SA"/>
        </w:rPr>
        <w:t xml:space="preserve">       </w:t>
      </w:r>
    </w:p>
    <w:p w14:paraId="010FDD55">
      <w:pPr>
        <w:snapToGrid w:val="0"/>
        <w:spacing w:line="360" w:lineRule="auto"/>
        <w:ind w:firstLine="480" w:firstLineChars="200"/>
        <w:rPr>
          <w:rFonts w:hint="eastAsia" w:ascii="宋体" w:hAnsi="宋体" w:eastAsia="宋体" w:cs="宋体"/>
          <w:sz w:val="24"/>
        </w:rPr>
      </w:pPr>
      <w:bookmarkStart w:id="21" w:name="_Toc431970298"/>
      <w:bookmarkStart w:id="22" w:name="_Toc430855203"/>
      <w:r>
        <w:rPr>
          <w:rFonts w:hint="eastAsia" w:ascii="宋体" w:hAnsi="宋体" w:eastAsia="宋体" w:cs="宋体"/>
          <w:sz w:val="24"/>
        </w:rPr>
        <w:t>1.响应人应为符合中国法律法规及行业经营管理规定、具有行业必要从业执照或资质的境内企业法人，截至2024年12月31日前，具有3年（含）以上相关运营管理经验（响应人须提供营业执照），且2024年纳税级别达B级及以上。</w:t>
      </w:r>
    </w:p>
    <w:p w14:paraId="3783E33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2.响应人须具备自有品牌的生产企业、或自有注册商标的经销商、或具备合法代理资格的代理商；如引进非自有品牌，须提供有效的品牌授权书、特殊行业授权书。</w:t>
      </w:r>
    </w:p>
    <w:p w14:paraId="0B8DDEC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3.符合运营投标项目所需的国家规定的相关资质条件（营业执照、食品经营许可证等，具体视项目决定）。</w:t>
      </w:r>
    </w:p>
    <w:p w14:paraId="3B39645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符合招商条件的T3航站楼现有商业项目经营商户或曾经经营商户参与本次招商，不得与招商人存在法律仲裁、诉讼关系。截至招商评审上月最后一个自然日，响应人与湖北机场集团实业发展有限公司不存在欠租、欠费等违约行为。</w:t>
      </w:r>
    </w:p>
    <w:p w14:paraId="3ED32C9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守法经营，诚实守信。在以前的经营活动中未出现过以商业贿赂等不正当竞争手段取得经营权的记录。在国家企业信用信息公示系统（http://www.gsxt.gov.cn/）及企查查中显示经营中无违法记录，无虚假广告行为，无不正当竞争行为。银行信用良好，无不良欠款记录。无被暂停投标资格且在暂停期内的，以上需提交书面承诺及相关文件。</w:t>
      </w:r>
    </w:p>
    <w:p w14:paraId="2C25C3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6.本项目不接受联合体形式参与，有控股及关联的公司只能选择一家公司报名参与，否则将被同时取消参与资格。</w:t>
      </w:r>
    </w:p>
    <w:p w14:paraId="593D4B46">
      <w:pPr>
        <w:snapToGrid w:val="0"/>
        <w:spacing w:line="360" w:lineRule="auto"/>
        <w:ind w:firstLine="480" w:firstLineChars="200"/>
        <w:rPr>
          <w:rFonts w:hint="eastAsia" w:ascii="Times New Roman" w:hAnsi="Times New Roman" w:eastAsia="宋体" w:cs="Times New Roman"/>
        </w:rPr>
      </w:pPr>
      <w:r>
        <w:rPr>
          <w:rFonts w:hint="eastAsia" w:ascii="宋体" w:hAnsi="宋体" w:eastAsia="宋体" w:cs="宋体"/>
          <w:sz w:val="24"/>
          <w:lang w:val="en-US" w:eastAsia="zh-CN"/>
        </w:rPr>
        <w:t>7.</w:t>
      </w:r>
      <w:r>
        <w:rPr>
          <w:rFonts w:hint="eastAsia" w:ascii="宋体" w:hAnsi="宋体" w:eastAsia="宋体" w:cs="宋体"/>
          <w:sz w:val="24"/>
        </w:rPr>
        <w:t>响应人须针对《</w:t>
      </w:r>
      <w:r>
        <w:rPr>
          <w:rFonts w:hint="eastAsia" w:ascii="宋体" w:hAnsi="宋体" w:eastAsia="宋体" w:cs="宋体"/>
          <w:sz w:val="24"/>
          <w:lang w:eastAsia="zh-CN"/>
        </w:rPr>
        <w:t>湖北机场集团“供应商不良行为”管理办法</w:t>
      </w:r>
      <w:r>
        <w:rPr>
          <w:rFonts w:hint="eastAsia" w:ascii="宋体" w:hAnsi="宋体" w:eastAsia="宋体" w:cs="宋体"/>
          <w:sz w:val="24"/>
        </w:rPr>
        <w:t>》在响应文件中做出承诺，格式详见响应文件格式。</w:t>
      </w:r>
    </w:p>
    <w:p w14:paraId="460CF3A2">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23" w:name="_Toc5395"/>
      <w:r>
        <w:rPr>
          <w:rFonts w:hint="eastAsia" w:ascii="宋体" w:hAnsi="宋体" w:eastAsia="宋体" w:cs="宋体"/>
          <w:b/>
          <w:bCs/>
          <w:kern w:val="2"/>
          <w:sz w:val="28"/>
          <w:szCs w:val="28"/>
          <w:lang w:val="en-US" w:eastAsia="zh-CN" w:bidi="ar-SA"/>
        </w:rPr>
        <w:t>三、报名及招商文件的领取</w:t>
      </w:r>
      <w:bookmarkEnd w:id="23"/>
    </w:p>
    <w:p w14:paraId="0E15A39F">
      <w:pPr>
        <w:keepNext w:val="0"/>
        <w:keepLines w:val="0"/>
        <w:pageBreakBefore w:val="0"/>
        <w:tabs>
          <w:tab w:val="left" w:pos="540"/>
          <w:tab w:val="left" w:pos="840"/>
        </w:tabs>
        <w:kinsoku/>
        <w:wordWrap w:val="0"/>
        <w:overflowPunct w:val="0"/>
        <w:topLinePunct w:val="0"/>
        <w:bidi w:val="0"/>
        <w:snapToGrid/>
        <w:spacing w:line="360" w:lineRule="auto"/>
        <w:ind w:firstLine="480" w:firstLineChars="200"/>
        <w:rPr>
          <w:rFonts w:hint="eastAsia" w:ascii="宋体" w:hAnsi="宋体" w:eastAsia="宋体" w:cs="宋体"/>
          <w:sz w:val="24"/>
          <w:szCs w:val="24"/>
          <w:highlight w:val="none"/>
        </w:rPr>
      </w:pPr>
      <w:bookmarkStart w:id="24" w:name="_Toc430855202"/>
      <w:bookmarkStart w:id="25" w:name="_Toc431970297"/>
      <w:bookmarkStart w:id="26" w:name="_Toc24225"/>
      <w:r>
        <w:rPr>
          <w:rFonts w:hint="eastAsia" w:ascii="宋体" w:hAnsi="宋体" w:eastAsia="宋体" w:cs="宋体"/>
          <w:sz w:val="24"/>
          <w:szCs w:val="24"/>
          <w:highlight w:val="none"/>
        </w:rPr>
        <w:t>1.</w:t>
      </w:r>
      <w:r>
        <w:rPr>
          <w:rFonts w:ascii="Times New Roman" w:hAnsi="Times New Roman" w:eastAsia="宋体" w:cs="Times New Roman"/>
          <w:sz w:val="24"/>
          <w:szCs w:val="24"/>
          <w:highlight w:val="none"/>
        </w:rPr>
        <w:t>拟参加本项目的供应商须在阳光招采电子交易平台免费注册（网址：</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HYPERLINK "https://www.yangguangzhaocai.com" </w:instrText>
      </w:r>
      <w:r>
        <w:rPr>
          <w:rFonts w:ascii="Times New Roman" w:hAnsi="Times New Roman" w:eastAsia="宋体" w:cs="Times New Roman"/>
          <w:sz w:val="24"/>
          <w:szCs w:val="24"/>
          <w:highlight w:val="none"/>
        </w:rPr>
        <w:fldChar w:fldCharType="separate"/>
      </w:r>
      <w:r>
        <w:rPr>
          <w:rStyle w:val="5"/>
          <w:color w:val="auto"/>
          <w:sz w:val="24"/>
          <w:szCs w:val="24"/>
          <w:highlight w:val="none"/>
        </w:rPr>
        <w:t>https://www.yangguangzhaocai.com</w:t>
      </w:r>
      <w:r>
        <w:rPr>
          <w:rStyle w:val="5"/>
          <w:color w:val="auto"/>
          <w:sz w:val="24"/>
          <w:szCs w:val="24"/>
          <w:highlight w:val="none"/>
        </w:rPr>
        <w:fldChar w:fldCharType="end"/>
      </w:r>
      <w:r>
        <w:rPr>
          <w:rFonts w:hint="eastAsia" w:ascii="宋体" w:hAnsi="宋体" w:eastAsia="宋体" w:cs="宋体"/>
          <w:sz w:val="24"/>
          <w:szCs w:val="24"/>
          <w:highlight w:val="none"/>
        </w:rPr>
        <w:t>---【新用户注册】，相关操作帮助详见：帮助中心--- 投标人注册操作指南）；</w:t>
      </w:r>
    </w:p>
    <w:p w14:paraId="18431509">
      <w:pPr>
        <w:keepNext w:val="0"/>
        <w:keepLines w:val="0"/>
        <w:pageBreakBefore w:val="0"/>
        <w:tabs>
          <w:tab w:val="left" w:pos="540"/>
          <w:tab w:val="left" w:pos="840"/>
        </w:tabs>
        <w:kinsoku/>
        <w:topLinePunct w:val="0"/>
        <w:bidi w:val="0"/>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Times New Roman"/>
          <w:sz w:val="24"/>
          <w:szCs w:val="24"/>
          <w:highlight w:val="none"/>
          <w:lang w:val="zh-CN"/>
        </w:rPr>
        <w:t>注册完成后，请于</w:t>
      </w:r>
      <w:r>
        <w:rPr>
          <w:rFonts w:ascii="Times New Roman" w:hAnsi="Times New Roman" w:eastAsia="宋体" w:cs="Times New Roman"/>
          <w:b/>
          <w:bCs/>
          <w:sz w:val="24"/>
          <w:szCs w:val="24"/>
          <w:highlight w:val="none"/>
          <w:u w:val="single"/>
        </w:rPr>
        <w:t>202</w:t>
      </w:r>
      <w:r>
        <w:rPr>
          <w:rFonts w:hint="eastAsia" w:ascii="Times New Roman" w:hAnsi="Times New Roman" w:eastAsia="宋体" w:cs="Times New Roman"/>
          <w:b/>
          <w:bCs/>
          <w:sz w:val="24"/>
          <w:szCs w:val="24"/>
          <w:highlight w:val="none"/>
          <w:u w:val="single"/>
        </w:rPr>
        <w:t>5</w:t>
      </w:r>
      <w:r>
        <w:rPr>
          <w:rFonts w:hint="eastAsia" w:ascii="宋体" w:hAnsi="宋体" w:eastAsia="宋体" w:cs="Times New Roman"/>
          <w:sz w:val="24"/>
          <w:szCs w:val="24"/>
          <w:highlight w:val="none"/>
          <w:lang w:val="zh-CN"/>
        </w:rPr>
        <w:t>年</w:t>
      </w:r>
      <w:r>
        <w:rPr>
          <w:rFonts w:hint="eastAsia" w:ascii="Times New Roman" w:hAnsi="Times New Roman" w:eastAsia="宋体" w:cs="Times New Roman"/>
          <w:b/>
          <w:bCs/>
          <w:sz w:val="24"/>
          <w:szCs w:val="24"/>
          <w:highlight w:val="none"/>
          <w:u w:val="single"/>
          <w:lang w:val="en-US" w:eastAsia="zh-CN"/>
        </w:rPr>
        <w:t>7</w:t>
      </w:r>
      <w:r>
        <w:rPr>
          <w:rFonts w:hint="eastAsia" w:ascii="宋体" w:hAnsi="宋体" w:eastAsia="宋体" w:cs="Times New Roman"/>
          <w:sz w:val="24"/>
          <w:szCs w:val="24"/>
          <w:highlight w:val="none"/>
          <w:lang w:val="zh-CN"/>
        </w:rPr>
        <w:t>月</w:t>
      </w:r>
      <w:r>
        <w:rPr>
          <w:rFonts w:hint="eastAsia" w:ascii="Times New Roman" w:hAnsi="Times New Roman" w:eastAsia="宋体" w:cs="Times New Roman"/>
          <w:b/>
          <w:bCs/>
          <w:sz w:val="24"/>
          <w:szCs w:val="24"/>
          <w:highlight w:val="none"/>
          <w:u w:val="single"/>
          <w:lang w:val="en-US" w:eastAsia="zh-CN"/>
        </w:rPr>
        <w:t>30</w:t>
      </w:r>
      <w:r>
        <w:rPr>
          <w:rFonts w:hint="eastAsia" w:ascii="宋体" w:hAnsi="宋体" w:eastAsia="宋体" w:cs="Times New Roman"/>
          <w:sz w:val="24"/>
          <w:szCs w:val="24"/>
          <w:highlight w:val="none"/>
          <w:lang w:val="zh-CN"/>
        </w:rPr>
        <w:t>日</w:t>
      </w:r>
      <w:r>
        <w:rPr>
          <w:rFonts w:ascii="Times New Roman" w:hAnsi="Times New Roman" w:eastAsia="宋体" w:cs="Times New Roman"/>
          <w:b/>
          <w:bCs/>
          <w:sz w:val="24"/>
          <w:szCs w:val="24"/>
          <w:highlight w:val="none"/>
          <w:u w:val="single"/>
        </w:rPr>
        <w:t>0</w:t>
      </w:r>
      <w:r>
        <w:rPr>
          <w:rFonts w:hint="eastAsia" w:ascii="Times New Roman" w:hAnsi="Times New Roman" w:eastAsia="宋体" w:cs="Times New Roman"/>
          <w:b/>
          <w:bCs/>
          <w:sz w:val="24"/>
          <w:szCs w:val="24"/>
          <w:highlight w:val="none"/>
          <w:u w:val="single"/>
        </w:rPr>
        <w:t>8</w:t>
      </w:r>
      <w:r>
        <w:rPr>
          <w:rFonts w:ascii="Times New Roman" w:hAnsi="Times New Roman" w:eastAsia="宋体" w:cs="Times New Roman"/>
          <w:b/>
          <w:bCs/>
          <w:sz w:val="24"/>
          <w:szCs w:val="24"/>
          <w:highlight w:val="none"/>
          <w:u w:val="single"/>
        </w:rPr>
        <w:t>:00</w:t>
      </w:r>
      <w:r>
        <w:rPr>
          <w:rFonts w:hint="eastAsia" w:ascii="宋体" w:hAnsi="宋体" w:eastAsia="宋体" w:cs="Times New Roman"/>
          <w:sz w:val="24"/>
          <w:szCs w:val="24"/>
          <w:highlight w:val="none"/>
          <w:lang w:val="zh-CN"/>
        </w:rPr>
        <w:t>至</w:t>
      </w:r>
      <w:r>
        <w:rPr>
          <w:rFonts w:hint="eastAsia" w:ascii="Times New Roman" w:hAnsi="Times New Roman" w:eastAsia="宋体" w:cs="Times New Roman"/>
          <w:b/>
          <w:bCs/>
          <w:sz w:val="24"/>
          <w:szCs w:val="24"/>
          <w:highlight w:val="none"/>
          <w:u w:val="single"/>
          <w:lang w:val="en-US" w:eastAsia="zh-CN"/>
        </w:rPr>
        <w:t>2025</w:t>
      </w:r>
      <w:r>
        <w:rPr>
          <w:rFonts w:hint="eastAsia" w:ascii="Times New Roman" w:hAnsi="Times New Roman" w:eastAsia="宋体" w:cs="Times New Roman"/>
          <w:b w:val="0"/>
          <w:bCs w:val="0"/>
          <w:sz w:val="24"/>
          <w:szCs w:val="24"/>
          <w:highlight w:val="none"/>
          <w:u w:val="none"/>
          <w:lang w:val="en-US" w:eastAsia="zh-CN"/>
        </w:rPr>
        <w:t>年</w:t>
      </w:r>
      <w:r>
        <w:rPr>
          <w:rFonts w:hint="eastAsia" w:ascii="Times New Roman" w:hAnsi="Times New Roman" w:eastAsia="宋体" w:cs="Times New Roman"/>
          <w:b/>
          <w:bCs/>
          <w:sz w:val="24"/>
          <w:szCs w:val="24"/>
          <w:highlight w:val="none"/>
          <w:u w:val="single"/>
          <w:lang w:val="en-US" w:eastAsia="zh-CN"/>
        </w:rPr>
        <w:t>8</w:t>
      </w:r>
      <w:r>
        <w:rPr>
          <w:rFonts w:hint="eastAsia" w:ascii="宋体" w:hAnsi="宋体" w:eastAsia="宋体" w:cs="Times New Roman"/>
          <w:sz w:val="24"/>
          <w:szCs w:val="24"/>
          <w:highlight w:val="none"/>
          <w:lang w:val="zh-CN"/>
        </w:rPr>
        <w:t>月</w:t>
      </w:r>
      <w:r>
        <w:rPr>
          <w:rFonts w:hint="eastAsia" w:ascii="Times New Roman" w:hAnsi="Times New Roman" w:eastAsia="宋体" w:cs="Times New Roman"/>
          <w:b/>
          <w:bCs/>
          <w:sz w:val="24"/>
          <w:szCs w:val="24"/>
          <w:highlight w:val="none"/>
          <w:u w:val="single"/>
          <w:lang w:val="en-US" w:eastAsia="zh-CN"/>
        </w:rPr>
        <w:t>5</w:t>
      </w:r>
      <w:r>
        <w:rPr>
          <w:rFonts w:hint="eastAsia" w:ascii="宋体" w:hAnsi="宋体" w:eastAsia="宋体" w:cs="Times New Roman"/>
          <w:sz w:val="24"/>
          <w:szCs w:val="24"/>
          <w:highlight w:val="none"/>
          <w:lang w:val="zh-CN"/>
        </w:rPr>
        <w:t>日</w:t>
      </w:r>
      <w:r>
        <w:rPr>
          <w:rFonts w:ascii="Times New Roman" w:hAnsi="Times New Roman" w:eastAsia="宋体" w:cs="Times New Roman"/>
          <w:b/>
          <w:bCs/>
          <w:sz w:val="24"/>
          <w:szCs w:val="24"/>
          <w:highlight w:val="none"/>
          <w:u w:val="single"/>
        </w:rPr>
        <w:t>17</w:t>
      </w:r>
      <w:r>
        <w:rPr>
          <w:rFonts w:ascii="Times New Roman" w:hAnsi="Times New Roman" w:eastAsia="宋体" w:cs="Times New Roman"/>
          <w:b/>
          <w:bCs/>
          <w:sz w:val="24"/>
          <w:szCs w:val="24"/>
          <w:highlight w:val="none"/>
          <w:u w:val="single"/>
          <w:lang w:val="zh-CN"/>
        </w:rPr>
        <w:t>:00</w:t>
      </w:r>
      <w:r>
        <w:rPr>
          <w:rFonts w:hint="eastAsia" w:ascii="宋体" w:hAnsi="宋体" w:eastAsia="宋体" w:cs="Times New Roman"/>
          <w:sz w:val="24"/>
          <w:szCs w:val="24"/>
          <w:highlight w:val="none"/>
          <w:lang w:val="zh-CN"/>
        </w:rPr>
        <w:t>时止（北京时间）登录电子交易平台，点击【投标人】，在【公告信息】</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zh-CN"/>
        </w:rPr>
        <w:t>【采购公告】栏下载拟投标段采购文件（拟投多标段的，应按标段分别下载</w:t>
      </w:r>
      <w:r>
        <w:rPr>
          <w:rFonts w:hint="eastAsia" w:ascii="宋体" w:hAnsi="宋体" w:eastAsia="宋体" w:cs="Times New Roman"/>
          <w:color w:val="000000"/>
          <w:sz w:val="24"/>
          <w:szCs w:val="24"/>
          <w:highlight w:val="none"/>
          <w:lang w:val="zh-CN"/>
        </w:rPr>
        <w:t>），</w:t>
      </w:r>
      <w:r>
        <w:rPr>
          <w:rFonts w:hint="eastAsia" w:ascii="宋体" w:hAnsi="宋体" w:eastAsia="宋体" w:cs="Times New Roman"/>
          <w:color w:val="000000"/>
          <w:sz w:val="24"/>
          <w:szCs w:val="24"/>
          <w:highlight w:val="none"/>
        </w:rPr>
        <w:t>本</w:t>
      </w:r>
      <w:r>
        <w:rPr>
          <w:rFonts w:hint="eastAsia" w:ascii="宋体" w:hAnsi="宋体" w:eastAsia="宋体" w:cs="Times New Roman"/>
          <w:color w:val="000000"/>
          <w:sz w:val="24"/>
          <w:szCs w:val="24"/>
          <w:highlight w:val="none"/>
          <w:lang w:val="zh-CN"/>
        </w:rPr>
        <w:t>招标文件标书费用金额</w:t>
      </w:r>
      <w:r>
        <w:rPr>
          <w:rFonts w:hint="eastAsia" w:ascii="宋体" w:hAnsi="宋体" w:eastAsia="宋体" w:cs="Times New Roman"/>
          <w:color w:val="000000"/>
          <w:sz w:val="24"/>
          <w:szCs w:val="24"/>
          <w:highlight w:val="none"/>
          <w:u w:val="single"/>
        </w:rPr>
        <w:t>500</w:t>
      </w:r>
      <w:r>
        <w:rPr>
          <w:rFonts w:hint="eastAsia" w:ascii="宋体" w:hAnsi="宋体" w:eastAsia="宋体" w:cs="Times New Roman"/>
          <w:color w:val="000000"/>
          <w:sz w:val="24"/>
          <w:szCs w:val="24"/>
          <w:highlight w:val="none"/>
          <w:lang w:val="zh-CN"/>
        </w:rPr>
        <w:t>元/份，售后不退。</w:t>
      </w:r>
      <w:r>
        <w:rPr>
          <w:rFonts w:hint="eastAsia" w:ascii="宋体" w:hAnsi="宋体" w:eastAsia="宋体" w:cs="Times New Roman"/>
          <w:color w:val="000000"/>
          <w:sz w:val="24"/>
          <w:szCs w:val="24"/>
          <w:highlight w:val="none"/>
        </w:rPr>
        <w:t>联合体参与响应的，由牵头人注册</w:t>
      </w:r>
      <w:r>
        <w:rPr>
          <w:rFonts w:ascii="宋体" w:hAnsi="宋体" w:eastAsia="宋体" w:cs="Times New Roman"/>
          <w:color w:val="000000"/>
          <w:sz w:val="24"/>
          <w:szCs w:val="24"/>
          <w:highlight w:val="none"/>
        </w:rPr>
        <w:t>及</w:t>
      </w:r>
      <w:r>
        <w:rPr>
          <w:rFonts w:hint="eastAsia" w:ascii="宋体" w:hAnsi="宋体" w:eastAsia="宋体" w:cs="Times New Roman"/>
          <w:color w:val="000000"/>
          <w:sz w:val="24"/>
          <w:szCs w:val="24"/>
          <w:highlight w:val="none"/>
        </w:rPr>
        <w:t>下载采购文件。</w:t>
      </w:r>
      <w:r>
        <w:rPr>
          <w:rFonts w:hint="eastAsia" w:ascii="宋体" w:hAnsi="宋体" w:eastAsia="宋体" w:cs="Times New Roman"/>
          <w:color w:val="000000"/>
          <w:sz w:val="24"/>
          <w:szCs w:val="24"/>
          <w:highlight w:val="none"/>
          <w:lang w:val="zh-CN"/>
        </w:rPr>
        <w:t>未按规定获取采购文件的，其响应文件将被拒绝</w:t>
      </w:r>
      <w:r>
        <w:rPr>
          <w:rFonts w:hint="eastAsia" w:ascii="宋体" w:hAnsi="宋体" w:eastAsia="宋体" w:cs="宋体"/>
          <w:sz w:val="24"/>
          <w:szCs w:val="24"/>
          <w:highlight w:val="none"/>
        </w:rPr>
        <w:t>；</w:t>
      </w:r>
    </w:p>
    <w:p w14:paraId="38500629">
      <w:pPr>
        <w:keepNext w:val="0"/>
        <w:keepLines w:val="0"/>
        <w:pageBreakBefore w:val="0"/>
        <w:tabs>
          <w:tab w:val="left" w:pos="540"/>
          <w:tab w:val="left" w:pos="840"/>
        </w:tabs>
        <w:kinsoku/>
        <w:topLinePunct w:val="0"/>
        <w:bidi w:val="0"/>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Times New Roman"/>
          <w:b/>
          <w:bCs/>
          <w:sz w:val="24"/>
          <w:szCs w:val="24"/>
          <w:highlight w:val="none"/>
          <w:lang w:val="zh-CN"/>
        </w:rPr>
        <w:t>本项目非全流程电子标</w:t>
      </w:r>
      <w:r>
        <w:rPr>
          <w:rFonts w:hint="eastAsia" w:ascii="宋体" w:hAnsi="宋体" w:eastAsia="宋体" w:cs="Times New Roman"/>
          <w:sz w:val="24"/>
          <w:szCs w:val="24"/>
          <w:highlight w:val="none"/>
          <w:lang w:val="zh-CN"/>
        </w:rPr>
        <w:t>，供应商人无须办理CA数字证书</w:t>
      </w:r>
      <w:r>
        <w:rPr>
          <w:rFonts w:hint="eastAsia" w:ascii="宋体" w:hAnsi="宋体" w:eastAsia="宋体" w:cs="宋体"/>
          <w:sz w:val="24"/>
          <w:szCs w:val="24"/>
          <w:highlight w:val="none"/>
        </w:rPr>
        <w:t>；</w:t>
      </w:r>
    </w:p>
    <w:p w14:paraId="5D45A45D">
      <w:pPr>
        <w:keepNext w:val="0"/>
        <w:keepLines w:val="0"/>
        <w:pageBreakBefore w:val="0"/>
        <w:tabs>
          <w:tab w:val="left" w:pos="540"/>
          <w:tab w:val="left" w:pos="840"/>
        </w:tabs>
        <w:kinsoku/>
        <w:topLinePunct w:val="0"/>
        <w:bidi w:val="0"/>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4.在电子交易平台遇到的各类操作问题（登录、注册、文件下载、标书制作等问题），请拨打技术支持电话010-21362559（工作日:08:00～18:00；节假日:09:00～12:00，14:00～18:00)。</w:t>
      </w:r>
    </w:p>
    <w:p w14:paraId="4BC72FE0">
      <w:pPr>
        <w:keepNext w:val="0"/>
        <w:keepLines w:val="0"/>
        <w:pageBreakBefore w:val="0"/>
        <w:tabs>
          <w:tab w:val="left" w:pos="540"/>
          <w:tab w:val="left" w:pos="840"/>
        </w:tabs>
        <w:kinsoku/>
        <w:topLinePunct w:val="0"/>
        <w:bidi w:val="0"/>
        <w:snapToGrid/>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sz w:val="24"/>
          <w:szCs w:val="24"/>
          <w:highlight w:val="none"/>
        </w:rPr>
        <w:t>多标段项目响应人可对本次招商各标段进行选择性投标响应，也可同时投标响应；但评标时将以标段为单位进行独立评审，分别确定成交候选人。响应人若同时投多个标段，则须分别编制响应文件、分别报价。</w:t>
      </w:r>
    </w:p>
    <w:p w14:paraId="10AF5EDC">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四、递交响应文件及磋商</w:t>
      </w:r>
      <w:bookmarkEnd w:id="24"/>
      <w:bookmarkEnd w:id="25"/>
      <w:r>
        <w:rPr>
          <w:rFonts w:hint="eastAsia" w:ascii="宋体" w:hAnsi="宋体" w:eastAsia="宋体" w:cs="宋体"/>
          <w:b/>
          <w:bCs/>
          <w:kern w:val="2"/>
          <w:sz w:val="28"/>
          <w:szCs w:val="28"/>
          <w:lang w:val="en-US" w:eastAsia="zh-CN" w:bidi="ar-SA"/>
        </w:rPr>
        <w:t>时间、地点</w:t>
      </w:r>
      <w:bookmarkEnd w:id="26"/>
    </w:p>
    <w:p w14:paraId="37EFEC7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1、递交响应文件截止时间：</w:t>
      </w:r>
      <w:r>
        <w:rPr>
          <w:rFonts w:hint="eastAsia" w:ascii="宋体" w:hAnsi="宋体" w:eastAsia="宋体" w:cs="宋体"/>
          <w:b/>
          <w:bCs/>
          <w:sz w:val="24"/>
          <w:highlight w:val="none"/>
          <w:lang w:val="en-US" w:eastAsia="zh-CN"/>
        </w:rPr>
        <w:t>2025</w:t>
      </w:r>
      <w:r>
        <w:rPr>
          <w:rFonts w:hint="eastAsia" w:ascii="宋体" w:hAnsi="宋体" w:eastAsia="宋体" w:cs="宋体"/>
          <w:sz w:val="24"/>
          <w:highlight w:val="none"/>
        </w:rPr>
        <w:t>年</w:t>
      </w:r>
      <w:r>
        <w:rPr>
          <w:rFonts w:hint="eastAsia" w:ascii="宋体" w:hAnsi="宋体" w:eastAsia="宋体" w:cs="宋体"/>
          <w:b/>
          <w:bCs/>
          <w:sz w:val="24"/>
          <w:highlight w:val="none"/>
          <w:lang w:val="en-US" w:eastAsia="zh-CN"/>
        </w:rPr>
        <w:t>8</w:t>
      </w:r>
      <w:r>
        <w:rPr>
          <w:rFonts w:hint="eastAsia" w:ascii="宋体" w:hAnsi="宋体" w:eastAsia="宋体" w:cs="宋体"/>
          <w:sz w:val="24"/>
          <w:highlight w:val="none"/>
        </w:rPr>
        <w:t>月</w:t>
      </w:r>
      <w:r>
        <w:rPr>
          <w:rFonts w:hint="eastAsia" w:ascii="宋体" w:hAnsi="宋体" w:eastAsia="宋体" w:cs="宋体"/>
          <w:b/>
          <w:bCs/>
          <w:sz w:val="24"/>
          <w:highlight w:val="none"/>
          <w:lang w:val="en-US" w:eastAsia="zh-CN"/>
        </w:rPr>
        <w:t>11</w:t>
      </w:r>
      <w:r>
        <w:rPr>
          <w:rFonts w:hint="eastAsia" w:ascii="宋体" w:hAnsi="宋体" w:eastAsia="宋体" w:cs="宋体"/>
          <w:sz w:val="24"/>
          <w:highlight w:val="none"/>
        </w:rPr>
        <w:t>日</w:t>
      </w:r>
      <w:r>
        <w:rPr>
          <w:rFonts w:hint="eastAsia" w:ascii="宋体" w:hAnsi="宋体" w:eastAsia="宋体" w:cs="宋体"/>
          <w:b/>
          <w:bCs/>
          <w:sz w:val="24"/>
          <w:highlight w:val="none"/>
          <w:lang w:val="en-US" w:eastAsia="zh-CN"/>
        </w:rPr>
        <w:t>14</w:t>
      </w:r>
      <w:r>
        <w:rPr>
          <w:rFonts w:hint="eastAsia" w:ascii="宋体" w:hAnsi="宋体" w:eastAsia="宋体" w:cs="宋体"/>
          <w:sz w:val="24"/>
          <w:highlight w:val="none"/>
        </w:rPr>
        <w:t>时</w:t>
      </w:r>
      <w:r>
        <w:rPr>
          <w:rFonts w:hint="eastAsia" w:ascii="宋体" w:hAnsi="宋体" w:eastAsia="宋体" w:cs="宋体"/>
          <w:b/>
          <w:bCs/>
          <w:sz w:val="24"/>
          <w:highlight w:val="none"/>
          <w:lang w:val="en-US" w:eastAsia="zh-CN"/>
        </w:rPr>
        <w:t>30</w:t>
      </w:r>
      <w:r>
        <w:rPr>
          <w:rFonts w:hint="eastAsia" w:ascii="宋体" w:hAnsi="宋体" w:eastAsia="宋体" w:cs="宋体"/>
          <w:sz w:val="24"/>
          <w:highlight w:val="none"/>
        </w:rPr>
        <w:t>分</w:t>
      </w:r>
      <w:r>
        <w:rPr>
          <w:rFonts w:hint="eastAsia" w:ascii="宋体" w:hAnsi="宋体" w:eastAsia="宋体" w:cs="宋体"/>
          <w:sz w:val="24"/>
        </w:rPr>
        <w:t>整，</w:t>
      </w:r>
    </w:p>
    <w:p w14:paraId="3668A1F5">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2、递交响应文件地点及磋商地点：武汉天河机场综合保障楼A208。</w:t>
      </w:r>
    </w:p>
    <w:p w14:paraId="276536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3、逾期送达指定地点的或者不按照招商文件要求密封的响应文件，招商人和招商代理机构不予受理。</w:t>
      </w:r>
    </w:p>
    <w:p w14:paraId="4FAF6BF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备注：针对响应人在3家及以上的项目采取综合评分法，通过“竞争性磋商”的方式进行招商；针对有效响应人不足3家的，经评审委员会商议一致后，继续采取两家比选或一家直接洽商方式进行评审。对于不满足招商需求的，经评审委员会确认后，可终止招商。</w:t>
      </w:r>
    </w:p>
    <w:p w14:paraId="20BCA470">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27" w:name="_Toc22468"/>
      <w:r>
        <w:rPr>
          <w:rFonts w:hint="eastAsia" w:ascii="宋体" w:hAnsi="宋体" w:eastAsia="宋体" w:cs="宋体"/>
          <w:b/>
          <w:bCs/>
          <w:kern w:val="2"/>
          <w:sz w:val="28"/>
          <w:szCs w:val="28"/>
          <w:lang w:val="en-US" w:eastAsia="zh-CN" w:bidi="ar-SA"/>
        </w:rPr>
        <w:t>五、发布公告的媒介</w:t>
      </w:r>
      <w:bookmarkEnd w:id="27"/>
    </w:p>
    <w:p w14:paraId="49B4B4A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本次招商公告同时在中国招标投标公共服务平台(网址：http://www.cebpubservice.com/)、湖北机场集团有限公司（www.whairport.com）媒体上发布，其它任何网站不得转载。如有发现，我公司将追究非法转载单位的责任。</w:t>
      </w:r>
    </w:p>
    <w:p w14:paraId="4DCDE7ED">
      <w:pPr>
        <w:keepNext/>
        <w:keepLines/>
        <w:widowControl w:val="0"/>
        <w:spacing w:before="156" w:beforeLines="50" w:after="156" w:afterLines="50" w:line="360" w:lineRule="auto"/>
        <w:jc w:val="both"/>
        <w:outlineLvl w:val="1"/>
        <w:rPr>
          <w:rFonts w:hint="eastAsia" w:ascii="宋体" w:hAnsi="宋体" w:eastAsia="宋体" w:cs="宋体"/>
          <w:b/>
          <w:bCs/>
          <w:kern w:val="2"/>
          <w:sz w:val="28"/>
          <w:szCs w:val="28"/>
          <w:lang w:val="en-US" w:eastAsia="zh-CN" w:bidi="ar-SA"/>
        </w:rPr>
      </w:pPr>
      <w:bookmarkStart w:id="28" w:name="_Toc23652"/>
      <w:r>
        <w:rPr>
          <w:rFonts w:hint="eastAsia" w:ascii="宋体" w:hAnsi="宋体" w:eastAsia="宋体" w:cs="宋体"/>
          <w:b/>
          <w:bCs/>
          <w:kern w:val="2"/>
          <w:sz w:val="28"/>
          <w:szCs w:val="28"/>
          <w:lang w:val="en-US" w:eastAsia="zh-CN" w:bidi="ar-SA"/>
        </w:rPr>
        <w:t>六、联系方式</w:t>
      </w:r>
      <w:bookmarkEnd w:id="21"/>
      <w:bookmarkEnd w:id="22"/>
      <w:bookmarkEnd w:id="28"/>
    </w:p>
    <w:p w14:paraId="6B66744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招商代理机构：湖北国华项目管理咨询有限公司</w:t>
      </w:r>
    </w:p>
    <w:p w14:paraId="1225FDF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联系地址：武昌区中北路109号中铁1818中心10楼</w:t>
      </w:r>
    </w:p>
    <w:p w14:paraId="74020189">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联 系 人：</w:t>
      </w:r>
      <w:r>
        <w:rPr>
          <w:rFonts w:hint="eastAsia" w:ascii="宋体" w:hAnsi="宋体" w:eastAsia="宋体" w:cs="宋体"/>
          <w:sz w:val="24"/>
          <w:lang w:val="en-US" w:eastAsia="zh-CN"/>
        </w:rPr>
        <w:t>吴娅、</w:t>
      </w:r>
      <w:r>
        <w:rPr>
          <w:rFonts w:hint="eastAsia" w:ascii="宋体" w:hAnsi="宋体" w:eastAsia="宋体" w:cs="宋体"/>
          <w:sz w:val="24"/>
        </w:rPr>
        <w:t>李贝</w:t>
      </w:r>
      <w:r>
        <w:rPr>
          <w:rFonts w:hint="eastAsia" w:ascii="宋体" w:hAnsi="宋体" w:eastAsia="宋体" w:cs="宋体"/>
          <w:sz w:val="24"/>
          <w:lang w:eastAsia="zh-CN"/>
        </w:rPr>
        <w:t>、</w:t>
      </w:r>
      <w:r>
        <w:rPr>
          <w:rFonts w:hint="eastAsia" w:ascii="宋体" w:hAnsi="宋体" w:eastAsia="宋体" w:cs="宋体"/>
          <w:sz w:val="24"/>
          <w:lang w:val="en-US" w:eastAsia="zh-CN"/>
        </w:rPr>
        <w:t>万齐威</w:t>
      </w:r>
    </w:p>
    <w:p w14:paraId="4224338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电    话：027-87272701     </w:t>
      </w:r>
    </w:p>
    <w:p w14:paraId="0B492C8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招商人：湖北机场集团实业发展有限公司</w:t>
      </w:r>
    </w:p>
    <w:p w14:paraId="39A7D5F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联系地址：武汉市黄陂区天河机场内</w:t>
      </w:r>
    </w:p>
    <w:p w14:paraId="183B09B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w:t>
      </w:r>
      <w:r>
        <w:rPr>
          <w:rFonts w:hint="eastAsia" w:ascii="宋体" w:hAnsi="宋体" w:eastAsia="宋体" w:cs="宋体"/>
          <w:sz w:val="24"/>
          <w:highlight w:val="none"/>
          <w:lang w:val="en-US" w:eastAsia="zh-CN"/>
        </w:rPr>
        <w:t>杜</w:t>
      </w:r>
      <w:r>
        <w:rPr>
          <w:rFonts w:hint="eastAsia" w:ascii="宋体" w:hAnsi="宋体" w:eastAsia="宋体" w:cs="宋体"/>
          <w:sz w:val="24"/>
          <w:highlight w:val="none"/>
          <w:lang w:eastAsia="zh-CN"/>
        </w:rPr>
        <w:t>女士</w:t>
      </w:r>
      <w:r>
        <w:rPr>
          <w:rFonts w:hint="eastAsia" w:ascii="宋体" w:hAnsi="宋体" w:eastAsia="宋体" w:cs="宋体"/>
          <w:sz w:val="24"/>
          <w:highlight w:val="none"/>
        </w:rPr>
        <w:t xml:space="preserve">          </w:t>
      </w:r>
    </w:p>
    <w:p w14:paraId="1AB54D00">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电    话：</w:t>
      </w:r>
      <w:r>
        <w:rPr>
          <w:rFonts w:hint="eastAsia" w:ascii="宋体" w:hAnsi="宋体" w:eastAsia="宋体" w:cs="宋体"/>
          <w:sz w:val="24"/>
          <w:highlight w:val="none"/>
          <w:lang w:val="en-US" w:eastAsia="zh-CN"/>
        </w:rPr>
        <w:t>027-85819308</w:t>
      </w:r>
    </w:p>
    <w:p w14:paraId="5D9FBD2A">
      <w:pPr>
        <w:snapToGrid w:val="0"/>
        <w:spacing w:line="360" w:lineRule="auto"/>
        <w:ind w:firstLine="480" w:firstLineChars="200"/>
        <w:jc w:val="right"/>
        <w:rPr>
          <w:rFonts w:ascii="Times New Roman" w:hAnsi="Times New Roman" w:eastAsia="宋体" w:cs="Times New Roman"/>
        </w:rPr>
      </w:pPr>
      <w:r>
        <w:rPr>
          <w:rFonts w:hint="eastAsia" w:ascii="宋体" w:hAnsi="宋体" w:eastAsia="宋体" w:cs="宋体"/>
          <w:sz w:val="24"/>
        </w:rPr>
        <w:t xml:space="preserve">  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7月29</w:t>
      </w:r>
      <w:r>
        <w:rPr>
          <w:rFonts w:hint="eastAsia" w:ascii="宋体" w:hAnsi="宋体" w:eastAsia="宋体" w:cs="宋体"/>
          <w:sz w:val="24"/>
        </w:rPr>
        <w:t>日</w:t>
      </w:r>
    </w:p>
    <w:p w14:paraId="2C9E8A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3C576"/>
    <w:multiLevelType w:val="singleLevel"/>
    <w:tmpl w:val="6193C57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5607E"/>
    <w:rsid w:val="10F5607E"/>
    <w:rsid w:val="4BC92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99"/>
    <w:pPr>
      <w:widowControl w:val="0"/>
      <w:jc w:val="both"/>
    </w:pPr>
    <w:rPr>
      <w:rFonts w:ascii="Times New Roman" w:hAnsi="Times New Roman" w:eastAsia="宋体" w:cs="Times New Roman"/>
      <w:kern w:val="2"/>
      <w:sz w:val="24"/>
      <w:szCs w:val="24"/>
      <w:lang w:val="en-US" w:eastAsia="zh-CN" w:bidi="ar-SA"/>
    </w:rPr>
  </w:style>
  <w:style w:type="character" w:styleId="5">
    <w:name w:val="Hyperlink"/>
    <w:qFormat/>
    <w:uiPriority w:val="99"/>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2145</Words>
  <Characters>2457</Characters>
  <Lines>0</Lines>
  <Paragraphs>0</Paragraphs>
  <TotalTime>1</TotalTime>
  <ScaleCrop>false</ScaleCrop>
  <LinksUpToDate>false</LinksUpToDate>
  <CharactersWithSpaces>2500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2025-07-29T03:13:00Z</dcterms:created>
  <dc:creator>李贝</dc:creator>
  <cp:lastModifiedBy>李贝</cp:lastModifiedBy>
  <dcterms:modified xsi:type="dcterms:W3CDTF">2025-07-29T03:21:52Z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77CAE5C378C1432E8D58B9B65017DF37_11</vt:lpwstr>
  </property>
  <property fmtid="{D5CDD505-2E9C-101B-9397-08002B2CF9AE}" pid="4" name="KSOTemplateDocerSaveRecord">
    <vt:lpwstr>eyJoZGlkIjoiZmNkZDE0OGE5YjhjMGNiMTYzMmU5MmI3YmEzM2JmMjAiLCJ1c2VySWQiOiI2MjA0MDI5ODEifQ==</vt:lpwstr>
  </property>
</Properties>
</file>