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武汉天河机场T3航站楼2025年第一批招商项目招商公告</w:t>
      </w:r>
    </w:p>
    <w:p>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武汉天河机场T3航站楼2025年第一批招商项目</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1" w:name="_Toc6581"/>
      <w:bookmarkStart w:id="2" w:name="_Toc365302267"/>
      <w:bookmarkStart w:id="3" w:name="_Toc380747815"/>
      <w:bookmarkStart w:id="4" w:name="_Toc9876"/>
      <w:bookmarkStart w:id="5" w:name="_Toc24986"/>
      <w:bookmarkStart w:id="6" w:name="_Toc23331"/>
      <w:bookmarkStart w:id="7" w:name="_Toc19939"/>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Calibri" w:hAnsi="宋体"/>
          <w:color w:val="auto"/>
          <w:szCs w:val="21"/>
        </w:rPr>
        <w:t>武汉天河机场T3航站楼2025年第一批招商项目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lang w:eastAsia="zh-CN"/>
        </w:rPr>
      </w:pPr>
      <w:r>
        <w:rPr>
          <w:rFonts w:hint="eastAsia" w:ascii="宋体" w:hAnsi="宋体" w:cs="宋体"/>
          <w:color w:val="auto"/>
          <w:szCs w:val="21"/>
        </w:rPr>
        <w:t>3.项目编号：</w:t>
      </w:r>
      <w:r>
        <w:rPr>
          <w:rFonts w:hint="eastAsia" w:ascii="Calibri" w:hAnsi="宋体"/>
          <w:color w:val="auto"/>
          <w:szCs w:val="21"/>
        </w:rPr>
        <w:t>HBCZ-2306021134-250496</w:t>
      </w:r>
      <w:r>
        <w:rPr>
          <w:rFonts w:hint="eastAsia" w:ascii="Calibri" w:hAnsi="宋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Times New Roman" w:hAnsi="Times New Roman" w:eastAsia="宋体" w:cs="Times New Roman"/>
          <w:color w:val="auto"/>
          <w:szCs w:val="21"/>
        </w:rPr>
        <w:t>4.招商内容：本次招商</w:t>
      </w:r>
      <w:r>
        <w:rPr>
          <w:rFonts w:hint="eastAsia" w:ascii="Times New Roman" w:hAnsi="Times New Roman" w:eastAsia="宋体" w:cs="Times New Roman"/>
          <w:color w:val="auto"/>
          <w:szCs w:val="21"/>
          <w:lang w:val="en-US" w:eastAsia="zh-CN"/>
        </w:rPr>
        <w:t>为零售</w:t>
      </w:r>
      <w:r>
        <w:rPr>
          <w:rFonts w:hint="eastAsia" w:ascii="Times New Roman" w:hAnsi="Times New Roman" w:eastAsia="宋体" w:cs="Times New Roman"/>
          <w:color w:val="auto"/>
          <w:szCs w:val="21"/>
        </w:rPr>
        <w:t>业</w:t>
      </w:r>
      <w:r>
        <w:rPr>
          <w:rFonts w:hint="eastAsia"/>
          <w:color w:val="auto"/>
          <w:szCs w:val="21"/>
        </w:rPr>
        <w:t>态</w:t>
      </w:r>
      <w:r>
        <w:rPr>
          <w:rFonts w:hint="eastAsia"/>
          <w:color w:val="auto"/>
          <w:szCs w:val="21"/>
          <w:lang w:val="en-US" w:eastAsia="zh-CN"/>
        </w:rPr>
        <w:t>和便利服务业态</w:t>
      </w:r>
      <w:r>
        <w:rPr>
          <w:rFonts w:hint="eastAsia" w:ascii="Calibri" w:hAnsi="宋体"/>
          <w:color w:val="auto"/>
          <w:szCs w:val="21"/>
        </w:rPr>
        <w:t>，共分</w:t>
      </w:r>
      <w:r>
        <w:rPr>
          <w:rFonts w:hint="eastAsia" w:ascii="Calibri" w:hAnsi="宋体"/>
          <w:color w:val="auto"/>
          <w:szCs w:val="21"/>
          <w:lang w:val="en-US" w:eastAsia="zh-CN"/>
        </w:rPr>
        <w:t>2</w:t>
      </w:r>
      <w:r>
        <w:rPr>
          <w:rFonts w:hint="eastAsia" w:ascii="Calibri" w:hAnsi="宋体"/>
          <w:color w:val="auto"/>
          <w:szCs w:val="21"/>
        </w:rPr>
        <w:t>个标段，具体内容详见第三章招商需求。</w:t>
      </w:r>
    </w:p>
    <w:tbl>
      <w:tblPr>
        <w:tblStyle w:val="3"/>
        <w:tblpPr w:leftFromText="180" w:rightFromText="180" w:vertAnchor="text" w:tblpXSpec="center" w:tblpY="1"/>
        <w:tblOverlap w:val="never"/>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40"/>
        <w:gridCol w:w="990"/>
        <w:gridCol w:w="1815"/>
        <w:gridCol w:w="123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4" w:type="dxa"/>
            <w:noWrap w:val="0"/>
            <w:vAlign w:val="center"/>
          </w:tcPr>
          <w:p>
            <w:pPr>
              <w:spacing w:line="580" w:lineRule="exact"/>
              <w:jc w:val="center"/>
              <w:rPr>
                <w:rFonts w:hint="eastAsia" w:ascii="宋体" w:hAnsi="宋体" w:eastAsia="宋体" w:cs="宋体"/>
                <w:bCs/>
                <w:color w:val="auto"/>
                <w:sz w:val="21"/>
                <w:szCs w:val="21"/>
              </w:rPr>
            </w:pPr>
            <w:bookmarkStart w:id="8" w:name="_Toc26989"/>
            <w:bookmarkStart w:id="9" w:name="_Toc7554"/>
            <w:bookmarkStart w:id="10" w:name="_Toc26049"/>
            <w:bookmarkStart w:id="11" w:name="_Toc17887"/>
            <w:bookmarkStart w:id="12" w:name="_Toc25557"/>
            <w:bookmarkStart w:id="13" w:name="_Toc27593"/>
            <w:bookmarkStart w:id="14" w:name="_Toc1298"/>
            <w:bookmarkStart w:id="15" w:name="_Toc458503196"/>
            <w:bookmarkStart w:id="16" w:name="_Toc13835"/>
            <w:r>
              <w:rPr>
                <w:rFonts w:hint="eastAsia" w:ascii="宋体" w:hAnsi="宋体" w:eastAsia="宋体" w:cs="宋体"/>
                <w:bCs/>
                <w:color w:val="auto"/>
                <w:sz w:val="21"/>
                <w:szCs w:val="21"/>
              </w:rPr>
              <w:t>标段</w:t>
            </w:r>
          </w:p>
        </w:tc>
        <w:tc>
          <w:tcPr>
            <w:tcW w:w="1140" w:type="dxa"/>
            <w:noWrap w:val="0"/>
            <w:vAlign w:val="center"/>
          </w:tcPr>
          <w:p>
            <w:pPr>
              <w:widowControl/>
              <w:ind w:firstLine="12" w:firstLineChars="0"/>
              <w:jc w:val="center"/>
              <w:rPr>
                <w:rFonts w:hint="eastAsia" w:ascii="宋体" w:hAnsi="宋体" w:eastAsia="宋体" w:cs="宋体"/>
                <w:bCs/>
                <w:color w:val="auto"/>
                <w:sz w:val="21"/>
                <w:szCs w:val="21"/>
                <w:lang w:eastAsia="zh-CN"/>
              </w:rPr>
            </w:pPr>
            <w:r>
              <w:rPr>
                <w:rFonts w:hint="eastAsia" w:ascii="宋体" w:hAnsi="宋体" w:eastAsia="宋体" w:cs="宋体"/>
                <w:b w:val="0"/>
                <w:bCs w:val="0"/>
                <w:color w:val="auto"/>
                <w:kern w:val="0"/>
                <w:sz w:val="21"/>
                <w:szCs w:val="21"/>
                <w:lang w:val="en-US" w:eastAsia="zh-CN"/>
              </w:rPr>
              <w:t>店铺编号</w:t>
            </w:r>
          </w:p>
        </w:tc>
        <w:tc>
          <w:tcPr>
            <w:tcW w:w="990" w:type="dxa"/>
            <w:noWrap w:val="0"/>
            <w:vAlign w:val="center"/>
          </w:tcPr>
          <w:p>
            <w:pPr>
              <w:spacing w:line="58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业态</w:t>
            </w:r>
          </w:p>
        </w:tc>
        <w:tc>
          <w:tcPr>
            <w:tcW w:w="1815" w:type="dxa"/>
            <w:noWrap w:val="0"/>
            <w:vAlign w:val="center"/>
          </w:tcPr>
          <w:p>
            <w:pPr>
              <w:spacing w:line="58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招商品类</w:t>
            </w:r>
          </w:p>
        </w:tc>
        <w:tc>
          <w:tcPr>
            <w:tcW w:w="1230" w:type="dxa"/>
            <w:noWrap w:val="0"/>
            <w:vAlign w:val="center"/>
          </w:tcPr>
          <w:p>
            <w:pPr>
              <w:widowControl/>
              <w:ind w:firstLine="12" w:firstLineChars="0"/>
              <w:jc w:val="center"/>
              <w:rPr>
                <w:rFonts w:hint="eastAsia" w:ascii="宋体" w:hAnsi="宋体" w:eastAsia="宋体" w:cs="宋体"/>
                <w:bCs/>
                <w:color w:val="auto"/>
                <w:sz w:val="21"/>
                <w:szCs w:val="21"/>
              </w:rPr>
            </w:pPr>
            <w:r>
              <w:rPr>
                <w:rFonts w:hint="eastAsia" w:ascii="宋体" w:hAnsi="宋体" w:eastAsia="宋体" w:cs="宋体"/>
                <w:b w:val="0"/>
                <w:bCs w:val="0"/>
                <w:color w:val="auto"/>
                <w:kern w:val="0"/>
                <w:sz w:val="21"/>
                <w:szCs w:val="21"/>
              </w:rPr>
              <w:t>数量</w:t>
            </w:r>
            <w:r>
              <w:rPr>
                <w:rFonts w:hint="eastAsia" w:ascii="宋体" w:hAnsi="宋体" w:eastAsia="宋体" w:cs="宋体"/>
                <w:b w:val="0"/>
                <w:bCs w:val="0"/>
                <w:color w:val="auto"/>
                <w:kern w:val="0"/>
                <w:sz w:val="21"/>
                <w:szCs w:val="21"/>
                <w:lang w:val="en-US" w:eastAsia="zh-CN"/>
              </w:rPr>
              <w:t>/面积</w:t>
            </w:r>
          </w:p>
        </w:tc>
        <w:tc>
          <w:tcPr>
            <w:tcW w:w="2893" w:type="dxa"/>
            <w:noWrap w:val="0"/>
            <w:vAlign w:val="center"/>
          </w:tcPr>
          <w:p>
            <w:pPr>
              <w:widowControl/>
              <w:ind w:firstLine="12" w:firstLineChars="0"/>
              <w:jc w:val="center"/>
              <w:rPr>
                <w:rFonts w:hint="eastAsia" w:ascii="宋体" w:hAnsi="宋体" w:eastAsia="宋体" w:cs="宋体"/>
                <w:bCs/>
                <w:color w:val="auto"/>
                <w:sz w:val="21"/>
                <w:szCs w:val="21"/>
              </w:rPr>
            </w:pPr>
            <w:r>
              <w:rPr>
                <w:rFonts w:hint="eastAsia" w:ascii="宋体" w:hAnsi="宋体" w:eastAsia="宋体" w:cs="宋体"/>
                <w:b w:val="0"/>
                <w:bCs w:val="0"/>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140"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color w:val="auto"/>
                <w:sz w:val="21"/>
                <w:szCs w:val="21"/>
                <w:lang w:val="en-US" w:eastAsia="zh-CN"/>
              </w:rPr>
              <w:t>2W1-22</w:t>
            </w:r>
          </w:p>
        </w:tc>
        <w:tc>
          <w:tcPr>
            <w:tcW w:w="990"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零售</w:t>
            </w:r>
          </w:p>
        </w:tc>
        <w:tc>
          <w:tcPr>
            <w:tcW w:w="1815" w:type="dxa"/>
            <w:noWrap w:val="0"/>
            <w:vAlign w:val="center"/>
          </w:tcPr>
          <w:p>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品牌专卖店（运动户外/礼品饰品儿童用品/服饰箱包等）</w:t>
            </w:r>
          </w:p>
        </w:tc>
        <w:tc>
          <w:tcPr>
            <w:tcW w:w="1230"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2893"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店铺位于T3西一指廊口，需空地搭建（不得经营特产食品、卤制品、便利店品类）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140" w:type="dxa"/>
            <w:noWrap w:val="0"/>
            <w:vAlign w:val="center"/>
          </w:tcPr>
          <w:p>
            <w:pPr>
              <w:jc w:val="center"/>
              <w:rPr>
                <w:rFonts w:hint="eastAsia" w:ascii="宋体" w:hAnsi="宋体" w:eastAsia="宋体" w:cs="宋体"/>
                <w:color w:val="auto"/>
                <w:sz w:val="21"/>
                <w:szCs w:val="21"/>
                <w:vertAlign w:val="baseline"/>
                <w:lang w:val="en-US" w:eastAsia="zh-CN"/>
              </w:rPr>
            </w:pPr>
          </w:p>
        </w:tc>
        <w:tc>
          <w:tcPr>
            <w:tcW w:w="990"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便利服务</w:t>
            </w:r>
          </w:p>
        </w:tc>
        <w:tc>
          <w:tcPr>
            <w:tcW w:w="1815" w:type="dxa"/>
            <w:noWrap w:val="0"/>
            <w:vAlign w:val="center"/>
          </w:tcPr>
          <w:p>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共享充电宝</w:t>
            </w:r>
          </w:p>
        </w:tc>
        <w:tc>
          <w:tcPr>
            <w:tcW w:w="1230"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10处点位</w:t>
            </w:r>
          </w:p>
        </w:tc>
        <w:tc>
          <w:tcPr>
            <w:tcW w:w="2893"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T3航站楼每指廊1处点位、连廊近30号登机口附近1处点位、国内出发2处点位、国际出发1处点位、到达厅2处点位</w:t>
            </w:r>
          </w:p>
        </w:tc>
      </w:tr>
    </w:tbl>
    <w:p>
      <w:pPr>
        <w:autoSpaceDE w:val="0"/>
        <w:autoSpaceDN w:val="0"/>
        <w:spacing w:line="360" w:lineRule="auto"/>
        <w:ind w:firstLine="422"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bCs/>
          <w:color w:val="auto"/>
          <w:kern w:val="0"/>
          <w:sz w:val="21"/>
          <w:szCs w:val="21"/>
        </w:rPr>
        <w:t>说明：多标段竞标的规定：本次招商共分</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个标段，招商响应人可以每个标段均投，也可以只投其中1个标段，本项目允许</w:t>
      </w:r>
      <w:r>
        <w:rPr>
          <w:rFonts w:hint="eastAsia" w:ascii="宋体" w:hAnsi="宋体" w:cs="宋体"/>
          <w:b/>
          <w:bCs/>
          <w:color w:val="auto"/>
          <w:kern w:val="0"/>
          <w:szCs w:val="21"/>
        </w:rPr>
        <w:t>多投多中，参与多个标段竞标的响应人需要分别针对各标段单独制作响应文件</w:t>
      </w:r>
      <w:r>
        <w:rPr>
          <w:rFonts w:hint="eastAsia" w:ascii="宋体" w:hAnsi="宋体" w:cs="宋体"/>
          <w:b/>
          <w:bCs/>
          <w:color w:val="auto"/>
          <w:kern w:val="0"/>
          <w:szCs w:val="21"/>
          <w:lang w:eastAsia="zh-CN"/>
        </w:rPr>
        <w:t>。</w:t>
      </w:r>
    </w:p>
    <w:p>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5.合同期限</w:t>
      </w:r>
    </w:p>
    <w:bookmarkEnd w:id="8"/>
    <w:bookmarkEnd w:id="9"/>
    <w:p>
      <w:pPr>
        <w:autoSpaceDE w:val="0"/>
        <w:autoSpaceDN w:val="0"/>
        <w:spacing w:line="360" w:lineRule="auto"/>
        <w:ind w:firstLine="420" w:firstLineChars="200"/>
        <w:outlineLvl w:val="1"/>
        <w:rPr>
          <w:rFonts w:hint="eastAsia" w:ascii="宋体" w:hAnsi="宋体" w:cs="宋体"/>
          <w:b w:val="0"/>
          <w:bCs w:val="0"/>
          <w:color w:val="auto"/>
          <w:kern w:val="0"/>
          <w:szCs w:val="21"/>
        </w:rPr>
      </w:pPr>
      <w:bookmarkStart w:id="17" w:name="_Toc28248"/>
      <w:bookmarkStart w:id="18" w:name="_Toc29041"/>
      <w:r>
        <w:rPr>
          <w:rFonts w:hint="eastAsia" w:ascii="宋体" w:hAnsi="宋体" w:cs="宋体"/>
          <w:b w:val="0"/>
          <w:bCs w:val="0"/>
          <w:color w:val="auto"/>
          <w:kern w:val="0"/>
          <w:szCs w:val="21"/>
        </w:rPr>
        <w:t>标段1</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合同期限设置为3年，合同执行期限自适用场地交付起开始计算，装修免租期为适用场地交付之日起最多不最多不超过45个日历日；</w:t>
      </w:r>
    </w:p>
    <w:p>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标段2</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合同期限设置为3年，合同执行期限自适用场地交付起开始计算，装修免租期为适用场地交付之日起最多不超过15个日历日。</w:t>
      </w:r>
    </w:p>
    <w:p>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其中非经营方原因导致的停工，在提供相应证明文件后，可不计入免租期，具体以招商人审批为准。如提前完成装修并开业以实际开业之日起租。</w:t>
      </w:r>
    </w:p>
    <w:p>
      <w:pPr>
        <w:autoSpaceDE w:val="0"/>
        <w:autoSpaceDN w:val="0"/>
        <w:spacing w:line="360" w:lineRule="auto"/>
        <w:outlineLvl w:val="1"/>
        <w:rPr>
          <w:rFonts w:hint="eastAsia" w:ascii="宋体" w:hAnsi="宋体" w:cs="宋体"/>
          <w:b/>
          <w:bCs/>
          <w:color w:val="auto"/>
          <w:kern w:val="0"/>
          <w:szCs w:val="21"/>
        </w:rPr>
      </w:pPr>
      <w:r>
        <w:rPr>
          <w:rFonts w:hint="eastAsia" w:ascii="宋体" w:hAnsi="宋体" w:cs="宋体"/>
          <w:b/>
          <w:bCs/>
          <w:color w:val="auto"/>
          <w:kern w:val="0"/>
          <w:szCs w:val="21"/>
        </w:rPr>
        <w:t>二、响应资格及要求</w:t>
      </w:r>
      <w:bookmarkEnd w:id="10"/>
      <w:bookmarkEnd w:id="11"/>
      <w:bookmarkEnd w:id="12"/>
      <w:bookmarkEnd w:id="13"/>
      <w:bookmarkEnd w:id="14"/>
      <w:bookmarkEnd w:id="15"/>
      <w:bookmarkEnd w:id="16"/>
      <w:bookmarkEnd w:id="17"/>
      <w:bookmarkEnd w:id="18"/>
    </w:p>
    <w:p>
      <w:pPr>
        <w:tabs>
          <w:tab w:val="left" w:pos="142"/>
        </w:tabs>
        <w:autoSpaceDE w:val="0"/>
        <w:autoSpaceDN w:val="0"/>
        <w:adjustRightInd w:val="0"/>
        <w:spacing w:line="360" w:lineRule="auto"/>
        <w:ind w:firstLine="420" w:firstLineChars="200"/>
        <w:rPr>
          <w:rFonts w:hint="eastAsia" w:ascii="宋体" w:hAnsi="宋体" w:eastAsia="宋体" w:cs="宋体"/>
          <w:color w:val="auto"/>
          <w:kern w:val="0"/>
          <w:szCs w:val="21"/>
          <w:lang w:eastAsia="zh-CN"/>
        </w:rPr>
      </w:pPr>
      <w:bookmarkStart w:id="19" w:name="_Hlk101967162"/>
      <w:bookmarkStart w:id="20" w:name="_Toc19838"/>
      <w:r>
        <w:rPr>
          <w:rFonts w:hint="eastAsia" w:ascii="宋体" w:hAnsi="宋体" w:cs="宋体"/>
          <w:color w:val="auto"/>
          <w:kern w:val="0"/>
          <w:szCs w:val="21"/>
        </w:rPr>
        <w:t>1.招商响应人应为符合中国法律法规及行业经营管理规定、具有行业必要从业执照或资质的境内企业法人</w:t>
      </w:r>
      <w:r>
        <w:rPr>
          <w:rFonts w:hint="eastAsia" w:ascii="宋体" w:hAnsi="宋体" w:cs="宋体"/>
          <w:color w:val="auto"/>
          <w:kern w:val="0"/>
          <w:szCs w:val="21"/>
          <w:lang w:eastAsia="zh-CN"/>
        </w:rPr>
        <w:t>，截至2024年12月31日前，具有3年（含）以上相关运营管理经验（响应人须提供营业执照），且2023年纳税级别达B级及以上。</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w:t>
      </w:r>
      <w:r>
        <w:rPr>
          <w:rFonts w:hint="eastAsia" w:ascii="宋体" w:hAnsi="宋体" w:cs="宋体"/>
          <w:color w:val="auto"/>
          <w:kern w:val="0"/>
          <w:szCs w:val="21"/>
          <w:lang w:eastAsia="zh-CN"/>
        </w:rPr>
        <w:t>、</w:t>
      </w:r>
      <w:r>
        <w:rPr>
          <w:rFonts w:hint="eastAsia" w:ascii="宋体" w:hAnsi="宋体" w:cs="宋体"/>
          <w:color w:val="auto"/>
          <w:kern w:val="0"/>
          <w:szCs w:val="21"/>
        </w:rPr>
        <w:t>或自有注册商标的经销商</w:t>
      </w:r>
      <w:r>
        <w:rPr>
          <w:rFonts w:hint="eastAsia" w:ascii="宋体" w:hAnsi="宋体" w:cs="宋体"/>
          <w:color w:val="auto"/>
          <w:kern w:val="0"/>
          <w:szCs w:val="21"/>
          <w:lang w:eastAsia="zh-CN"/>
        </w:rPr>
        <w:t>、</w:t>
      </w:r>
      <w:r>
        <w:rPr>
          <w:rFonts w:hint="eastAsia" w:ascii="宋体" w:hAnsi="宋体" w:cs="宋体"/>
          <w:color w:val="auto"/>
          <w:kern w:val="0"/>
          <w:szCs w:val="21"/>
        </w:rPr>
        <w:t>或具备合法代理资格的代理商；如引进非自有品牌，须提供有效的品牌授权书、特殊行业授权书；</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3.符合运营投标项目所需的国家规定的相关资质条件（营业执照、食品经营许可证等，具体视项目决定）；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rPr>
        <w:t>4.符合招商条件的武汉天河机场T3航站楼现有商业项目经营商户或曾经经营商户参与本次招商，不得与招商人存在法律仲裁、诉讼关系</w:t>
      </w:r>
      <w:r>
        <w:rPr>
          <w:rFonts w:hint="eastAsia" w:ascii="宋体" w:hAnsi="宋体" w:cs="宋体"/>
          <w:color w:val="auto"/>
          <w:kern w:val="0"/>
          <w:szCs w:val="21"/>
          <w:highlight w:val="none"/>
        </w:rPr>
        <w:t>，截至招商评审上月最后一个自然日，响应人与湖北机场集团实业发展有限公司不存在欠租、欠费等违约行为（提供承诺函，格式自拟）；</w:t>
      </w:r>
      <w:bookmarkStart w:id="21" w:name="OLE_LINK3"/>
      <w:r>
        <w:rPr>
          <w:rFonts w:hint="eastAsia" w:ascii="宋体" w:hAnsi="宋体" w:cs="宋体"/>
          <w:color w:val="auto"/>
          <w:kern w:val="0"/>
          <w:szCs w:val="21"/>
          <w:highlight w:val="none"/>
        </w:rPr>
        <w:t>自2022年1月1日起三年因响应人自身原因与湖北机场集团实业发展有限公司提前终止合同的不符合</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资格</w:t>
      </w:r>
      <w:bookmarkEnd w:id="21"/>
      <w:r>
        <w:rPr>
          <w:rFonts w:hint="eastAsia" w:ascii="宋体" w:hAnsi="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w:t>
      </w:r>
      <w:r>
        <w:rPr>
          <w:rFonts w:hint="eastAsia" w:ascii="宋体" w:hAnsi="宋体" w:cs="宋体"/>
          <w:color w:val="auto"/>
          <w:kern w:val="0"/>
          <w:szCs w:val="21"/>
        </w:rPr>
        <w:t>不良欠款记录。无被暂停投标资格且在暂停期内的，以上需提交书面承诺及相关文件。</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19"/>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0000FF"/>
          <w:lang w:val="en-US" w:eastAsia="zh-CN"/>
        </w:rPr>
      </w:pPr>
      <w:r>
        <w:rPr>
          <w:rFonts w:hint="eastAsia" w:ascii="宋体" w:hAnsi="宋体" w:cs="宋体"/>
          <w:color w:val="auto"/>
          <w:kern w:val="0"/>
          <w:szCs w:val="21"/>
          <w:lang w:val="en-US" w:eastAsia="zh-CN"/>
        </w:rPr>
        <w:t>8.标段2同一品牌仅限一家响应人投报。响应人所经营的充电宝设备须具备国家CCC认证， 通过UN38.3测试，有第三方质检报告。</w:t>
      </w:r>
    </w:p>
    <w:bookmarkEnd w:id="0"/>
    <w:bookmarkEnd w:id="20"/>
    <w:p>
      <w:pPr>
        <w:tabs>
          <w:tab w:val="left" w:pos="540"/>
          <w:tab w:val="left" w:pos="840"/>
        </w:tabs>
        <w:spacing w:line="360" w:lineRule="auto"/>
        <w:outlineLvl w:val="1"/>
        <w:rPr>
          <w:rFonts w:hint="eastAsia" w:ascii="宋体" w:hAnsi="宋体" w:cs="宋体"/>
          <w:b/>
          <w:color w:val="auto"/>
          <w:szCs w:val="21"/>
        </w:rPr>
      </w:pPr>
      <w:bookmarkStart w:id="22" w:name="_Toc624"/>
      <w:bookmarkStart w:id="23" w:name="_Toc28975"/>
      <w:bookmarkStart w:id="24" w:name="_Toc3184"/>
      <w:bookmarkStart w:id="25" w:name="_Toc20043"/>
      <w:bookmarkStart w:id="26" w:name="_Toc16423"/>
      <w:r>
        <w:rPr>
          <w:rFonts w:hint="eastAsia" w:ascii="宋体" w:hAnsi="宋体" w:cs="宋体"/>
          <w:b/>
          <w:color w:val="auto"/>
          <w:szCs w:val="21"/>
        </w:rPr>
        <w:t>三、招商文件的获取</w:t>
      </w:r>
      <w:bookmarkEnd w:id="22"/>
      <w:bookmarkEnd w:id="23"/>
      <w:bookmarkEnd w:id="24"/>
      <w:bookmarkEnd w:id="25"/>
      <w:bookmarkEnd w:id="26"/>
    </w:p>
    <w:p>
      <w:pPr>
        <w:tabs>
          <w:tab w:val="left" w:pos="0"/>
        </w:tabs>
        <w:spacing w:line="360" w:lineRule="auto"/>
        <w:ind w:firstLine="420" w:firstLineChars="200"/>
        <w:rPr>
          <w:rFonts w:hint="eastAsia" w:ascii="宋体" w:hAnsi="宋体" w:cs="宋体"/>
          <w:color w:val="auto"/>
          <w:szCs w:val="21"/>
        </w:rPr>
      </w:pPr>
      <w:bookmarkStart w:id="27" w:name="_Toc97300609"/>
      <w:bookmarkStart w:id="28" w:name="_Toc100254608"/>
      <w:bookmarkStart w:id="29" w:name="_Toc259028275"/>
      <w:bookmarkStart w:id="30" w:name="_Toc16383"/>
      <w:bookmarkStart w:id="31" w:name="_Toc5856"/>
      <w:bookmarkStart w:id="32" w:name="_Toc7141"/>
      <w:bookmarkStart w:id="33" w:name="_Toc259028695"/>
      <w:bookmarkStart w:id="34" w:name="_Toc8717"/>
      <w:bookmarkStart w:id="35" w:name="_Toc17160"/>
      <w:bookmarkStart w:id="36" w:name="_Toc2969"/>
      <w:r>
        <w:rPr>
          <w:rFonts w:hint="eastAsia" w:ascii="宋体" w:hAnsi="宋体" w:cs="宋体"/>
          <w:color w:val="auto"/>
          <w:szCs w:val="21"/>
        </w:rPr>
        <w:t>1.文件获取开始时间：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02</w:t>
      </w:r>
      <w:r>
        <w:rPr>
          <w:rFonts w:hint="eastAsia" w:ascii="宋体" w:hAnsi="宋体" w:cs="宋体"/>
          <w:color w:val="auto"/>
          <w:szCs w:val="21"/>
        </w:rPr>
        <w:t>月</w:t>
      </w:r>
      <w:r>
        <w:rPr>
          <w:rFonts w:hint="eastAsia" w:ascii="宋体" w:hAnsi="宋体" w:cs="宋体"/>
          <w:color w:val="auto"/>
          <w:szCs w:val="21"/>
          <w:u w:val="single"/>
          <w:lang w:val="en-US" w:eastAsia="zh-CN"/>
        </w:rPr>
        <w:t>28</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03</w:t>
      </w:r>
      <w:r>
        <w:rPr>
          <w:rFonts w:hint="eastAsia" w:ascii="宋体" w:hAnsi="宋体" w:cs="宋体"/>
          <w:color w:val="auto"/>
          <w:szCs w:val="21"/>
        </w:rPr>
        <w:t>月</w:t>
      </w:r>
      <w:r>
        <w:rPr>
          <w:rFonts w:hint="eastAsia" w:ascii="宋体" w:hAnsi="宋体" w:cs="宋体"/>
          <w:color w:val="auto"/>
          <w:szCs w:val="21"/>
          <w:u w:val="single"/>
          <w:lang w:val="en-US" w:eastAsia="zh-CN"/>
        </w:rPr>
        <w:t>06</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7"/>
    <w:bookmarkEnd w:id="28"/>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37" w:name="_Toc10491"/>
      <w:r>
        <w:rPr>
          <w:rFonts w:hint="eastAsia" w:ascii="宋体" w:hAnsi="宋体" w:cs="宋体"/>
          <w:b/>
          <w:color w:val="auto"/>
          <w:szCs w:val="21"/>
        </w:rPr>
        <w:t>财务查询电话：027-87311206</w:t>
      </w:r>
      <w:bookmarkEnd w:id="37"/>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8" w:name="_Toc12129"/>
      <w:r>
        <w:rPr>
          <w:rFonts w:hint="eastAsia" w:ascii="宋体" w:hAnsi="宋体" w:cs="宋体"/>
          <w:b/>
          <w:bCs/>
          <w:color w:val="auto"/>
          <w:szCs w:val="32"/>
        </w:rPr>
        <w:t>四、</w:t>
      </w:r>
      <w:bookmarkEnd w:id="29"/>
      <w:bookmarkEnd w:id="30"/>
      <w:bookmarkEnd w:id="31"/>
      <w:bookmarkEnd w:id="32"/>
      <w:bookmarkEnd w:id="33"/>
      <w:r>
        <w:rPr>
          <w:rFonts w:hint="eastAsia" w:ascii="宋体" w:hAnsi="宋体" w:cs="宋体"/>
          <w:b/>
          <w:bCs/>
          <w:color w:val="auto"/>
          <w:szCs w:val="32"/>
        </w:rPr>
        <w:t>递交招商响应文件的截止时间及磋商时间</w:t>
      </w:r>
      <w:bookmarkEnd w:id="34"/>
      <w:bookmarkEnd w:id="35"/>
      <w:bookmarkEnd w:id="36"/>
      <w:bookmarkEnd w:id="38"/>
    </w:p>
    <w:p>
      <w:pPr>
        <w:spacing w:line="360" w:lineRule="auto"/>
        <w:ind w:firstLine="420" w:firstLineChars="200"/>
        <w:rPr>
          <w:rFonts w:hint="eastAsia" w:ascii="宋体" w:hAnsi="宋体" w:cs="宋体"/>
          <w:b w:val="0"/>
          <w:bCs/>
          <w:color w:val="auto"/>
          <w:szCs w:val="21"/>
        </w:rPr>
      </w:pPr>
      <w:r>
        <w:rPr>
          <w:rFonts w:hint="eastAsia" w:ascii="Calibri" w:hAnsi="宋体"/>
          <w:b w:val="0"/>
          <w:bCs/>
          <w:color w:val="auto"/>
          <w:szCs w:val="21"/>
        </w:rPr>
        <w:t>202</w:t>
      </w:r>
      <w:r>
        <w:rPr>
          <w:rFonts w:hint="eastAsia" w:ascii="Calibri" w:hAnsi="宋体"/>
          <w:b w:val="0"/>
          <w:bCs/>
          <w:color w:val="auto"/>
          <w:szCs w:val="21"/>
          <w:lang w:val="en-US" w:eastAsia="zh-CN"/>
        </w:rPr>
        <w:t>5</w:t>
      </w:r>
      <w:r>
        <w:rPr>
          <w:rFonts w:hint="eastAsia" w:ascii="Calibri" w:hAnsi="宋体"/>
          <w:b w:val="0"/>
          <w:bCs/>
          <w:color w:val="auto"/>
          <w:szCs w:val="21"/>
        </w:rPr>
        <w:t>年</w:t>
      </w:r>
      <w:r>
        <w:rPr>
          <w:rFonts w:hint="eastAsia" w:ascii="Calibri" w:hAnsi="宋体"/>
          <w:b w:val="0"/>
          <w:bCs/>
          <w:color w:val="auto"/>
          <w:szCs w:val="21"/>
          <w:lang w:val="en-US" w:eastAsia="zh-CN"/>
        </w:rPr>
        <w:t>03</w:t>
      </w:r>
      <w:r>
        <w:rPr>
          <w:rFonts w:hint="eastAsia" w:ascii="Calibri" w:hAnsi="宋体"/>
          <w:b w:val="0"/>
          <w:bCs/>
          <w:color w:val="auto"/>
          <w:szCs w:val="21"/>
        </w:rPr>
        <w:t>月</w:t>
      </w:r>
      <w:r>
        <w:rPr>
          <w:rFonts w:hint="eastAsia" w:ascii="Calibri" w:hAnsi="宋体"/>
          <w:b w:val="0"/>
          <w:bCs/>
          <w:color w:val="auto"/>
          <w:szCs w:val="21"/>
          <w:lang w:val="en-US" w:eastAsia="zh-CN"/>
        </w:rPr>
        <w:t>12</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9" w:name="_Toc259028276"/>
      <w:bookmarkStart w:id="40" w:name="_Toc259028696"/>
      <w:bookmarkStart w:id="41" w:name="_Toc23418"/>
      <w:bookmarkStart w:id="42" w:name="_Toc15832"/>
      <w:bookmarkStart w:id="43" w:name="_Toc11358"/>
      <w:bookmarkStart w:id="44" w:name="_Toc19677"/>
      <w:bookmarkStart w:id="45" w:name="_Toc18692"/>
      <w:bookmarkStart w:id="46" w:name="_Toc22927"/>
      <w:bookmarkStart w:id="47" w:name="_Toc9129"/>
      <w:r>
        <w:rPr>
          <w:rFonts w:hint="eastAsia" w:ascii="宋体" w:hAnsi="宋体" w:cs="宋体"/>
          <w:b/>
          <w:bCs/>
          <w:color w:val="auto"/>
          <w:szCs w:val="32"/>
        </w:rPr>
        <w:t>五、</w:t>
      </w:r>
      <w:bookmarkEnd w:id="39"/>
      <w:bookmarkEnd w:id="40"/>
      <w:bookmarkEnd w:id="41"/>
      <w:bookmarkEnd w:id="42"/>
      <w:bookmarkEnd w:id="43"/>
      <w:r>
        <w:rPr>
          <w:rFonts w:hint="eastAsia" w:ascii="宋体" w:hAnsi="宋体" w:cs="宋体"/>
          <w:b/>
          <w:bCs/>
          <w:color w:val="auto"/>
          <w:szCs w:val="32"/>
        </w:rPr>
        <w:t>招商响应文件送达地点及磋商地点</w:t>
      </w:r>
      <w:bookmarkEnd w:id="44"/>
      <w:bookmarkEnd w:id="45"/>
      <w:bookmarkEnd w:id="46"/>
      <w:bookmarkEnd w:id="47"/>
    </w:p>
    <w:p>
      <w:pPr>
        <w:spacing w:line="360" w:lineRule="auto"/>
        <w:rPr>
          <w:rFonts w:hint="eastAsia" w:ascii="Calibri" w:hAnsi="宋体"/>
          <w:bCs/>
          <w:color w:val="auto"/>
          <w:szCs w:val="21"/>
        </w:rPr>
      </w:pPr>
      <w:r>
        <w:rPr>
          <w:rFonts w:hint="eastAsia" w:ascii="Calibri" w:hAnsi="宋体"/>
          <w:bCs/>
          <w:color w:val="auto"/>
          <w:sz w:val="20"/>
          <w:szCs w:val="21"/>
        </w:rPr>
        <w:t xml:space="preserve">   </w:t>
      </w:r>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r>
        <w:rPr>
          <w:rFonts w:hint="eastAsia" w:ascii="Calibri" w:hAnsi="宋体"/>
          <w:bCs/>
          <w:color w:val="auto"/>
          <w:szCs w:val="21"/>
        </w:rPr>
        <w:t>。</w:t>
      </w:r>
    </w:p>
    <w:p>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8" w:name="_Toc23102"/>
      <w:bookmarkStart w:id="49" w:name="_Toc3947"/>
      <w:bookmarkStart w:id="50" w:name="_Toc27428"/>
      <w:bookmarkStart w:id="51" w:name="_Toc28310"/>
      <w:bookmarkStart w:id="52" w:name="_Toc7227"/>
      <w:bookmarkStart w:id="53" w:name="_Toc25113"/>
      <w:bookmarkStart w:id="54" w:name="_Toc8044"/>
      <w:bookmarkStart w:id="55" w:name="_Toc27963"/>
      <w:bookmarkStart w:id="56" w:name="_Toc15722"/>
      <w:r>
        <w:rPr>
          <w:rFonts w:hint="eastAsia" w:ascii="宋体" w:hAnsi="宋体" w:cs="宋体"/>
          <w:b/>
          <w:bCs/>
          <w:color w:val="auto"/>
          <w:szCs w:val="32"/>
        </w:rPr>
        <w:t>六、联系方式</w:t>
      </w:r>
      <w:bookmarkEnd w:id="48"/>
      <w:bookmarkEnd w:id="49"/>
      <w:bookmarkEnd w:id="50"/>
      <w:bookmarkEnd w:id="51"/>
      <w:bookmarkEnd w:id="52"/>
      <w:bookmarkEnd w:id="53"/>
      <w:bookmarkEnd w:id="54"/>
      <w:bookmarkEnd w:id="55"/>
    </w:p>
    <w:p>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杜女士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027-85819308</w:t>
      </w:r>
      <w:bookmarkStart w:id="66" w:name="_GoBack"/>
      <w:bookmarkEnd w:id="66"/>
      <w:r>
        <w:rPr>
          <w:rFonts w:hint="eastAsia" w:ascii="宋体" w:hAnsi="宋体" w:cs="宋体"/>
          <w:color w:val="auto"/>
          <w:szCs w:val="21"/>
          <w:lang w:val="en-US" w:eastAsia="zh-CN"/>
        </w:rPr>
        <w:t xml:space="preserve"> </w:t>
      </w:r>
      <w:r>
        <w:rPr>
          <w:rFonts w:hint="eastAsia"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电   话：</w:t>
      </w:r>
      <w:r>
        <w:rPr>
          <w:rFonts w:hint="eastAsia" w:hAnsi="宋体"/>
          <w:color w:val="auto"/>
          <w:szCs w:val="21"/>
        </w:rPr>
        <w:t>027-87816666-8613</w:t>
      </w:r>
    </w:p>
    <w:p>
      <w:pPr>
        <w:pStyle w:val="6"/>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pPr>
        <w:pStyle w:val="6"/>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5"/>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56"/>
      <w:bookmarkStart w:id="57" w:name="_Toc28510"/>
      <w:bookmarkStart w:id="58" w:name="_Toc3472"/>
      <w:bookmarkStart w:id="59" w:name="_Toc1765"/>
      <w:bookmarkStart w:id="60" w:name="_Toc334539190"/>
      <w:bookmarkStart w:id="61" w:name="_Toc32188"/>
      <w:bookmarkStart w:id="62" w:name="_Toc14406"/>
    </w:p>
    <w:p>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57"/>
      <w:bookmarkEnd w:id="58"/>
      <w:bookmarkEnd w:id="59"/>
      <w:bookmarkStart w:id="63" w:name="_Toc11036"/>
      <w:bookmarkStart w:id="64" w:name="_Toc19104"/>
      <w:bookmarkStart w:id="65" w:name="_Toc8480"/>
      <w:r>
        <w:rPr>
          <w:rFonts w:hint="eastAsia" w:ascii="宋体" w:hAnsi="宋体" w:cs="宋体"/>
          <w:b/>
          <w:bCs/>
          <w:color w:val="auto"/>
          <w:szCs w:val="21"/>
        </w:rPr>
        <w:t>信息发布媒体</w:t>
      </w:r>
      <w:bookmarkEnd w:id="60"/>
      <w:r>
        <w:rPr>
          <w:rFonts w:hint="eastAsia" w:ascii="宋体" w:hAnsi="宋体" w:cs="宋体"/>
          <w:b/>
          <w:bCs/>
          <w:color w:val="auto"/>
          <w:szCs w:val="21"/>
        </w:rPr>
        <w:t>及发布时间</w:t>
      </w:r>
      <w:bookmarkEnd w:id="61"/>
      <w:bookmarkEnd w:id="62"/>
      <w:bookmarkEnd w:id="63"/>
      <w:bookmarkEnd w:id="64"/>
      <w:bookmarkEnd w:id="65"/>
    </w:p>
    <w:p>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pPr>
        <w:rPr>
          <w:rFonts w:hint="eastAsia"/>
        </w:rPr>
      </w:pPr>
      <w:r>
        <w:rPr>
          <w:rFonts w:hint="eastAsia" w:ascii="宋体" w:hAnsi="宋体" w:cs="宋体"/>
          <w:color w:val="auto"/>
          <w:szCs w:val="21"/>
        </w:rPr>
        <w:t>发布日期：202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02</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 w:name="KSO_WPS_MARK_KEY" w:val="806e1d3c-b124-449f-90a4-52e51f4a5463"/>
  </w:docVars>
  <w:rsids>
    <w:rsidRoot w:val="00000000"/>
    <w:rsid w:val="2B18099E"/>
    <w:rsid w:val="36C9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qFormat/>
    <w:uiPriority w:val="99"/>
    <w:rPr>
      <w:rFonts w:ascii="Tahoma" w:hAnsi="Tahoma"/>
      <w:color w:val="0000FF"/>
      <w:sz w:val="24"/>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2432</Words>
  <Characters>2740</Characters>
  <Lines>0</Lines>
  <Paragraphs>0</Paragraphs>
  <TotalTime>4</TotalTime>
  <ScaleCrop>false</ScaleCrop>
  <LinksUpToDate>false</LinksUpToDate>
  <CharactersWithSpaces>3053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2025-02-27T01:36:00Z</dcterms:created>
  <dc:creator>HP</dc:creator>
  <cp:lastModifiedBy>航站楼商业管理部合同管理员</cp:lastModifiedBy>
  <dcterms:modified xsi:type="dcterms:W3CDTF">2025-02-27T03:24:08Z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CF8CDCAACB7E4AF7BF19BA4FF316AF3A_12</vt:lpwstr>
  </property>
</Properties>
</file>