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line="360" w:lineRule="auto"/>
        <w:ind w:left="1275" w:leftChars="0" w:hanging="1275" w:firstLineChars="0"/>
        <w:jc w:val="center"/>
        <w:rPr>
          <w:rFonts w:hint="eastAsia" w:ascii="宋体" w:hAnsi="宋体" w:cs="宋体"/>
          <w:b w:val="0"/>
          <w:sz w:val="36"/>
          <w:szCs w:val="36"/>
          <w:highlight w:val="none"/>
        </w:rPr>
      </w:pPr>
      <w:bookmarkStart w:id="0" w:name="_Toc6758"/>
      <w:r>
        <w:rPr>
          <w:rFonts w:hint="eastAsia" w:ascii="宋体" w:hAnsi="宋体" w:cs="宋体"/>
          <w:sz w:val="36"/>
          <w:szCs w:val="36"/>
          <w:highlight w:val="none"/>
        </w:rPr>
        <w:t>武汉天河机场T3航站楼新增灯箱和智慧手推车媒体招商</w:t>
      </w:r>
      <w:r>
        <w:rPr>
          <w:rFonts w:hint="eastAsia" w:ascii="宋体" w:hAnsi="宋体" w:cs="宋体"/>
          <w:sz w:val="36"/>
          <w:szCs w:val="36"/>
          <w:highlight w:val="none"/>
          <w:lang w:val="en-US" w:eastAsia="zh-CN"/>
        </w:rPr>
        <w:t>项目</w:t>
      </w:r>
      <w:r>
        <w:rPr>
          <w:rFonts w:hint="eastAsia" w:ascii="宋体" w:hAnsi="宋体" w:cs="宋体"/>
          <w:sz w:val="36"/>
          <w:szCs w:val="36"/>
          <w:highlight w:val="none"/>
        </w:rPr>
        <w:t>招商公告</w:t>
      </w:r>
      <w:bookmarkEnd w:id="0"/>
    </w:p>
    <w:p>
      <w:pPr>
        <w:spacing w:line="360" w:lineRule="auto"/>
        <w:ind w:firstLine="437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湖北国华项目管理咨询有限公司（以下简称“招商代理机构”） 受</w:t>
      </w:r>
      <w:r>
        <w:rPr>
          <w:rFonts w:hint="eastAsia" w:ascii="Times New Roman" w:hAnsi="宋体" w:eastAsia="宋体" w:cs="Times New Roman"/>
          <w:b/>
          <w:szCs w:val="21"/>
          <w:u w:val="single"/>
        </w:rPr>
        <w:t>湖北空港首广联合传媒有限公司</w:t>
      </w:r>
      <w:r>
        <w:rPr>
          <w:rFonts w:hint="eastAsia" w:ascii="宋体" w:hAnsi="宋体" w:eastAsia="宋体" w:cs="宋体"/>
          <w:szCs w:val="21"/>
        </w:rPr>
        <w:t>（以下简称“招商人”）的委托，对</w:t>
      </w:r>
      <w:r>
        <w:rPr>
          <w:rFonts w:hint="eastAsia" w:hAnsi="宋体" w:cs="Times New Roman"/>
          <w:b/>
          <w:szCs w:val="21"/>
          <w:u w:val="single"/>
          <w:lang w:eastAsia="zh-CN"/>
        </w:rPr>
        <w:t>武汉天河机场T3航站楼新增灯箱和智慧手推车媒体招商项目</w:t>
      </w:r>
      <w:r>
        <w:rPr>
          <w:rFonts w:hint="eastAsia" w:ascii="宋体" w:hAnsi="宋体" w:eastAsia="宋体" w:cs="宋体"/>
          <w:szCs w:val="21"/>
        </w:rPr>
        <w:t>进行招商。资金来源：</w:t>
      </w:r>
      <w:r>
        <w:rPr>
          <w:rFonts w:hint="eastAsia" w:ascii="Times New Roman" w:hAnsi="宋体" w:eastAsia="宋体" w:cs="Times New Roman"/>
          <w:b/>
          <w:szCs w:val="21"/>
          <w:u w:val="single"/>
        </w:rPr>
        <w:t>招商响应人自筹</w:t>
      </w:r>
      <w:r>
        <w:rPr>
          <w:rFonts w:hint="eastAsia" w:ascii="宋体" w:hAnsi="宋体" w:eastAsia="宋体" w:cs="宋体"/>
          <w:szCs w:val="21"/>
        </w:rPr>
        <w:t>。欢迎符合资格条件的招商响应人参加磋商。</w:t>
      </w:r>
    </w:p>
    <w:p>
      <w:pPr>
        <w:spacing w:before="120" w:beforeLines="50" w:after="120" w:afterLines="50" w:line="360" w:lineRule="auto"/>
        <w:outlineLvl w:val="1"/>
        <w:rPr>
          <w:rFonts w:ascii="宋体" w:hAnsi="宋体" w:eastAsia="宋体" w:cs="宋体"/>
          <w:b/>
          <w:szCs w:val="21"/>
        </w:rPr>
      </w:pPr>
      <w:bookmarkStart w:id="1" w:name="_Toc380747815"/>
      <w:bookmarkStart w:id="2" w:name="_Toc365302267"/>
      <w:bookmarkStart w:id="3" w:name="_Toc6581"/>
      <w:bookmarkStart w:id="4" w:name="_Toc9016"/>
      <w:r>
        <w:rPr>
          <w:rFonts w:hint="eastAsia" w:ascii="宋体" w:hAnsi="宋体" w:eastAsia="宋体" w:cs="宋体"/>
          <w:b/>
          <w:szCs w:val="21"/>
        </w:rPr>
        <w:t>一、项目</w:t>
      </w:r>
      <w:bookmarkEnd w:id="1"/>
      <w:bookmarkEnd w:id="2"/>
      <w:bookmarkEnd w:id="3"/>
      <w:r>
        <w:rPr>
          <w:rFonts w:hint="eastAsia" w:ascii="宋体" w:hAnsi="宋体" w:eastAsia="宋体" w:cs="宋体"/>
          <w:b/>
          <w:szCs w:val="21"/>
        </w:rPr>
        <w:t>概况</w:t>
      </w:r>
      <w:bookmarkEnd w:id="4"/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1.招商人：</w:t>
      </w:r>
      <w:r>
        <w:rPr>
          <w:rFonts w:hint="eastAsia" w:ascii="Times New Roman" w:hAnsi="宋体" w:eastAsia="宋体" w:cs="Times New Roman"/>
          <w:b/>
          <w:szCs w:val="21"/>
          <w:u w:val="single"/>
        </w:rPr>
        <w:t>湖北空港首广联合传媒有限公司</w:t>
      </w:r>
    </w:p>
    <w:p>
      <w:pPr>
        <w:spacing w:line="360" w:lineRule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2.项目名称：</w:t>
      </w:r>
      <w:r>
        <w:rPr>
          <w:rFonts w:hint="eastAsia" w:hAnsi="宋体" w:cs="Times New Roman"/>
          <w:b/>
          <w:szCs w:val="21"/>
          <w:u w:val="single"/>
          <w:lang w:eastAsia="zh-CN"/>
        </w:rPr>
        <w:t>武汉天河机场T3航站楼新增灯箱和智慧手推车媒体招商项目</w:t>
      </w: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3.项目编号：ZB0102-202409-FZBFW1266</w:t>
      </w:r>
    </w:p>
    <w:p>
      <w:pPr>
        <w:tabs>
          <w:tab w:val="left" w:pos="3306"/>
        </w:tabs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4.招商内容：本项目共分为两个标段进行招商。</w:t>
      </w:r>
    </w:p>
    <w:tbl>
      <w:tblPr>
        <w:tblStyle w:val="4"/>
        <w:tblW w:w="9295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970"/>
        <w:gridCol w:w="868"/>
        <w:gridCol w:w="771"/>
        <w:gridCol w:w="924"/>
        <w:gridCol w:w="1686"/>
        <w:gridCol w:w="653"/>
        <w:gridCol w:w="1907"/>
        <w:gridCol w:w="9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标段划分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楼层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媒体区域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媒体类型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媒体编号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媒体数量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媒体规格（宽M*高M）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合同可发布起始时间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标段1</w:t>
            </w:r>
          </w:p>
        </w:tc>
        <w:tc>
          <w:tcPr>
            <w:tcW w:w="8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T3二层</w:t>
            </w:r>
          </w:p>
        </w:tc>
        <w:tc>
          <w:tcPr>
            <w:tcW w:w="7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混流区到达厅入口</w:t>
            </w:r>
          </w:p>
        </w:tc>
        <w:tc>
          <w:tcPr>
            <w:tcW w:w="9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墙体灯箱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HBWUH-32N-D065</w:t>
            </w:r>
          </w:p>
        </w:tc>
        <w:tc>
          <w:tcPr>
            <w:tcW w:w="653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5.6*2.7（最终以实际尺寸为准）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中标后以合同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签订之日起算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HBWUH-32N-D066</w:t>
            </w:r>
          </w:p>
        </w:tc>
        <w:tc>
          <w:tcPr>
            <w:tcW w:w="65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5.6*2.7（最终以实际尺寸为准）</w:t>
            </w:r>
          </w:p>
        </w:tc>
        <w:tc>
          <w:tcPr>
            <w:tcW w:w="95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标段2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T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二层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混流区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智慧手推车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HBWUH-34N-C002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500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0.6X0.58x1.11（最终以实物尺寸为准）</w:t>
            </w:r>
          </w:p>
        </w:tc>
        <w:tc>
          <w:tcPr>
            <w:tcW w:w="95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bCs w:val="0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Cs w:val="21"/>
          <w:lang w:val="en-US" w:eastAsia="zh-CN"/>
        </w:rPr>
        <w:t>备注：两个新建灯箱的由成交响应人负责媒体建设，并承担灯箱建设的安全责任和全部费用。智慧手推车媒体的成交响应人负责提供智慧手推车媒体，并承担智慧手推车媒体的安全运营和全部费用。</w:t>
      </w:r>
    </w:p>
    <w:p>
      <w:pPr>
        <w:spacing w:line="360" w:lineRule="auto"/>
        <w:rPr>
          <w:rFonts w:ascii="Times New Roman" w:hAnsi="宋体" w:eastAsia="宋体" w:cs="Times New Roman"/>
          <w:b/>
          <w:szCs w:val="21"/>
          <w:u w:val="single"/>
        </w:rPr>
      </w:pPr>
      <w:r>
        <w:rPr>
          <w:rFonts w:hint="eastAsia" w:ascii="宋体" w:hAnsi="宋体" w:eastAsia="宋体" w:cs="宋体"/>
          <w:bCs/>
          <w:szCs w:val="21"/>
        </w:rPr>
        <w:t>5.</w:t>
      </w:r>
      <w:r>
        <w:rPr>
          <w:rFonts w:hint="eastAsia" w:ascii="宋体" w:hAnsi="宋体" w:eastAsia="宋体" w:cs="宋体"/>
          <w:szCs w:val="21"/>
        </w:rPr>
        <w:t>资金来源：</w:t>
      </w:r>
      <w:r>
        <w:rPr>
          <w:rFonts w:hint="eastAsia" w:ascii="Times New Roman" w:hAnsi="宋体" w:eastAsia="宋体" w:cs="Times New Roman"/>
          <w:b/>
          <w:szCs w:val="21"/>
          <w:u w:val="single"/>
        </w:rPr>
        <w:t>招商响应人自筹。</w:t>
      </w:r>
    </w:p>
    <w:p>
      <w:pPr>
        <w:spacing w:line="360" w:lineRule="auto"/>
        <w:rPr>
          <w:rFonts w:ascii="Times New Roman" w:hAnsi="宋体" w:eastAsia="宋体" w:cs="Times New Roman"/>
          <w:b/>
          <w:szCs w:val="21"/>
          <w:u w:val="single"/>
        </w:rPr>
      </w:pPr>
      <w:r>
        <w:rPr>
          <w:rFonts w:hint="eastAsia" w:ascii="Times New Roman" w:hAnsi="宋体" w:eastAsia="宋体" w:cs="Times New Roman"/>
          <w:b/>
          <w:szCs w:val="21"/>
        </w:rPr>
        <w:t>二、合同经营期限及其他商务条款</w:t>
      </w:r>
    </w:p>
    <w:p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highlight w:val="yellow"/>
          <w:lang w:eastAsia="zh-CN"/>
        </w:rPr>
      </w:pPr>
      <w:r>
        <w:rPr>
          <w:rFonts w:hint="eastAsia" w:ascii="Times New Roman" w:hAnsi="Times New Roman" w:eastAsia="宋体" w:cs="Times New Roman"/>
        </w:rPr>
        <w:t>合同经营期限为</w:t>
      </w:r>
      <w:r>
        <w:rPr>
          <w:rFonts w:hint="eastAsia" w:cs="Times New Roman"/>
          <w:highlight w:val="none"/>
          <w:lang w:eastAsia="zh-CN"/>
        </w:rPr>
        <w:t>12个月（含）-36个月</w:t>
      </w:r>
      <w:r>
        <w:rPr>
          <w:rFonts w:hint="eastAsia" w:ascii="Times New Roman" w:hAnsi="Times New Roman" w:eastAsia="宋体" w:cs="Times New Roman"/>
        </w:rPr>
        <w:t>（含）</w:t>
      </w:r>
      <w:r>
        <w:rPr>
          <w:rFonts w:hint="eastAsia" w:ascii="Times New Roman" w:hAnsi="宋体" w:eastAsia="宋体" w:cs="Times New Roman"/>
          <w:bCs/>
          <w:szCs w:val="21"/>
        </w:rPr>
        <w:t>，合同开始时间具体以合同签订时间为准。</w:t>
      </w:r>
      <w:r>
        <w:rPr>
          <w:rFonts w:hint="eastAsia" w:hAnsi="宋体" w:cs="Times New Roman"/>
          <w:bCs/>
          <w:szCs w:val="21"/>
          <w:highlight w:val="none"/>
          <w:lang w:val="en-US" w:eastAsia="zh-CN"/>
        </w:rPr>
        <w:t>标段一</w:t>
      </w:r>
      <w:r>
        <w:rPr>
          <w:rFonts w:hint="eastAsia" w:hAnsi="宋体" w:cs="Times New Roman"/>
          <w:bCs/>
          <w:szCs w:val="21"/>
          <w:highlight w:val="none"/>
          <w:lang w:eastAsia="zh-CN"/>
        </w:rPr>
        <w:t>递增比例为第二年合同金额较第一年合同金额递增3%，第三年合同金额较第二年合同金额递增3%。</w:t>
      </w:r>
      <w:r>
        <w:rPr>
          <w:rFonts w:hint="eastAsia" w:hAnsi="宋体" w:cs="Times New Roman"/>
          <w:bCs/>
          <w:szCs w:val="21"/>
          <w:highlight w:val="none"/>
          <w:lang w:val="en-US" w:eastAsia="zh-CN"/>
        </w:rPr>
        <w:t>标段二媒体递增比例为第二年合同金额较第一年合同金额递增10%，第三年合同金额较第二年合同金额递增10%。</w:t>
      </w:r>
    </w:p>
    <w:p>
      <w:pPr>
        <w:autoSpaceDE w:val="0"/>
        <w:autoSpaceDN w:val="0"/>
        <w:spacing w:line="360" w:lineRule="auto"/>
        <w:ind w:left="632" w:hanging="632" w:hangingChars="300"/>
        <w:outlineLvl w:val="1"/>
        <w:rPr>
          <w:rFonts w:ascii="宋体" w:hAnsi="宋体" w:eastAsia="宋体" w:cs="宋体"/>
          <w:b/>
          <w:bCs/>
          <w:kern w:val="0"/>
          <w:szCs w:val="21"/>
        </w:rPr>
      </w:pPr>
      <w:bookmarkStart w:id="5" w:name="_Toc17887"/>
      <w:bookmarkStart w:id="6" w:name="_Toc30896"/>
      <w:bookmarkStart w:id="7" w:name="_Toc26049"/>
      <w:bookmarkStart w:id="8" w:name="_Toc458503196"/>
      <w:bookmarkStart w:id="9" w:name="_Toc25557"/>
      <w:bookmarkStart w:id="10" w:name="_Toc27593"/>
      <w:r>
        <w:rPr>
          <w:rFonts w:hint="eastAsia" w:ascii="宋体" w:hAnsi="宋体" w:eastAsia="宋体" w:cs="宋体"/>
          <w:b/>
          <w:bCs/>
          <w:kern w:val="0"/>
          <w:szCs w:val="21"/>
        </w:rPr>
        <w:t>三、响应资格及要求：</w:t>
      </w:r>
      <w:bookmarkEnd w:id="5"/>
      <w:bookmarkEnd w:id="6"/>
      <w:bookmarkEnd w:id="7"/>
      <w:bookmarkEnd w:id="8"/>
      <w:bookmarkEnd w:id="9"/>
      <w:bookmarkEnd w:id="10"/>
      <w:bookmarkStart w:id="11" w:name="_Toc19838"/>
      <w:bookmarkStart w:id="12" w:name="_Toc26730"/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360" w:lineRule="auto"/>
        <w:ind w:left="630" w:right="0" w:hanging="630" w:hangingChars="300"/>
        <w:jc w:val="both"/>
        <w:outlineLvl w:val="1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1.招商响应人须具备市场监督管理部门核发的有效营业执照，具有独立法人资格。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outlineLvl w:val="1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2.招商响应人须具有健全的财务会计制度。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outlineLvl w:val="1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3.招商响应人未被“信用中国”网站（www.creditchina.gov.cn）或者“中国执行信息公开网”（zxgk.court.gov.cn）列入失信被执行人名单，以公告发布之后的查询结果为准。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outlineLvl w:val="1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4.招商响应人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"/>
        </w:rPr>
        <w:t>在与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首都机场集团传媒有限公司合作范围内的合作中，截止202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"/>
        </w:rPr>
        <w:t>3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年0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"/>
        </w:rPr>
        <w:t>5</w:t>
      </w:r>
      <w:bookmarkStart w:id="25" w:name="_GoBack"/>
      <w:bookmarkEnd w:id="25"/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月31日不存在2022年计提欠款情况。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outlineLvl w:val="1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5.与招商方的合作中，招商响应人及其关联公司截至2024年8月31日不存在200万（含）以上2023年计提欠款(除固定担保形式外)的情况。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outlineLvl w:val="1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6.与招商方的合作中，截止招商公告发布日上一个月底（2024年8月31日），不存在当年度（2024年）三个月（含）以上计提广告费欠款。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outlineLvl w:val="1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7.招商响应人截至招商公告发布之日，与招商人不存在未结诉讼、仲裁案件，或未执行完毕的生效法律文书。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outlineLvl w:val="1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8.招商响应人须针对《湖北机场集团“供应商不良行为”管理暂行办法》在响应文件中做出承诺，格式详见响应文件格式。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outlineLvl w:val="1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9.本次招商不接受联合体响应。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四、招商文件的获取</w:t>
      </w:r>
      <w:bookmarkEnd w:id="11"/>
      <w:bookmarkEnd w:id="12"/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1.拟参加本项目的供应商须在阳光招采电子交易平台免费注册（网址：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https://www.yangguangzhaocai.com---【新用户注册】，相关操作帮助详见：帮助中心--- 投标人注册操作指南）；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2.在新平台完成注册后，请于即日起至</w:t>
      </w:r>
      <w:r>
        <w:rPr>
          <w:rFonts w:hint="eastAsia" w:ascii="宋体" w:hAnsi="宋体" w:eastAsia="宋体" w:cs="宋体"/>
          <w:szCs w:val="21"/>
          <w:highlight w:val="none"/>
        </w:rPr>
        <w:t>2024年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szCs w:val="21"/>
          <w:highlight w:val="none"/>
        </w:rPr>
        <w:t>月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21</w:t>
      </w:r>
      <w:r>
        <w:rPr>
          <w:rFonts w:hint="eastAsia" w:ascii="宋体" w:hAnsi="宋体" w:eastAsia="宋体" w:cs="宋体"/>
          <w:szCs w:val="21"/>
          <w:highlight w:val="none"/>
        </w:rPr>
        <w:t>日17</w:t>
      </w:r>
      <w:r>
        <w:rPr>
          <w:rFonts w:hint="eastAsia" w:ascii="宋体" w:hAnsi="宋体" w:eastAsia="宋体" w:cs="宋体"/>
          <w:szCs w:val="21"/>
        </w:rPr>
        <w:t>:00时止（北京时间），通过互联网访问电子交易平台，点击【投标人】，在【公告信息】---【采购公告】栏下载采购文件，500元/份，售后不退。联合体响应的，由联合体牵头人下载采购文件。未按规定获取采购文件的，其响应文件将被否决；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3.本项目不是全流程电子标，投标人无需办理CA数字证书；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4.使用电子交易平台时遇到的各类操作问题，可拨打咨询电话010-21362559（工作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日:08:00-18:00；节假日:09:00-12:00，14:00-18:00)；注册进度查询、密码修改问题咨询电话：027-87272708；对本项目的具体业务问题，请向代理机构项目经理进行咨询。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注：响应人可对本次招商各标段进行选择性投标响应，也可同时投标响应；但评标时将以标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段为单位进行独立评审，分别确定成交候选人。响应人若同时投多个标段，则须分别编制响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应文件、分别报价。</w:t>
      </w:r>
    </w:p>
    <w:p>
      <w:pPr>
        <w:autoSpaceDE w:val="0"/>
        <w:autoSpaceDN w:val="0"/>
        <w:adjustRightInd w:val="0"/>
        <w:spacing w:line="360" w:lineRule="auto"/>
        <w:ind w:left="632" w:hanging="632" w:hangingChars="300"/>
        <w:outlineLvl w:val="1"/>
        <w:rPr>
          <w:rFonts w:ascii="宋体" w:hAnsi="宋体" w:eastAsia="宋体" w:cs="宋体"/>
          <w:b/>
          <w:bCs/>
          <w:szCs w:val="32"/>
        </w:rPr>
      </w:pPr>
      <w:r>
        <w:rPr>
          <w:rFonts w:hint="eastAsia" w:ascii="宋体" w:hAnsi="宋体" w:eastAsia="宋体" w:cs="宋体"/>
          <w:b/>
          <w:bCs/>
          <w:szCs w:val="32"/>
        </w:rPr>
        <w:t>五、递交响应文件的截止时间及招商时间</w:t>
      </w:r>
    </w:p>
    <w:p>
      <w:pPr>
        <w:autoSpaceDE w:val="0"/>
        <w:autoSpaceDN w:val="0"/>
        <w:adjustRightInd w:val="0"/>
        <w:spacing w:line="360" w:lineRule="auto"/>
        <w:ind w:left="631" w:leftChars="200" w:hanging="211" w:hangingChars="100"/>
        <w:outlineLvl w:val="1"/>
        <w:rPr>
          <w:rFonts w:ascii="宋体" w:hAnsi="宋体" w:eastAsia="宋体" w:cs="宋体"/>
          <w:szCs w:val="21"/>
        </w:rPr>
      </w:pP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  <w:t>2024年</w:t>
      </w:r>
      <w:r>
        <w:rPr>
          <w:rFonts w:hint="eastAsia" w:hAnsi="宋体" w:cs="Times New Roman"/>
          <w:b/>
          <w:szCs w:val="21"/>
          <w:highlight w:val="none"/>
          <w:u w:val="single"/>
          <w:lang w:val="en-US" w:eastAsia="zh-CN"/>
        </w:rPr>
        <w:t>09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  <w:t>月</w:t>
      </w:r>
      <w:r>
        <w:rPr>
          <w:rFonts w:hint="eastAsia" w:hAnsi="宋体" w:cs="Times New Roman"/>
          <w:b/>
          <w:szCs w:val="21"/>
          <w:highlight w:val="none"/>
          <w:u w:val="single"/>
          <w:lang w:val="en-US" w:eastAsia="zh-CN"/>
        </w:rPr>
        <w:t>23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  <w:t>日14时30分</w:t>
      </w:r>
      <w:r>
        <w:rPr>
          <w:rFonts w:hint="eastAsia" w:ascii="宋体" w:hAnsi="宋体" w:eastAsia="宋体" w:cs="宋体"/>
          <w:szCs w:val="21"/>
        </w:rPr>
        <w:t>（北京时间）。</w:t>
      </w:r>
    </w:p>
    <w:p>
      <w:pPr>
        <w:spacing w:line="360" w:lineRule="auto"/>
        <w:ind w:firstLine="422" w:firstLineChars="20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注：选用竞争性磋商方式，有效响应运营商不足三家的，经评审委员会商议一致后，对于符合招商文件要求，满足招商需求的，可继续采取两家比选或一家直接洽商方式进行评审。对于不满足招商需求的，经评审委员会确认后，可终止招商。</w:t>
      </w:r>
    </w:p>
    <w:p>
      <w:pPr>
        <w:autoSpaceDE w:val="0"/>
        <w:autoSpaceDN w:val="0"/>
        <w:adjustRightInd w:val="0"/>
        <w:spacing w:line="360" w:lineRule="auto"/>
        <w:ind w:left="632" w:hanging="632" w:hangingChars="300"/>
        <w:outlineLvl w:val="1"/>
        <w:rPr>
          <w:rFonts w:ascii="宋体" w:hAnsi="宋体" w:eastAsia="宋体" w:cs="宋体"/>
          <w:b/>
          <w:bCs/>
          <w:szCs w:val="32"/>
        </w:rPr>
      </w:pPr>
      <w:bookmarkStart w:id="13" w:name="_Toc11358"/>
      <w:bookmarkStart w:id="14" w:name="_Toc15832"/>
      <w:bookmarkStart w:id="15" w:name="_Toc259028696"/>
      <w:bookmarkStart w:id="16" w:name="_Toc259028276"/>
      <w:bookmarkStart w:id="17" w:name="_Toc22343"/>
      <w:r>
        <w:rPr>
          <w:rFonts w:hint="eastAsia" w:ascii="宋体" w:hAnsi="宋体" w:eastAsia="宋体" w:cs="宋体"/>
          <w:b/>
          <w:bCs/>
          <w:szCs w:val="32"/>
        </w:rPr>
        <w:t>六、招商响应文件送达地点及招商地点</w:t>
      </w:r>
      <w:bookmarkEnd w:id="13"/>
      <w:bookmarkEnd w:id="14"/>
      <w:bookmarkEnd w:id="15"/>
      <w:bookmarkEnd w:id="16"/>
      <w:bookmarkEnd w:id="17"/>
    </w:p>
    <w:p>
      <w:pPr>
        <w:spacing w:line="360" w:lineRule="auto"/>
        <w:ind w:firstLine="422" w:firstLineChars="200"/>
        <w:rPr>
          <w:rFonts w:ascii="Times New Roman" w:hAnsi="宋体" w:eastAsia="宋体" w:cs="Times New Roman"/>
          <w:b/>
          <w:szCs w:val="21"/>
          <w:highlight w:val="none"/>
          <w:u w:val="single"/>
        </w:rPr>
      </w:pP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  <w:t>武汉机场综合保障楼A208。</w:t>
      </w:r>
    </w:p>
    <w:p>
      <w:pPr>
        <w:autoSpaceDE w:val="0"/>
        <w:autoSpaceDN w:val="0"/>
        <w:adjustRightInd w:val="0"/>
        <w:spacing w:line="360" w:lineRule="auto"/>
        <w:ind w:left="632" w:hanging="632" w:hangingChars="300"/>
        <w:outlineLvl w:val="1"/>
        <w:rPr>
          <w:rFonts w:ascii="宋体" w:hAnsi="宋体" w:eastAsia="宋体" w:cs="宋体"/>
          <w:b/>
          <w:bCs/>
          <w:szCs w:val="32"/>
        </w:rPr>
      </w:pPr>
      <w:bookmarkStart w:id="18" w:name="_Toc7227"/>
      <w:bookmarkStart w:id="19" w:name="_Toc8044"/>
      <w:bookmarkStart w:id="20" w:name="_Toc25113"/>
      <w:bookmarkStart w:id="21" w:name="_Toc7669"/>
      <w:bookmarkStart w:id="22" w:name="_Toc15722"/>
      <w:r>
        <w:rPr>
          <w:rFonts w:hint="eastAsia" w:ascii="宋体" w:hAnsi="宋体" w:eastAsia="宋体" w:cs="宋体"/>
          <w:b/>
          <w:bCs/>
          <w:szCs w:val="32"/>
        </w:rPr>
        <w:t>七、联系方式：</w:t>
      </w:r>
      <w:bookmarkEnd w:id="18"/>
      <w:bookmarkEnd w:id="19"/>
      <w:bookmarkEnd w:id="20"/>
      <w:bookmarkEnd w:id="21"/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招商人：</w:t>
      </w:r>
      <w:r>
        <w:rPr>
          <w:rFonts w:hint="eastAsia" w:ascii="Calibri" w:hAnsi="宋体" w:eastAsia="宋体" w:cs="Times New Roman"/>
          <w:b/>
          <w:szCs w:val="21"/>
          <w:u w:val="single"/>
        </w:rPr>
        <w:t>湖北空港首广联合传媒有限公司</w:t>
      </w:r>
      <w:r>
        <w:rPr>
          <w:rFonts w:hint="eastAsia" w:ascii="宋体" w:hAnsi="宋体" w:eastAsia="宋体" w:cs="宋体"/>
          <w:szCs w:val="21"/>
        </w:rPr>
        <w:t xml:space="preserve">    代理机构：</w:t>
      </w:r>
      <w:r>
        <w:rPr>
          <w:rFonts w:hint="eastAsia" w:ascii="Calibri" w:hAnsi="宋体" w:eastAsia="宋体" w:cs="Times New Roman"/>
          <w:b/>
          <w:szCs w:val="21"/>
          <w:u w:val="single"/>
        </w:rPr>
        <w:t>湖北国华项目管理咨询有限公司</w:t>
      </w:r>
    </w:p>
    <w:p>
      <w:pPr>
        <w:spacing w:line="360" w:lineRule="auto"/>
        <w:rPr>
          <w:rFonts w:ascii="Calibri" w:hAnsi="宋体" w:eastAsia="宋体" w:cs="Times New Roman"/>
          <w:b/>
          <w:szCs w:val="21"/>
        </w:rPr>
      </w:pPr>
      <w:r>
        <w:rPr>
          <w:rFonts w:hint="eastAsia" w:ascii="宋体" w:hAnsi="宋体" w:eastAsia="宋体" w:cs="宋体"/>
          <w:szCs w:val="21"/>
        </w:rPr>
        <w:t>地  址：</w:t>
      </w:r>
      <w:r>
        <w:rPr>
          <w:rFonts w:hint="eastAsia" w:ascii="Calibri" w:hAnsi="宋体" w:eastAsia="宋体" w:cs="Times New Roman"/>
          <w:b/>
          <w:szCs w:val="21"/>
          <w:u w:val="single"/>
        </w:rPr>
        <w:t>武汉机场</w:t>
      </w:r>
      <w:r>
        <w:rPr>
          <w:rFonts w:hint="eastAsia" w:ascii="Calibri" w:hAnsi="宋体" w:eastAsia="宋体" w:cs="Times New Roman"/>
          <w:b/>
          <w:szCs w:val="21"/>
        </w:rPr>
        <w:t xml:space="preserve">                    </w:t>
      </w:r>
      <w:r>
        <w:rPr>
          <w:rFonts w:hint="eastAsia" w:ascii="宋体" w:hAnsi="宋体" w:eastAsia="宋体" w:cs="宋体"/>
          <w:szCs w:val="21"/>
        </w:rPr>
        <w:t>地 址：</w:t>
      </w:r>
      <w:r>
        <w:rPr>
          <w:rFonts w:hint="eastAsia" w:ascii="Calibri" w:hAnsi="宋体" w:eastAsia="宋体" w:cs="Times New Roman"/>
          <w:b/>
          <w:szCs w:val="21"/>
          <w:u w:val="single"/>
        </w:rPr>
        <w:t>武昌区中北路109号中铁1818中心10楼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邮    编：</w:t>
      </w:r>
      <w:r>
        <w:rPr>
          <w:rFonts w:hint="eastAsia" w:ascii="Calibri" w:hAnsi="宋体" w:eastAsia="宋体" w:cs="Times New Roman"/>
          <w:b/>
          <w:szCs w:val="21"/>
          <w:u w:val="single"/>
        </w:rPr>
        <w:t>430302</w:t>
      </w:r>
      <w:r>
        <w:rPr>
          <w:rFonts w:hint="eastAsia" w:ascii="宋体" w:hAnsi="宋体" w:eastAsia="宋体" w:cs="宋体"/>
          <w:szCs w:val="21"/>
        </w:rPr>
        <w:t xml:space="preserve">                        邮    编：</w:t>
      </w:r>
      <w:r>
        <w:rPr>
          <w:rFonts w:hint="eastAsia" w:ascii="Calibri" w:hAnsi="宋体" w:eastAsia="宋体" w:cs="Times New Roman"/>
          <w:b/>
          <w:szCs w:val="21"/>
          <w:u w:val="single"/>
        </w:rPr>
        <w:t>430071</w:t>
      </w:r>
    </w:p>
    <w:p>
      <w:pPr>
        <w:spacing w:line="360" w:lineRule="auto"/>
        <w:rPr>
          <w:rFonts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</w:rPr>
        <w:t>联 系 人：</w:t>
      </w:r>
      <w:r>
        <w:rPr>
          <w:rFonts w:hint="eastAsia" w:ascii="Calibri" w:hAnsi="宋体" w:eastAsia="宋体" w:cs="Times New Roman"/>
          <w:b/>
          <w:szCs w:val="21"/>
          <w:highlight w:val="none"/>
          <w:u w:val="single"/>
        </w:rPr>
        <w:t xml:space="preserve"> </w:t>
      </w:r>
      <w:r>
        <w:rPr>
          <w:rFonts w:hint="eastAsia" w:ascii="Calibri" w:hAnsi="宋体" w:cs="Times New Roman"/>
          <w:b/>
          <w:szCs w:val="21"/>
          <w:highlight w:val="none"/>
          <w:u w:val="single"/>
          <w:lang w:eastAsia="zh-CN"/>
        </w:rPr>
        <w:t>蔡浩</w:t>
      </w:r>
      <w:r>
        <w:rPr>
          <w:rFonts w:hint="eastAsia" w:ascii="Calibri" w:hAnsi="宋体" w:eastAsia="宋体" w:cs="Times New Roman"/>
          <w:b/>
          <w:szCs w:val="21"/>
          <w:highlight w:val="none"/>
          <w:u w:val="single"/>
        </w:rPr>
        <w:t xml:space="preserve">  </w:t>
      </w:r>
      <w:r>
        <w:rPr>
          <w:rFonts w:hint="eastAsia" w:ascii="Calibri" w:hAnsi="宋体" w:eastAsia="宋体" w:cs="Times New Roman"/>
          <w:b/>
          <w:szCs w:val="21"/>
          <w:highlight w:val="none"/>
        </w:rPr>
        <w:t xml:space="preserve">      </w:t>
      </w:r>
      <w:r>
        <w:rPr>
          <w:rFonts w:hint="eastAsia" w:ascii="宋体" w:hAnsi="宋体" w:eastAsia="宋体" w:cs="宋体"/>
          <w:szCs w:val="21"/>
          <w:highlight w:val="none"/>
        </w:rPr>
        <w:t xml:space="preserve">                联 系 人：</w:t>
      </w:r>
      <w:r>
        <w:rPr>
          <w:rFonts w:hint="eastAsia" w:ascii="Calibri" w:hAnsi="宋体" w:eastAsia="宋体" w:cs="Times New Roman"/>
          <w:b/>
          <w:szCs w:val="21"/>
          <w:highlight w:val="none"/>
          <w:u w:val="single"/>
        </w:rPr>
        <w:t>李贝</w:t>
      </w:r>
      <w:r>
        <w:rPr>
          <w:rFonts w:hint="eastAsia" w:ascii="宋体" w:hAnsi="宋体" w:eastAsia="宋体" w:cs="宋体"/>
          <w:szCs w:val="21"/>
          <w:highlight w:val="none"/>
        </w:rPr>
        <w:t xml:space="preserve">  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highlight w:val="none"/>
        </w:rPr>
        <w:t>电    话：</w:t>
      </w:r>
      <w:r>
        <w:rPr>
          <w:rFonts w:hint="eastAsia" w:ascii="Calibri" w:hAnsi="宋体" w:eastAsia="宋体" w:cs="Times New Roman"/>
          <w:b/>
          <w:szCs w:val="21"/>
          <w:highlight w:val="none"/>
          <w:u w:val="single"/>
        </w:rPr>
        <w:t>027-85819672</w:t>
      </w:r>
      <w:r>
        <w:rPr>
          <w:rFonts w:hint="eastAsia" w:ascii="Calibri" w:hAnsi="宋体" w:eastAsia="宋体" w:cs="Times New Roman"/>
          <w:b/>
          <w:szCs w:val="21"/>
          <w:highlight w:val="none"/>
        </w:rPr>
        <w:t xml:space="preserve">   </w:t>
      </w:r>
      <w:r>
        <w:rPr>
          <w:rFonts w:hint="eastAsia" w:ascii="Calibri" w:hAnsi="宋体" w:eastAsia="宋体" w:cs="Times New Roman"/>
          <w:b/>
          <w:szCs w:val="21"/>
        </w:rPr>
        <w:t xml:space="preserve">         </w:t>
      </w:r>
      <w:r>
        <w:rPr>
          <w:rFonts w:hint="eastAsia" w:ascii="宋体" w:hAnsi="宋体" w:eastAsia="宋体" w:cs="宋体"/>
          <w:szCs w:val="21"/>
        </w:rPr>
        <w:t xml:space="preserve">    电    话：</w:t>
      </w:r>
      <w:r>
        <w:rPr>
          <w:rFonts w:hint="eastAsia" w:ascii="Calibri" w:hAnsi="宋体" w:eastAsia="宋体" w:cs="Times New Roman"/>
          <w:b/>
          <w:szCs w:val="21"/>
          <w:u w:val="single"/>
        </w:rPr>
        <w:t>027-87272701</w:t>
      </w:r>
      <w:r>
        <w:rPr>
          <w:rFonts w:hint="eastAsia" w:ascii="宋体" w:hAnsi="宋体" w:eastAsia="宋体" w:cs="宋体"/>
          <w:szCs w:val="21"/>
        </w:rPr>
        <w:t xml:space="preserve">  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传    真：  </w:t>
      </w:r>
      <w:r>
        <w:rPr>
          <w:rFonts w:hint="eastAsia" w:ascii="Calibri" w:hAnsi="宋体" w:eastAsia="宋体" w:cs="Times New Roman"/>
          <w:b/>
          <w:szCs w:val="21"/>
        </w:rPr>
        <w:t xml:space="preserve">/  </w:t>
      </w:r>
      <w:r>
        <w:rPr>
          <w:rFonts w:hint="eastAsia" w:ascii="宋体" w:hAnsi="宋体" w:eastAsia="宋体" w:cs="宋体"/>
          <w:szCs w:val="21"/>
        </w:rPr>
        <w:t xml:space="preserve">                        传    真：</w:t>
      </w:r>
      <w:r>
        <w:rPr>
          <w:rFonts w:hint="eastAsia" w:ascii="Calibri" w:hAnsi="宋体" w:eastAsia="宋体" w:cs="Times New Roman"/>
          <w:b/>
          <w:szCs w:val="21"/>
        </w:rPr>
        <w:t>/</w:t>
      </w:r>
    </w:p>
    <w:p>
      <w:pPr>
        <w:spacing w:line="360" w:lineRule="auto"/>
        <w:rPr>
          <w:rFonts w:ascii="Calibri" w:hAnsi="宋体" w:eastAsia="宋体" w:cs="Times New Roman"/>
          <w:b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电子邮件：  /                          电子邮件：</w:t>
      </w:r>
      <w:r>
        <w:rPr>
          <w:rFonts w:hint="eastAsia" w:ascii="Calibri" w:hAnsi="宋体" w:eastAsia="宋体" w:cs="Times New Roman"/>
          <w:b/>
          <w:szCs w:val="21"/>
          <w:u w:val="single"/>
        </w:rPr>
        <w:t>/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网    址：  /                          网    址：/ 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开户银行：  /                          开户银行：/</w:t>
      </w:r>
    </w:p>
    <w:p>
      <w:pPr>
        <w:tabs>
          <w:tab w:val="left" w:pos="540"/>
          <w:tab w:val="left" w:pos="840"/>
        </w:tabs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账    号：  /                          账    号：/</w:t>
      </w:r>
    </w:p>
    <w:bookmarkEnd w:id="22"/>
    <w:p>
      <w:pPr>
        <w:tabs>
          <w:tab w:val="left" w:pos="540"/>
          <w:tab w:val="left" w:pos="840"/>
        </w:tabs>
        <w:spacing w:line="360" w:lineRule="auto"/>
        <w:outlineLvl w:val="1"/>
        <w:rPr>
          <w:rFonts w:ascii="宋体" w:hAnsi="宋体" w:eastAsia="宋体" w:cs="宋体"/>
          <w:b/>
          <w:szCs w:val="21"/>
        </w:rPr>
      </w:pPr>
      <w:bookmarkStart w:id="23" w:name="_Toc12626"/>
      <w:bookmarkStart w:id="24" w:name="_Toc12422"/>
      <w:r>
        <w:rPr>
          <w:rFonts w:hint="eastAsia" w:ascii="宋体" w:hAnsi="宋体" w:eastAsia="宋体" w:cs="宋体"/>
          <w:b/>
          <w:szCs w:val="21"/>
        </w:rPr>
        <w:t>八、信息发布媒体</w:t>
      </w:r>
      <w:bookmarkEnd w:id="23"/>
      <w:bookmarkEnd w:id="24"/>
    </w:p>
    <w:p>
      <w:pPr>
        <w:spacing w:line="360" w:lineRule="auto"/>
        <w:jc w:val="left"/>
        <w:rPr>
          <w:rFonts w:ascii="宋体" w:hAnsi="宋体" w:eastAsia="宋体" w:cs="宋体"/>
          <w:bCs/>
          <w:szCs w:val="21"/>
        </w:rPr>
      </w:pPr>
      <w:r>
        <w:rPr>
          <w:rFonts w:hint="eastAsia" w:ascii="Times New Roman" w:hAnsi="宋体" w:eastAsia="宋体" w:cs="Times New Roman"/>
          <w:b/>
          <w:szCs w:val="21"/>
          <w:u w:val="single"/>
        </w:rPr>
        <w:t>《湖北机场集团有限公司内外网》、《湖北国华项目管理咨询有限公司网站》、《中国招标投标公共服务平台》</w:t>
      </w:r>
    </w:p>
    <w:p>
      <w:pPr>
        <w:spacing w:line="360" w:lineRule="auto"/>
        <w:jc w:val="right"/>
        <w:rPr>
          <w:rFonts w:ascii="Times New Roman" w:hAnsi="宋体" w:eastAsia="宋体" w:cs="Times New Roman"/>
          <w:b/>
          <w:szCs w:val="21"/>
          <w:u w:val="single"/>
        </w:rPr>
      </w:pPr>
      <w:r>
        <w:rPr>
          <w:rFonts w:hint="eastAsia" w:ascii="Times New Roman" w:hAnsi="宋体" w:eastAsia="宋体" w:cs="Times New Roman"/>
          <w:b/>
          <w:szCs w:val="21"/>
          <w:u w:val="single"/>
        </w:rPr>
        <w:t>湖北国华项目管理咨询有限公司</w:t>
      </w:r>
    </w:p>
    <w:p>
      <w:pPr>
        <w:jc w:val="right"/>
        <w:rPr>
          <w:highlight w:val="none"/>
        </w:rPr>
      </w:pP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  <w:t>2024年</w:t>
      </w:r>
      <w:r>
        <w:rPr>
          <w:rFonts w:hint="eastAsia" w:hAnsi="宋体" w:cs="Times New Roman"/>
          <w:b/>
          <w:szCs w:val="21"/>
          <w:highlight w:val="none"/>
          <w:u w:val="single"/>
          <w:lang w:val="en-US" w:eastAsia="zh-CN"/>
        </w:rPr>
        <w:t>09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  <w:t>月</w:t>
      </w:r>
      <w:r>
        <w:rPr>
          <w:rFonts w:hint="eastAsia" w:hAnsi="宋体" w:cs="Times New Roman"/>
          <w:b/>
          <w:szCs w:val="21"/>
          <w:highlight w:val="none"/>
          <w:u w:val="single"/>
          <w:lang w:val="en-US" w:eastAsia="zh-CN"/>
        </w:rPr>
        <w:t>06</w:t>
      </w:r>
      <w:r>
        <w:rPr>
          <w:rFonts w:hint="eastAsia" w:ascii="Times New Roman" w:hAnsi="宋体" w:eastAsia="宋体" w:cs="Times New Roman"/>
          <w:b/>
          <w:szCs w:val="21"/>
          <w:highlight w:val="none"/>
          <w:u w:val="singl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MzkzMTkxNTI5YmZlYTJlMTliM2M1NTY5YmIxNDAifQ=="/>
    <w:docVar w:name="KSO_WPS_MARK_KEY" w:val="54fd0a95-e047-47de-a91c-41132651eac3"/>
  </w:docVars>
  <w:rsids>
    <w:rsidRoot w:val="00D319B1"/>
    <w:rsid w:val="00D319B1"/>
    <w:rsid w:val="6B02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1823</Words>
  <Characters>2162</Characters>
  <Lines>0</Lines>
  <Paragraphs>0</Paragraphs>
  <TotalTime>0</TotalTime>
  <ScaleCrop>false</ScaleCrop>
  <LinksUpToDate>false</LinksUpToDate>
  <CharactersWithSpaces>2445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2024-09-06T02:34:00Z</dcterms:created>
  <dc:creator>WuYa</dc:creator>
  <cp:lastModifiedBy>杜康</cp:lastModifiedBy>
  <dcterms:modified xsi:type="dcterms:W3CDTF">2024-09-06T07:16:02Z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3653E038B2F04E4188E0A831EBA11ACB_11</vt:lpwstr>
  </property>
</Properties>
</file>