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武汉天河机场2024年T3航站楼到期媒体招商项目（第二次）</w:t>
      </w:r>
    </w:p>
    <w:p>
      <w:pPr>
        <w:jc w:val="center"/>
        <w:rPr>
          <w:rFonts w:hint="eastAsia"/>
          <w:b/>
          <w:bCs/>
          <w:sz w:val="30"/>
          <w:szCs w:val="30"/>
        </w:rPr>
      </w:pPr>
      <w:r>
        <w:rPr>
          <w:rFonts w:hint="eastAsia"/>
          <w:b/>
          <w:bCs/>
          <w:sz w:val="30"/>
          <w:szCs w:val="30"/>
        </w:rPr>
        <w:t>招商公告</w:t>
      </w:r>
    </w:p>
    <w:p>
      <w:pPr>
        <w:spacing w:line="360" w:lineRule="auto"/>
        <w:ind w:firstLine="435"/>
        <w:rPr>
          <w:rFonts w:hint="eastAsia" w:ascii="宋体" w:hAnsi="宋体" w:cs="宋体"/>
          <w:color w:val="auto"/>
          <w:szCs w:val="21"/>
        </w:rPr>
      </w:pPr>
      <w:r>
        <w:rPr>
          <w:rFonts w:hint="eastAsia" w:ascii="宋体" w:hAnsi="宋体" w:cs="宋体"/>
          <w:szCs w:val="21"/>
        </w:rPr>
        <w:t>湖北省成套招标股份有</w:t>
      </w:r>
      <w:r>
        <w:rPr>
          <w:rFonts w:hint="eastAsia" w:ascii="宋体" w:hAnsi="宋体" w:cs="宋体"/>
          <w:color w:val="auto"/>
          <w:szCs w:val="21"/>
        </w:rPr>
        <w:t>限公司（以下简称“招商代理机构”） 受</w:t>
      </w:r>
      <w:r>
        <w:rPr>
          <w:rFonts w:hint="eastAsia" w:ascii="Calibri" w:hAnsi="宋体"/>
          <w:b/>
          <w:color w:val="auto"/>
          <w:szCs w:val="21"/>
          <w:u w:val="single"/>
        </w:rPr>
        <w:t>湖北空港首广联合传媒有限公司</w:t>
      </w:r>
      <w:r>
        <w:rPr>
          <w:rFonts w:hint="eastAsia" w:ascii="宋体" w:hAnsi="宋体" w:cs="宋体"/>
          <w:color w:val="auto"/>
          <w:szCs w:val="21"/>
        </w:rPr>
        <w:t>（以下简称“招商人”）的委托，对</w:t>
      </w:r>
      <w:r>
        <w:rPr>
          <w:rFonts w:hint="eastAsia" w:ascii="Calibri" w:hAnsi="宋体"/>
          <w:b/>
          <w:color w:val="auto"/>
          <w:szCs w:val="21"/>
          <w:u w:val="single"/>
        </w:rPr>
        <w:t>武汉天河机场2024年T3航站楼到期媒体招商项目</w:t>
      </w:r>
      <w:r>
        <w:rPr>
          <w:rFonts w:hint="eastAsia" w:ascii="Calibri" w:hAnsi="宋体"/>
          <w:b/>
          <w:color w:val="auto"/>
          <w:szCs w:val="21"/>
          <w:u w:val="single"/>
          <w:lang w:eastAsia="zh-CN"/>
        </w:rPr>
        <w:t>（</w:t>
      </w:r>
      <w:r>
        <w:rPr>
          <w:rFonts w:hint="eastAsia" w:ascii="Calibri" w:hAnsi="宋体"/>
          <w:b/>
          <w:color w:val="auto"/>
          <w:szCs w:val="21"/>
          <w:u w:val="single"/>
          <w:lang w:val="en-US" w:eastAsia="zh-CN"/>
        </w:rPr>
        <w:t>第二次</w:t>
      </w:r>
      <w:r>
        <w:rPr>
          <w:rFonts w:hint="eastAsia" w:ascii="Calibri" w:hAnsi="宋体"/>
          <w:b/>
          <w:color w:val="auto"/>
          <w:szCs w:val="21"/>
          <w:u w:val="single"/>
          <w:lang w:eastAsia="zh-CN"/>
        </w:rPr>
        <w:t>）</w:t>
      </w:r>
      <w:r>
        <w:rPr>
          <w:rFonts w:hint="eastAsia" w:ascii="宋体" w:hAnsi="宋体" w:cs="宋体"/>
          <w:color w:val="auto"/>
          <w:szCs w:val="21"/>
        </w:rPr>
        <w:t>进行招商。资金来源：</w:t>
      </w:r>
      <w:r>
        <w:rPr>
          <w:rFonts w:hint="eastAsia" w:ascii="Calibri" w:hAnsi="宋体"/>
          <w:b/>
          <w:color w:val="auto"/>
          <w:szCs w:val="21"/>
          <w:u w:val="single"/>
        </w:rPr>
        <w:t>招商响应人自筹</w:t>
      </w:r>
      <w:r>
        <w:rPr>
          <w:rFonts w:hint="eastAsia" w:ascii="宋体" w:hAnsi="宋体" w:cs="宋体"/>
          <w:color w:val="auto"/>
          <w:szCs w:val="21"/>
        </w:rPr>
        <w:t>。欢迎符合资格条件的招商响应人参加磋商。</w:t>
      </w:r>
    </w:p>
    <w:p>
      <w:pPr>
        <w:spacing w:before="120" w:beforeLines="50" w:after="120" w:afterLines="50" w:line="360" w:lineRule="auto"/>
        <w:outlineLvl w:val="1"/>
        <w:rPr>
          <w:rFonts w:hint="eastAsia" w:ascii="宋体" w:hAnsi="宋体" w:cs="宋体"/>
          <w:b/>
          <w:color w:val="auto"/>
          <w:szCs w:val="21"/>
        </w:rPr>
      </w:pPr>
      <w:bookmarkStart w:id="0" w:name="_Toc365302267"/>
      <w:bookmarkStart w:id="1" w:name="_Toc380747815"/>
      <w:bookmarkStart w:id="2" w:name="_Toc6581"/>
      <w:bookmarkStart w:id="3" w:name="_Toc531"/>
      <w:bookmarkStart w:id="4" w:name="_Toc9016"/>
      <w:bookmarkStart w:id="5" w:name="_Toc7421"/>
      <w:bookmarkStart w:id="6" w:name="_Toc11765"/>
      <w:r>
        <w:rPr>
          <w:rFonts w:hint="eastAsia" w:ascii="宋体" w:hAnsi="宋体" w:cs="宋体"/>
          <w:b/>
          <w:color w:val="auto"/>
          <w:szCs w:val="21"/>
        </w:rPr>
        <w:t>一、项目</w:t>
      </w:r>
      <w:bookmarkEnd w:id="0"/>
      <w:bookmarkEnd w:id="1"/>
      <w:bookmarkEnd w:id="2"/>
      <w:r>
        <w:rPr>
          <w:rFonts w:hint="eastAsia" w:ascii="宋体" w:hAnsi="宋体" w:cs="宋体"/>
          <w:b/>
          <w:color w:val="auto"/>
          <w:szCs w:val="21"/>
        </w:rPr>
        <w:t>概况</w:t>
      </w:r>
      <w:bookmarkEnd w:id="3"/>
      <w:bookmarkEnd w:id="4"/>
      <w:bookmarkEnd w:id="5"/>
      <w:bookmarkEnd w:id="6"/>
    </w:p>
    <w:p>
      <w:pPr>
        <w:spacing w:line="360" w:lineRule="auto"/>
        <w:rPr>
          <w:rFonts w:hint="eastAsia" w:ascii="宋体" w:hAnsi="宋体" w:cs="宋体"/>
          <w:color w:val="auto"/>
          <w:szCs w:val="21"/>
        </w:rPr>
      </w:pPr>
      <w:r>
        <w:rPr>
          <w:rFonts w:hint="eastAsia" w:ascii="宋体" w:hAnsi="宋体" w:cs="宋体"/>
          <w:color w:val="auto"/>
          <w:szCs w:val="21"/>
        </w:rPr>
        <w:t>1.招商人：</w:t>
      </w:r>
      <w:r>
        <w:rPr>
          <w:rFonts w:hint="eastAsia" w:ascii="Calibri" w:hAnsi="宋体"/>
          <w:b/>
          <w:color w:val="auto"/>
          <w:szCs w:val="21"/>
          <w:u w:val="single"/>
        </w:rPr>
        <w:t>湖北空港首广联合传媒有限公司</w:t>
      </w:r>
    </w:p>
    <w:p>
      <w:pPr>
        <w:spacing w:line="360" w:lineRule="auto"/>
        <w:rPr>
          <w:rFonts w:hint="eastAsia" w:ascii="宋体" w:hAnsi="宋体" w:eastAsia="宋体" w:cs="宋体"/>
          <w:b/>
          <w:color w:val="auto"/>
          <w:szCs w:val="21"/>
          <w:u w:val="single"/>
          <w:lang w:val="en-US" w:eastAsia="zh-CN"/>
        </w:rPr>
      </w:pPr>
      <w:r>
        <w:rPr>
          <w:rFonts w:hint="eastAsia" w:ascii="宋体" w:hAnsi="宋体" w:cs="宋体"/>
          <w:color w:val="auto"/>
          <w:szCs w:val="21"/>
        </w:rPr>
        <w:t>2.项目名称：</w:t>
      </w:r>
      <w:r>
        <w:rPr>
          <w:rFonts w:hint="eastAsia" w:ascii="Calibri" w:hAnsi="宋体"/>
          <w:b/>
          <w:color w:val="auto"/>
          <w:szCs w:val="21"/>
          <w:u w:val="single"/>
        </w:rPr>
        <w:t>武汉天河机场2024年T3航站楼到期媒体招商项目</w:t>
      </w:r>
      <w:r>
        <w:rPr>
          <w:rFonts w:hint="eastAsia" w:ascii="Calibri" w:hAnsi="宋体"/>
          <w:b/>
          <w:color w:val="auto"/>
          <w:szCs w:val="21"/>
          <w:u w:val="single"/>
          <w:lang w:eastAsia="zh-CN"/>
        </w:rPr>
        <w:t>（</w:t>
      </w:r>
      <w:r>
        <w:rPr>
          <w:rFonts w:hint="eastAsia" w:ascii="Calibri" w:hAnsi="宋体"/>
          <w:b/>
          <w:color w:val="auto"/>
          <w:szCs w:val="21"/>
          <w:u w:val="single"/>
          <w:lang w:val="en-US" w:eastAsia="zh-CN"/>
        </w:rPr>
        <w:t>第二次</w:t>
      </w:r>
      <w:r>
        <w:rPr>
          <w:rFonts w:hint="eastAsia" w:ascii="Calibri" w:hAnsi="宋体"/>
          <w:b/>
          <w:color w:val="auto"/>
          <w:szCs w:val="21"/>
          <w:u w:val="single"/>
          <w:lang w:eastAsia="zh-CN"/>
        </w:rPr>
        <w:t>）</w:t>
      </w:r>
    </w:p>
    <w:p>
      <w:pPr>
        <w:spacing w:line="360" w:lineRule="auto"/>
        <w:rPr>
          <w:rFonts w:ascii="宋体" w:hAnsi="宋体" w:cs="宋体"/>
          <w:color w:val="auto"/>
          <w:szCs w:val="21"/>
        </w:rPr>
      </w:pPr>
      <w:r>
        <w:rPr>
          <w:rFonts w:hint="eastAsia" w:ascii="宋体" w:hAnsi="宋体" w:cs="宋体"/>
          <w:color w:val="auto"/>
          <w:szCs w:val="21"/>
        </w:rPr>
        <w:t>3.项目编号：</w:t>
      </w:r>
      <w:r>
        <w:rPr>
          <w:rFonts w:hint="eastAsia" w:ascii="宋体" w:hAnsi="宋体" w:cs="宋体"/>
          <w:b/>
          <w:color w:val="auto"/>
          <w:szCs w:val="21"/>
          <w:u w:val="single"/>
        </w:rPr>
        <w:t xml:space="preserve">HBCZ-2306021134-242223 </w:t>
      </w:r>
    </w:p>
    <w:p>
      <w:pPr>
        <w:spacing w:line="360" w:lineRule="auto"/>
        <w:rPr>
          <w:rFonts w:hint="eastAsia" w:ascii="宋体" w:hAnsi="宋体" w:cs="宋体"/>
          <w:b/>
          <w:color w:val="auto"/>
          <w:szCs w:val="21"/>
          <w:u w:val="single"/>
        </w:rPr>
      </w:pPr>
      <w:r>
        <w:rPr>
          <w:rFonts w:hint="eastAsia" w:ascii="宋体" w:hAnsi="宋体" w:cs="宋体"/>
          <w:color w:val="auto"/>
          <w:szCs w:val="21"/>
        </w:rPr>
        <w:t>4.招商内容：</w:t>
      </w:r>
      <w:r>
        <w:rPr>
          <w:rFonts w:hint="eastAsia" w:ascii="宋体" w:hAnsi="宋体" w:cs="宋体"/>
          <w:b/>
          <w:color w:val="auto"/>
          <w:szCs w:val="21"/>
          <w:u w:val="single"/>
        </w:rPr>
        <w:t>本项目共分3个标段，具体内容如下：</w:t>
      </w:r>
    </w:p>
    <w:tbl>
      <w:tblPr>
        <w:tblStyle w:val="3"/>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51"/>
        <w:gridCol w:w="1600"/>
        <w:gridCol w:w="1350"/>
        <w:gridCol w:w="1967"/>
        <w:gridCol w:w="731"/>
        <w:gridCol w:w="15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56" w:type="dxa"/>
            <w:noWrap w:val="0"/>
            <w:vAlign w:val="center"/>
          </w:tcPr>
          <w:p>
            <w:pPr>
              <w:widowControl/>
              <w:jc w:val="center"/>
              <w:rPr>
                <w:rFonts w:ascii="宋体" w:hAnsi="宋体" w:cs="宋体"/>
                <w:b/>
                <w:bCs/>
                <w:color w:val="auto"/>
                <w:kern w:val="0"/>
                <w:szCs w:val="21"/>
              </w:rPr>
            </w:pPr>
            <w:bookmarkStart w:id="7" w:name="_Toc30896"/>
            <w:bookmarkStart w:id="8" w:name="_Toc17887"/>
            <w:bookmarkStart w:id="9" w:name="_Toc26049"/>
            <w:bookmarkStart w:id="10" w:name="_Toc458503196"/>
            <w:bookmarkStart w:id="11" w:name="_Toc27593"/>
            <w:bookmarkStart w:id="12" w:name="_Toc23246"/>
            <w:bookmarkStart w:id="13" w:name="_Toc25557"/>
            <w:r>
              <w:rPr>
                <w:rFonts w:hint="eastAsia" w:ascii="宋体" w:hAnsi="宋体" w:cs="宋体"/>
                <w:b/>
                <w:bCs/>
                <w:color w:val="auto"/>
                <w:kern w:val="0"/>
                <w:szCs w:val="21"/>
              </w:rPr>
              <w:t>标段</w:t>
            </w:r>
          </w:p>
        </w:tc>
        <w:tc>
          <w:tcPr>
            <w:tcW w:w="1151" w:type="dxa"/>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楼层</w:t>
            </w:r>
          </w:p>
        </w:tc>
        <w:tc>
          <w:tcPr>
            <w:tcW w:w="160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媒体区域</w:t>
            </w:r>
          </w:p>
        </w:tc>
        <w:tc>
          <w:tcPr>
            <w:tcW w:w="1350"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媒体类型</w:t>
            </w:r>
          </w:p>
        </w:tc>
        <w:tc>
          <w:tcPr>
            <w:tcW w:w="1967"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媒体编号</w:t>
            </w:r>
          </w:p>
        </w:tc>
        <w:tc>
          <w:tcPr>
            <w:tcW w:w="731"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媒体数量</w:t>
            </w:r>
          </w:p>
        </w:tc>
        <w:tc>
          <w:tcPr>
            <w:tcW w:w="1516" w:type="dxa"/>
            <w:noWrap w:val="0"/>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rPr>
              <w:t>媒体规格（宽M*高M）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西一指廊口</w:t>
            </w:r>
          </w:p>
        </w:tc>
        <w:tc>
          <w:tcPr>
            <w:tcW w:w="1350" w:type="dxa"/>
            <w:vMerge w:val="restar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LED</w:t>
            </w:r>
          </w:p>
        </w:tc>
        <w:tc>
          <w:tcPr>
            <w:tcW w:w="1967"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HBWUH-32N-L013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4</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西二指廊口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东一指廊口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HBWUH-32N-L015</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东二指廊口</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HBWUH-32N-L016</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7.5×2.75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2</w:t>
            </w:r>
          </w:p>
        </w:tc>
        <w:tc>
          <w:tcPr>
            <w:tcW w:w="1151" w:type="dxa"/>
            <w:vMerge w:val="restart"/>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国际到达A区西侧</w:t>
            </w:r>
          </w:p>
        </w:tc>
        <w:tc>
          <w:tcPr>
            <w:tcW w:w="1350" w:type="dxa"/>
            <w:vMerge w:val="restart"/>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隔断灯箱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HBWUH-33J-D003</w:t>
            </w:r>
          </w:p>
        </w:tc>
        <w:tc>
          <w:tcPr>
            <w:tcW w:w="731" w:type="dxa"/>
            <w:vMerge w:val="restart"/>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9.39×3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vMerge w:val="continue"/>
            <w:noWrap w:val="0"/>
            <w:vAlign w:val="center"/>
          </w:tcPr>
          <w:p>
            <w:pPr>
              <w:widowControl/>
              <w:jc w:val="center"/>
              <w:rPr>
                <w:rFonts w:hint="eastAsia" w:hAnsi="宋体"/>
                <w:color w:val="auto"/>
                <w:szCs w:val="21"/>
              </w:rPr>
            </w:pP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国际到达B区东侧</w:t>
            </w:r>
          </w:p>
        </w:tc>
        <w:tc>
          <w:tcPr>
            <w:tcW w:w="1350" w:type="dxa"/>
            <w:vMerge w:val="continue"/>
            <w:noWrap w:val="0"/>
            <w:vAlign w:val="center"/>
          </w:tcPr>
          <w:p>
            <w:pPr>
              <w:widowControl/>
              <w:jc w:val="center"/>
              <w:textAlignment w:val="center"/>
              <w:rPr>
                <w:rFonts w:hint="eastAsia" w:ascii="宋体" w:hAnsi="宋体" w:cs="宋体"/>
                <w:color w:val="auto"/>
                <w:kern w:val="0"/>
                <w:szCs w:val="21"/>
                <w:lang w:bidi="ar"/>
              </w:rPr>
            </w:pP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HBWUH-33J-D004</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9.28×3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vMerge w:val="continue"/>
            <w:noWrap w:val="0"/>
            <w:vAlign w:val="center"/>
          </w:tcPr>
          <w:p>
            <w:pPr>
              <w:widowControl/>
              <w:jc w:val="center"/>
              <w:rPr>
                <w:rFonts w:hint="eastAsia" w:ascii="宋体" w:hAnsi="宋体" w:cs="宋体"/>
                <w:color w:val="auto"/>
                <w:kern w:val="0"/>
                <w:szCs w:val="21"/>
              </w:rPr>
            </w:pP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东连廊国航VIP室顶部</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站立式灯箱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HBWUH-32N-D062</w:t>
            </w:r>
          </w:p>
        </w:tc>
        <w:tc>
          <w:tcPr>
            <w:tcW w:w="731" w:type="dxa"/>
            <w:vMerge w:val="continue"/>
            <w:noWrap w:val="0"/>
            <w:vAlign w:val="center"/>
          </w:tcPr>
          <w:p>
            <w:pPr>
              <w:widowControl/>
              <w:jc w:val="center"/>
              <w:rPr>
                <w:rFonts w:ascii="宋体" w:hAnsi="宋体" w:cs="宋体"/>
                <w:color w:val="auto"/>
                <w:kern w:val="0"/>
                <w:szCs w:val="21"/>
              </w:rPr>
            </w:pP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6"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1151" w:type="dxa"/>
            <w:noWrap w:val="0"/>
            <w:vAlign w:val="center"/>
          </w:tcPr>
          <w:p>
            <w:pPr>
              <w:widowControl/>
              <w:jc w:val="center"/>
              <w:rPr>
                <w:rFonts w:hint="eastAsia" w:hAnsi="宋体"/>
                <w:color w:val="auto"/>
                <w:szCs w:val="21"/>
              </w:rPr>
            </w:pPr>
            <w:r>
              <w:rPr>
                <w:rFonts w:hint="eastAsia" w:hAnsi="宋体"/>
                <w:color w:val="auto"/>
                <w:szCs w:val="21"/>
              </w:rPr>
              <w:t>T3二层</w:t>
            </w:r>
          </w:p>
        </w:tc>
        <w:tc>
          <w:tcPr>
            <w:tcW w:w="1600"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东连廊指廊灯箱</w:t>
            </w:r>
          </w:p>
        </w:tc>
        <w:tc>
          <w:tcPr>
            <w:tcW w:w="1350"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墙体灯箱</w:t>
            </w:r>
          </w:p>
        </w:tc>
        <w:tc>
          <w:tcPr>
            <w:tcW w:w="1967" w:type="dxa"/>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HBWUH-32N-D034</w:t>
            </w:r>
          </w:p>
        </w:tc>
        <w:tc>
          <w:tcPr>
            <w:tcW w:w="73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1516" w:type="dxa"/>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lang w:bidi="ar"/>
              </w:rPr>
              <w:t>7×2.7</w:t>
            </w:r>
          </w:p>
        </w:tc>
      </w:tr>
    </w:tbl>
    <w:p>
      <w:pPr>
        <w:spacing w:line="360" w:lineRule="auto"/>
        <w:ind w:firstLine="420" w:firstLineChars="200"/>
        <w:rPr>
          <w:rFonts w:hint="eastAsia"/>
          <w:color w:val="auto"/>
          <w:kern w:val="0"/>
          <w:szCs w:val="21"/>
        </w:rPr>
      </w:pPr>
      <w:r>
        <w:rPr>
          <w:rFonts w:hint="eastAsia"/>
          <w:color w:val="auto"/>
          <w:kern w:val="0"/>
          <w:szCs w:val="21"/>
        </w:rPr>
        <w:t>5.合同期限：以合同签订之日起算12个月（含）-36个月（含）。</w:t>
      </w:r>
    </w:p>
    <w:p>
      <w:pPr>
        <w:pStyle w:val="2"/>
        <w:adjustRightInd/>
        <w:spacing w:line="360" w:lineRule="auto"/>
        <w:ind w:firstLine="422" w:firstLineChars="200"/>
        <w:jc w:val="left"/>
        <w:textAlignment w:val="auto"/>
        <w:rPr>
          <w:rFonts w:ascii="Times New Roman"/>
          <w:b/>
          <w:bCs/>
          <w:color w:val="auto"/>
        </w:rPr>
      </w:pPr>
      <w:r>
        <w:rPr>
          <w:rFonts w:hint="eastAsia" w:hAnsi="宋体" w:cs="宋体"/>
          <w:b/>
          <w:bCs/>
          <w:color w:val="auto"/>
          <w:sz w:val="21"/>
          <w:szCs w:val="21"/>
        </w:rPr>
        <w:t>注：多标段响应规定：本次招商共分3个标段，招商响应人可以每个标段均投，也可以只投其中1个标段，本项目允许多投多中，参与多个标段竞标的响应人可提供1套响应文件，根据参与的标段提供报价。</w:t>
      </w:r>
    </w:p>
    <w:p>
      <w:pPr>
        <w:autoSpaceDE w:val="0"/>
        <w:autoSpaceDN w:val="0"/>
        <w:spacing w:line="360" w:lineRule="auto"/>
        <w:ind w:left="632" w:hanging="632" w:hangingChars="300"/>
        <w:outlineLvl w:val="1"/>
        <w:rPr>
          <w:rFonts w:hint="eastAsia" w:ascii="宋体" w:hAnsi="宋体" w:cs="宋体"/>
          <w:b/>
          <w:bCs/>
          <w:color w:val="auto"/>
          <w:kern w:val="0"/>
          <w:szCs w:val="21"/>
        </w:rPr>
      </w:pPr>
      <w:bookmarkStart w:id="14" w:name="_Toc5995"/>
      <w:bookmarkStart w:id="15" w:name="_Toc25570"/>
      <w:r>
        <w:rPr>
          <w:rFonts w:hint="eastAsia" w:ascii="宋体" w:hAnsi="宋体" w:cs="宋体"/>
          <w:b/>
          <w:bCs/>
          <w:color w:val="auto"/>
          <w:kern w:val="0"/>
          <w:szCs w:val="21"/>
        </w:rPr>
        <w:t>二、各标段响应资格及要求：</w:t>
      </w:r>
      <w:bookmarkEnd w:id="7"/>
      <w:bookmarkEnd w:id="8"/>
      <w:bookmarkEnd w:id="9"/>
      <w:bookmarkEnd w:id="10"/>
      <w:bookmarkEnd w:id="11"/>
      <w:bookmarkEnd w:id="12"/>
      <w:bookmarkEnd w:id="13"/>
      <w:bookmarkEnd w:id="14"/>
      <w:bookmarkEnd w:id="15"/>
    </w:p>
    <w:p>
      <w:pPr>
        <w:tabs>
          <w:tab w:val="left" w:pos="540"/>
          <w:tab w:val="left" w:pos="840"/>
        </w:tabs>
        <w:spacing w:line="360" w:lineRule="auto"/>
        <w:ind w:firstLine="420" w:firstLineChars="200"/>
        <w:outlineLvl w:val="1"/>
        <w:rPr>
          <w:rFonts w:hint="eastAsia" w:ascii="宋体" w:hAnsi="宋体" w:cs="宋体"/>
          <w:color w:val="auto"/>
          <w:szCs w:val="21"/>
        </w:rPr>
      </w:pPr>
      <w:bookmarkStart w:id="16" w:name="_Toc18692"/>
      <w:bookmarkStart w:id="17" w:name="_Toc14186"/>
      <w:bookmarkStart w:id="18" w:name="_Toc1453"/>
      <w:bookmarkStart w:id="19" w:name="_Toc97300607"/>
      <w:bookmarkStart w:id="20" w:name="_Toc16423"/>
      <w:bookmarkStart w:id="21" w:name="_Toc20043"/>
      <w:bookmarkStart w:id="22" w:name="_Toc28975"/>
      <w:bookmarkStart w:id="23" w:name="_Toc624"/>
      <w:bookmarkStart w:id="24" w:name="_Toc6044"/>
      <w:r>
        <w:rPr>
          <w:rFonts w:hint="eastAsia" w:ascii="宋体" w:hAnsi="宋体" w:cs="宋体"/>
          <w:color w:val="auto"/>
          <w:szCs w:val="21"/>
        </w:rPr>
        <w:t>1.响应人须是在中华人民共和国境内注册且具备合法有效的营业执照；</w:t>
      </w:r>
      <w:bookmarkEnd w:id="16"/>
      <w:bookmarkEnd w:id="17"/>
      <w:bookmarkEnd w:id="18"/>
    </w:p>
    <w:p>
      <w:pPr>
        <w:tabs>
          <w:tab w:val="left" w:pos="540"/>
          <w:tab w:val="left" w:pos="840"/>
        </w:tabs>
        <w:spacing w:line="360" w:lineRule="auto"/>
        <w:ind w:firstLine="420" w:firstLineChars="200"/>
        <w:outlineLvl w:val="1"/>
        <w:rPr>
          <w:rFonts w:hint="eastAsia" w:ascii="宋体" w:hAnsi="宋体" w:cs="宋体"/>
          <w:color w:val="auto"/>
          <w:szCs w:val="21"/>
        </w:rPr>
      </w:pPr>
      <w:bookmarkStart w:id="25" w:name="_Toc1018"/>
      <w:bookmarkStart w:id="26" w:name="_Toc10202"/>
      <w:bookmarkStart w:id="27" w:name="_Toc23497"/>
      <w:r>
        <w:rPr>
          <w:rFonts w:hint="eastAsia" w:ascii="宋体" w:hAnsi="宋体" w:cs="宋体"/>
          <w:color w:val="auto"/>
          <w:szCs w:val="21"/>
        </w:rPr>
        <w:t>2.响应人不得与招商人和招商代理机构有任何的隶属关系或者其他利害关系；</w:t>
      </w:r>
      <w:bookmarkEnd w:id="25"/>
      <w:bookmarkEnd w:id="26"/>
      <w:r>
        <w:rPr>
          <w:rFonts w:hint="eastAsia" w:ascii="宋体" w:hAnsi="宋体" w:cs="宋体"/>
          <w:color w:val="auto"/>
          <w:szCs w:val="21"/>
        </w:rPr>
        <w:t>（提供承诺函）</w:t>
      </w:r>
      <w:bookmarkEnd w:id="27"/>
    </w:p>
    <w:p>
      <w:pPr>
        <w:tabs>
          <w:tab w:val="left" w:pos="540"/>
          <w:tab w:val="left" w:pos="840"/>
        </w:tabs>
        <w:spacing w:line="360" w:lineRule="auto"/>
        <w:ind w:firstLine="420" w:firstLineChars="200"/>
        <w:outlineLvl w:val="1"/>
        <w:rPr>
          <w:rFonts w:ascii="宋体" w:hAnsi="宋体" w:cs="宋体"/>
          <w:color w:val="auto"/>
          <w:szCs w:val="21"/>
        </w:rPr>
      </w:pPr>
      <w:bookmarkStart w:id="28" w:name="_Toc21425"/>
      <w:bookmarkStart w:id="29" w:name="_Toc22216"/>
      <w:bookmarkStart w:id="30" w:name="_Toc2601"/>
      <w:r>
        <w:rPr>
          <w:rFonts w:hint="eastAsia" w:ascii="宋体" w:hAnsi="宋体" w:cs="宋体"/>
          <w:color w:val="auto"/>
          <w:szCs w:val="21"/>
        </w:rPr>
        <w:t>3.响应人具有良好的商业信誉，提供本年度基本开户银行出具的资信证明；</w:t>
      </w:r>
      <w:bookmarkEnd w:id="28"/>
      <w:bookmarkEnd w:id="29"/>
      <w:bookmarkEnd w:id="30"/>
    </w:p>
    <w:p>
      <w:pPr>
        <w:tabs>
          <w:tab w:val="left" w:pos="540"/>
          <w:tab w:val="left" w:pos="840"/>
        </w:tabs>
        <w:spacing w:line="360" w:lineRule="auto"/>
        <w:ind w:firstLine="420" w:firstLineChars="200"/>
        <w:outlineLvl w:val="1"/>
        <w:rPr>
          <w:rFonts w:hint="eastAsia" w:ascii="宋体" w:hAnsi="宋体" w:cs="宋体"/>
          <w:color w:val="auto"/>
          <w:szCs w:val="21"/>
        </w:rPr>
      </w:pPr>
      <w:bookmarkStart w:id="31" w:name="_Toc26856"/>
      <w:bookmarkStart w:id="32" w:name="_Toc14975"/>
      <w:bookmarkStart w:id="33" w:name="_Toc863"/>
      <w:r>
        <w:rPr>
          <w:rFonts w:hint="eastAsia" w:ascii="宋体" w:hAnsi="宋体" w:cs="宋体"/>
          <w:color w:val="auto"/>
          <w:szCs w:val="21"/>
        </w:rPr>
        <w:t>4.信誉要求：①未被责令停业的；②未被暂停或取消投标资格且处于有效期内的；③财产未被接管或冻结的；④未被“信用中国”网（www.creditchina.gov.cn）或“中国执行信息公开网”（http://zxgk.court.gov.cn/shixin/）列入失信被执行人；</w:t>
      </w:r>
      <w:bookmarkEnd w:id="31"/>
      <w:bookmarkEnd w:id="32"/>
      <w:r>
        <w:rPr>
          <w:rFonts w:hint="eastAsia" w:ascii="宋体" w:hAnsi="宋体" w:cs="宋体"/>
          <w:color w:val="auto"/>
          <w:szCs w:val="21"/>
        </w:rPr>
        <w:t>（①②③提供承诺函，详见响应文件格式；④提供查询截图并加盖公章）</w:t>
      </w:r>
      <w:bookmarkEnd w:id="33"/>
    </w:p>
    <w:p>
      <w:pPr>
        <w:tabs>
          <w:tab w:val="left" w:pos="540"/>
          <w:tab w:val="left" w:pos="840"/>
        </w:tabs>
        <w:spacing w:line="360" w:lineRule="auto"/>
        <w:ind w:firstLine="420" w:firstLineChars="200"/>
        <w:outlineLvl w:val="1"/>
        <w:rPr>
          <w:rFonts w:hint="eastAsia" w:ascii="宋体" w:hAnsi="宋体" w:cs="宋体"/>
          <w:color w:val="auto"/>
          <w:szCs w:val="21"/>
          <w:highlight w:val="none"/>
        </w:rPr>
      </w:pPr>
      <w:bookmarkStart w:id="34" w:name="_Toc1385"/>
      <w:bookmarkStart w:id="35" w:name="_Toc28284"/>
      <w:bookmarkStart w:id="36" w:name="_Toc1895"/>
      <w:r>
        <w:rPr>
          <w:rFonts w:hint="eastAsia" w:ascii="宋体" w:hAnsi="宋体" w:cs="宋体"/>
          <w:color w:val="auto"/>
          <w:szCs w:val="21"/>
        </w:rPr>
        <w:t>5.</w:t>
      </w:r>
      <w:bookmarkEnd w:id="34"/>
      <w:bookmarkEnd w:id="35"/>
      <w:r>
        <w:rPr>
          <w:rFonts w:hint="eastAsia" w:ascii="宋体" w:hAnsi="宋体" w:cs="宋体"/>
          <w:color w:val="auto"/>
          <w:szCs w:val="21"/>
          <w:highlight w:val="none"/>
        </w:rPr>
        <w:t>招商响应人须针对《湖北机场集团有限公司“供应商不良行为”管理办法》在响应文件中做出承诺，格式详见招商文件“第六章 招商响应文件格式”；</w:t>
      </w:r>
      <w:bookmarkEnd w:id="36"/>
      <w:bookmarkStart w:id="37" w:name="_Toc25386"/>
      <w:bookmarkStart w:id="38" w:name="_Toc8133"/>
      <w:bookmarkStart w:id="39" w:name="_Toc30275"/>
    </w:p>
    <w:p>
      <w:pPr>
        <w:tabs>
          <w:tab w:val="left" w:pos="540"/>
          <w:tab w:val="left" w:pos="840"/>
        </w:tabs>
        <w:spacing w:line="360" w:lineRule="auto"/>
        <w:ind w:firstLine="420" w:firstLineChars="200"/>
        <w:outlineLvl w:val="1"/>
        <w:rPr>
          <w:rFonts w:hint="eastAsia" w:ascii="宋体" w:hAnsi="宋体" w:cs="宋体"/>
          <w:color w:val="auto"/>
          <w:szCs w:val="21"/>
        </w:rPr>
      </w:pPr>
      <w:r>
        <w:rPr>
          <w:rFonts w:hint="eastAsia" w:ascii="宋体" w:hAnsi="宋体" w:cs="宋体"/>
          <w:color w:val="auto"/>
          <w:szCs w:val="21"/>
        </w:rPr>
        <w:t>6.对于截至2023年5月31日未缴清首都机场集团传媒有限公司范围内2022年计提欠款的响应人，不得参与本次招商；</w:t>
      </w:r>
      <w:bookmarkEnd w:id="37"/>
      <w:bookmarkEnd w:id="38"/>
      <w:r>
        <w:rPr>
          <w:rFonts w:hint="eastAsia" w:ascii="宋体" w:hAnsi="宋体" w:cs="宋体"/>
          <w:color w:val="auto"/>
          <w:szCs w:val="21"/>
        </w:rPr>
        <w:t>（提供承诺函）</w:t>
      </w:r>
      <w:bookmarkEnd w:id="39"/>
    </w:p>
    <w:p>
      <w:pPr>
        <w:tabs>
          <w:tab w:val="left" w:pos="540"/>
          <w:tab w:val="left" w:pos="840"/>
        </w:tabs>
        <w:spacing w:line="360" w:lineRule="auto"/>
        <w:ind w:firstLine="420" w:firstLineChars="200"/>
        <w:outlineLvl w:val="1"/>
        <w:rPr>
          <w:rFonts w:hint="eastAsia" w:ascii="宋体" w:hAnsi="宋体" w:cs="宋体"/>
          <w:color w:val="auto"/>
          <w:szCs w:val="21"/>
        </w:rPr>
      </w:pPr>
      <w:bookmarkStart w:id="40" w:name="_Toc27737"/>
      <w:bookmarkStart w:id="41" w:name="_Toc6919"/>
      <w:r>
        <w:rPr>
          <w:rFonts w:hint="eastAsia" w:ascii="宋体" w:hAnsi="宋体" w:cs="宋体"/>
          <w:color w:val="auto"/>
          <w:szCs w:val="21"/>
        </w:rPr>
        <w:t>7.与招商人的合作中，招商响应人及其关联公司截</w:t>
      </w:r>
      <w:r>
        <w:rPr>
          <w:rFonts w:hint="eastAsia" w:ascii="宋体" w:hAnsi="宋体" w:cs="宋体"/>
          <w:color w:val="auto"/>
          <w:szCs w:val="21"/>
          <w:highlight w:val="none"/>
        </w:rPr>
        <w:t>至2024年3月31日不存在200万（含）以上2023年计提欠款(除固定担保形式外)的情况；截止招商公告发布日上</w:t>
      </w:r>
      <w:r>
        <w:rPr>
          <w:rFonts w:hint="eastAsia" w:ascii="宋体" w:hAnsi="宋体" w:cs="宋体"/>
          <w:color w:val="auto"/>
          <w:szCs w:val="21"/>
        </w:rPr>
        <w:t>一个月底（2024年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日），不存在当年度（2024年）三个月（含）以上计提广告费欠款；</w:t>
      </w:r>
      <w:bookmarkEnd w:id="40"/>
      <w:r>
        <w:rPr>
          <w:rFonts w:hint="eastAsia" w:ascii="宋体" w:hAnsi="宋体" w:cs="宋体"/>
          <w:color w:val="auto"/>
          <w:szCs w:val="21"/>
        </w:rPr>
        <w:t>（提供承诺函）</w:t>
      </w:r>
      <w:bookmarkEnd w:id="41"/>
    </w:p>
    <w:p>
      <w:pPr>
        <w:tabs>
          <w:tab w:val="left" w:pos="540"/>
          <w:tab w:val="left" w:pos="840"/>
        </w:tabs>
        <w:spacing w:line="360" w:lineRule="auto"/>
        <w:ind w:firstLine="420" w:firstLineChars="200"/>
        <w:outlineLvl w:val="1"/>
        <w:rPr>
          <w:rFonts w:hint="eastAsia" w:ascii="宋体" w:hAnsi="宋体" w:cs="宋体"/>
          <w:color w:val="auto"/>
          <w:szCs w:val="21"/>
        </w:rPr>
      </w:pPr>
      <w:bookmarkStart w:id="42" w:name="_Toc4001"/>
      <w:bookmarkStart w:id="43" w:name="_Toc4161"/>
      <w:r>
        <w:rPr>
          <w:rFonts w:hint="eastAsia" w:ascii="宋体" w:hAnsi="宋体" w:cs="宋体"/>
          <w:color w:val="auto"/>
          <w:szCs w:val="21"/>
        </w:rPr>
        <w:t>8.截至本项目招商公告发布日与招商人不存在未结诉讼、仲裁案件，或未执行完毕的生效法律文书；</w:t>
      </w:r>
      <w:bookmarkEnd w:id="42"/>
      <w:r>
        <w:rPr>
          <w:rFonts w:hint="eastAsia" w:ascii="宋体" w:hAnsi="宋体" w:cs="宋体"/>
          <w:color w:val="auto"/>
          <w:szCs w:val="21"/>
        </w:rPr>
        <w:t>（提供承诺函）</w:t>
      </w:r>
      <w:bookmarkEnd w:id="43"/>
    </w:p>
    <w:p>
      <w:pPr>
        <w:tabs>
          <w:tab w:val="left" w:pos="540"/>
          <w:tab w:val="left" w:pos="840"/>
        </w:tabs>
        <w:spacing w:line="360" w:lineRule="auto"/>
        <w:ind w:firstLine="420" w:firstLineChars="200"/>
        <w:outlineLvl w:val="1"/>
        <w:rPr>
          <w:rFonts w:hint="eastAsia" w:ascii="宋体" w:hAnsi="宋体" w:cs="宋体"/>
          <w:color w:val="auto"/>
          <w:szCs w:val="21"/>
        </w:rPr>
      </w:pPr>
      <w:bookmarkStart w:id="44" w:name="_Toc14013"/>
      <w:bookmarkStart w:id="45" w:name="_Toc12411"/>
      <w:r>
        <w:rPr>
          <w:rFonts w:hint="eastAsia" w:ascii="宋体" w:hAnsi="宋体" w:cs="宋体"/>
          <w:color w:val="auto"/>
          <w:szCs w:val="21"/>
        </w:rPr>
        <w:t>9.本次招商不接受联合体响应。</w:t>
      </w:r>
      <w:bookmarkEnd w:id="44"/>
      <w:bookmarkEnd w:id="45"/>
    </w:p>
    <w:bookmarkEnd w:id="19"/>
    <w:p>
      <w:pPr>
        <w:tabs>
          <w:tab w:val="left" w:pos="540"/>
          <w:tab w:val="left" w:pos="840"/>
        </w:tabs>
        <w:spacing w:line="360" w:lineRule="auto"/>
        <w:outlineLvl w:val="1"/>
        <w:rPr>
          <w:rFonts w:hint="eastAsia" w:ascii="宋体" w:hAnsi="宋体" w:cs="宋体"/>
          <w:b/>
          <w:szCs w:val="21"/>
        </w:rPr>
      </w:pPr>
      <w:bookmarkStart w:id="46" w:name="_Toc28998"/>
      <w:bookmarkStart w:id="47" w:name="_Toc26178"/>
      <w:bookmarkStart w:id="48" w:name="_Toc3667"/>
      <w:r>
        <w:rPr>
          <w:rFonts w:hint="eastAsia" w:ascii="宋体" w:hAnsi="宋体" w:cs="宋体"/>
          <w:b/>
          <w:szCs w:val="21"/>
        </w:rPr>
        <w:t>三、招商文件的获取</w:t>
      </w:r>
      <w:bookmarkEnd w:id="20"/>
      <w:bookmarkEnd w:id="21"/>
      <w:bookmarkEnd w:id="22"/>
      <w:bookmarkEnd w:id="23"/>
      <w:bookmarkEnd w:id="24"/>
      <w:bookmarkEnd w:id="46"/>
      <w:bookmarkEnd w:id="47"/>
      <w:bookmarkEnd w:id="48"/>
    </w:p>
    <w:p>
      <w:pPr>
        <w:tabs>
          <w:tab w:val="left" w:pos="0"/>
        </w:tabs>
        <w:spacing w:line="360" w:lineRule="auto"/>
        <w:ind w:firstLine="420" w:firstLineChars="200"/>
        <w:rPr>
          <w:rFonts w:hint="eastAsia" w:ascii="宋体" w:hAnsi="宋体" w:cs="宋体"/>
          <w:color w:val="auto"/>
          <w:szCs w:val="21"/>
        </w:rPr>
      </w:pPr>
      <w:bookmarkStart w:id="49" w:name="_Toc100254608"/>
      <w:bookmarkStart w:id="50" w:name="_Toc259028275"/>
      <w:bookmarkStart w:id="51" w:name="_Toc16383"/>
      <w:bookmarkStart w:id="52" w:name="_Toc97300609"/>
      <w:bookmarkStart w:id="53" w:name="_Toc5856"/>
      <w:bookmarkStart w:id="54" w:name="_Toc259028695"/>
      <w:bookmarkStart w:id="55" w:name="_Toc7141"/>
      <w:r>
        <w:rPr>
          <w:rFonts w:hint="eastAsia" w:ascii="宋体" w:hAnsi="宋体" w:cs="宋体"/>
          <w:szCs w:val="21"/>
        </w:rPr>
        <w:t>1.文件获取开</w:t>
      </w:r>
      <w:r>
        <w:rPr>
          <w:rFonts w:hint="eastAsia" w:ascii="宋体" w:hAnsi="宋体" w:cs="宋体"/>
          <w:color w:val="auto"/>
          <w:szCs w:val="21"/>
        </w:rPr>
        <w:t>始时间：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15</w:t>
      </w:r>
      <w:r>
        <w:rPr>
          <w:rFonts w:hint="eastAsia" w:ascii="宋体" w:hAnsi="宋体" w:cs="宋体"/>
          <w:color w:val="auto"/>
          <w:szCs w:val="21"/>
        </w:rPr>
        <w:t>日8时30分（北京时间）</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文件获取截止时间：</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08</w:t>
      </w:r>
      <w:r>
        <w:rPr>
          <w:rFonts w:hint="eastAsia" w:ascii="宋体" w:hAnsi="宋体" w:cs="宋体"/>
          <w:color w:val="auto"/>
          <w:szCs w:val="21"/>
        </w:rPr>
        <w:t>月</w:t>
      </w:r>
      <w:r>
        <w:rPr>
          <w:rFonts w:hint="eastAsia" w:ascii="宋体" w:hAnsi="宋体" w:cs="宋体"/>
          <w:color w:val="auto"/>
          <w:szCs w:val="21"/>
          <w:u w:val="single"/>
          <w:lang w:val="en-US" w:eastAsia="zh-CN"/>
        </w:rPr>
        <w:t>21</w:t>
      </w:r>
      <w:r>
        <w:rPr>
          <w:rFonts w:hint="eastAsia" w:ascii="宋体" w:hAnsi="宋体" w:cs="宋体"/>
          <w:color w:val="auto"/>
          <w:szCs w:val="21"/>
        </w:rPr>
        <w:t>日16时30分（北京时间）</w:t>
      </w:r>
    </w:p>
    <w:bookmarkEnd w:id="49"/>
    <w:bookmarkEnd w:id="50"/>
    <w:bookmarkEnd w:id="51"/>
    <w:bookmarkEnd w:id="52"/>
    <w:bookmarkEnd w:id="53"/>
    <w:bookmarkEnd w:id="54"/>
    <w:bookmarkEnd w:id="55"/>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2.获取方式：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现场获取：供应商的委托代理人携带法定代表人授权委托书（如是法定代表人本人，则凭法定代表人身份证明书）、本人身份证等资料原件于工作时间到</w:t>
      </w:r>
      <w:r>
        <w:rPr>
          <w:rFonts w:hint="eastAsia" w:ascii="宋体" w:hAnsi="宋体" w:cs="宋体"/>
          <w:color w:val="auto"/>
          <w:szCs w:val="21"/>
          <w:u w:val="single"/>
        </w:rPr>
        <w:t xml:space="preserve"> 平安财富中心B座7楼（湖北省成套招标股份有限公司服务大厅） </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工作时间（上午08:30-12:00，下午14：00-16:30）到</w:t>
      </w:r>
      <w:r>
        <w:rPr>
          <w:rFonts w:hint="eastAsia" w:ascii="宋体" w:hAnsi="宋体" w:cs="宋体"/>
          <w:color w:val="auto"/>
          <w:szCs w:val="21"/>
          <w:u w:val="single"/>
        </w:rPr>
        <w:t xml:space="preserve"> 平安财富中心B座7楼（湖北省成套招标股份有限公司服务大厅）</w:t>
      </w:r>
      <w:r>
        <w:rPr>
          <w:rFonts w:hint="eastAsia" w:ascii="宋体" w:hAnsi="宋体" w:cs="宋体"/>
          <w:color w:val="auto"/>
          <w:szCs w:val="21"/>
        </w:rPr>
        <w:t xml:space="preserve">现场获取。 </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sym w:font="Wingdings" w:char="00FE"/>
      </w:r>
      <w:r>
        <w:rPr>
          <w:rFonts w:hint="eastAsia" w:ascii="宋体" w:hAnsi="宋体" w:cs="宋体"/>
          <w:color w:val="auto"/>
          <w:szCs w:val="21"/>
        </w:rPr>
        <w:t>线上获取：采用线上下载方式获取文件的，供应商请在湖北省成套招标股份有限公司网（网址：https://www.hubeibidding.com/）本公告最下方“相关下载”版块内点击下载按钮登录并提交报名信息，报名信息审核通过后即可下载文件【</w:t>
      </w:r>
      <w:r>
        <w:rPr>
          <w:rFonts w:hint="eastAsia" w:ascii="宋体" w:hAnsi="宋体" w:cs="宋体"/>
          <w:color w:val="auto"/>
          <w:szCs w:val="21"/>
        </w:rPr>
        <w:fldChar w:fldCharType="begin"/>
      </w:r>
      <w:r>
        <w:rPr>
          <w:rFonts w:hint="eastAsia" w:ascii="宋体" w:hAnsi="宋体" w:cs="宋体"/>
          <w:color w:val="auto"/>
          <w:szCs w:val="21"/>
        </w:rPr>
        <w:instrText xml:space="preserve"> = 1 \* GB3 </w:instrText>
      </w:r>
      <w:r>
        <w:rPr>
          <w:rFonts w:hint="eastAsia" w:ascii="宋体" w:hAnsi="宋体" w:cs="宋体"/>
          <w:color w:val="auto"/>
          <w:szCs w:val="21"/>
        </w:rPr>
        <w:fldChar w:fldCharType="separate"/>
      </w:r>
      <w:r>
        <w:rPr>
          <w:rFonts w:hint="eastAsia" w:ascii="宋体" w:hAnsi="宋体" w:cs="宋体"/>
          <w:color w:val="auto"/>
          <w:szCs w:val="21"/>
        </w:rPr>
        <w:t>①</w:t>
      </w:r>
      <w:r>
        <w:rPr>
          <w:rFonts w:hint="eastAsia" w:ascii="宋体" w:hAnsi="宋体" w:cs="宋体"/>
          <w:color w:val="auto"/>
          <w:szCs w:val="21"/>
        </w:rPr>
        <w:fldChar w:fldCharType="end"/>
      </w:r>
      <w:r>
        <w:rPr>
          <w:rFonts w:hint="eastAsia" w:ascii="宋体" w:hAnsi="宋体" w:cs="宋体"/>
          <w:color w:val="auto"/>
          <w:szCs w:val="21"/>
        </w:rPr>
        <w:t>文件获取的具体操作流程可在湖北省成套招标股份有限公司门户网站首页右侧“下载专区”下载《线上获取标书操作指引》查看；</w:t>
      </w:r>
      <w:r>
        <w:rPr>
          <w:rFonts w:hint="eastAsia" w:ascii="宋体" w:hAnsi="宋体" w:cs="宋体"/>
          <w:color w:val="auto"/>
          <w:szCs w:val="21"/>
        </w:rPr>
        <w:fldChar w:fldCharType="begin"/>
      </w:r>
      <w:r>
        <w:rPr>
          <w:rFonts w:hint="eastAsia" w:ascii="宋体" w:hAnsi="宋体" w:cs="宋体"/>
          <w:color w:val="auto"/>
          <w:szCs w:val="21"/>
        </w:rPr>
        <w:instrText xml:space="preserve"> = 2 \* GB3 </w:instrText>
      </w:r>
      <w:r>
        <w:rPr>
          <w:rFonts w:hint="eastAsia" w:ascii="宋体" w:hAnsi="宋体" w:cs="宋体"/>
          <w:color w:val="auto"/>
          <w:szCs w:val="21"/>
        </w:rPr>
        <w:fldChar w:fldCharType="separate"/>
      </w:r>
      <w:r>
        <w:rPr>
          <w:rFonts w:hint="eastAsia" w:ascii="宋体" w:hAnsi="宋体" w:cs="宋体"/>
          <w:color w:val="auto"/>
          <w:szCs w:val="21"/>
        </w:rPr>
        <w:t>②</w:t>
      </w:r>
      <w:r>
        <w:rPr>
          <w:rFonts w:hint="eastAsia" w:ascii="宋体" w:hAnsi="宋体" w:cs="宋体"/>
          <w:color w:val="auto"/>
          <w:szCs w:val="21"/>
        </w:rPr>
        <w:fldChar w:fldCharType="end"/>
      </w:r>
      <w:r>
        <w:rPr>
          <w:rFonts w:hint="eastAsia" w:ascii="宋体" w:hAnsi="宋体" w:cs="宋体"/>
          <w:color w:val="auto"/>
          <w:szCs w:val="21"/>
        </w:rPr>
        <w:t>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3.信息费：人民币</w:t>
      </w:r>
      <w:r>
        <w:rPr>
          <w:rFonts w:hint="eastAsia" w:ascii="宋体" w:hAnsi="宋体" w:cs="宋体"/>
          <w:color w:val="auto"/>
          <w:szCs w:val="21"/>
          <w:u w:val="single"/>
        </w:rPr>
        <w:t xml:space="preserve"> 500 </w:t>
      </w:r>
      <w:r>
        <w:rPr>
          <w:rFonts w:hint="eastAsia" w:ascii="宋体" w:hAnsi="宋体" w:cs="宋体"/>
          <w:color w:val="auto"/>
          <w:szCs w:val="21"/>
        </w:rPr>
        <w:t>元/本，售后不退。</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4.账户信息</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户名：湖北省成套招标股份有限公司</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账号：572976591978   清算行号：840085  大额支付系统行号：104521004672</w:t>
      </w:r>
    </w:p>
    <w:p>
      <w:pPr>
        <w:tabs>
          <w:tab w:val="left" w:pos="0"/>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开户银行：中国银行湖北省武汉市中南路支行</w:t>
      </w:r>
    </w:p>
    <w:p>
      <w:pPr>
        <w:tabs>
          <w:tab w:val="left" w:pos="0"/>
        </w:tabs>
        <w:spacing w:line="360" w:lineRule="auto"/>
        <w:ind w:firstLine="422" w:firstLineChars="200"/>
        <w:rPr>
          <w:rFonts w:hint="eastAsia" w:ascii="宋体" w:hAnsi="宋体" w:cs="宋体"/>
          <w:color w:val="auto"/>
          <w:szCs w:val="21"/>
        </w:rPr>
      </w:pPr>
      <w:r>
        <w:rPr>
          <w:rFonts w:hint="eastAsia" w:ascii="宋体" w:hAnsi="宋体" w:cs="宋体"/>
          <w:b/>
          <w:color w:val="auto"/>
          <w:szCs w:val="21"/>
        </w:rPr>
        <w:t>财务查询电话：027-87311206</w:t>
      </w:r>
      <w:r>
        <w:rPr>
          <w:rFonts w:hint="eastAsia" w:ascii="宋体" w:hAnsi="宋体" w:cs="宋体"/>
          <w:color w:val="auto"/>
          <w:szCs w:val="21"/>
        </w:rPr>
        <w:t xml:space="preserve"> </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6" w:name="_Toc8726"/>
      <w:bookmarkStart w:id="57" w:name="_Toc22253"/>
      <w:bookmarkStart w:id="58" w:name="_Toc18020"/>
      <w:r>
        <w:rPr>
          <w:rFonts w:hint="eastAsia" w:ascii="宋体" w:hAnsi="宋体" w:cs="宋体"/>
          <w:b/>
          <w:bCs/>
          <w:color w:val="auto"/>
          <w:szCs w:val="32"/>
        </w:rPr>
        <w:t>四、递交招商响应文件的截止时间及磋商时间</w:t>
      </w:r>
      <w:bookmarkEnd w:id="56"/>
      <w:bookmarkEnd w:id="57"/>
      <w:bookmarkEnd w:id="58"/>
    </w:p>
    <w:p>
      <w:pPr>
        <w:spacing w:line="360" w:lineRule="auto"/>
        <w:ind w:firstLine="420" w:firstLineChars="200"/>
        <w:rPr>
          <w:rFonts w:ascii="宋体" w:hAnsi="宋体" w:cs="宋体"/>
          <w:bCs/>
          <w:color w:val="auto"/>
          <w:szCs w:val="21"/>
        </w:rPr>
      </w:pPr>
      <w:r>
        <w:rPr>
          <w:rFonts w:hint="eastAsia" w:hAnsi="宋体"/>
          <w:bCs/>
          <w:color w:val="auto"/>
          <w:szCs w:val="21"/>
        </w:rPr>
        <w:t>2024年</w:t>
      </w:r>
      <w:r>
        <w:rPr>
          <w:rFonts w:hint="eastAsia" w:hAnsi="宋体"/>
          <w:bCs/>
          <w:color w:val="auto"/>
          <w:szCs w:val="21"/>
          <w:lang w:val="en-US" w:eastAsia="zh-CN"/>
        </w:rPr>
        <w:t>08</w:t>
      </w:r>
      <w:r>
        <w:rPr>
          <w:rFonts w:hint="eastAsia" w:hAnsi="宋体"/>
          <w:bCs/>
          <w:color w:val="auto"/>
          <w:szCs w:val="21"/>
        </w:rPr>
        <w:t>月</w:t>
      </w:r>
      <w:r>
        <w:rPr>
          <w:rFonts w:hint="eastAsia" w:hAnsi="宋体"/>
          <w:bCs/>
          <w:color w:val="auto"/>
          <w:szCs w:val="21"/>
          <w:lang w:val="en-US" w:eastAsia="zh-CN"/>
        </w:rPr>
        <w:t>30</w:t>
      </w:r>
      <w:r>
        <w:rPr>
          <w:rFonts w:hint="eastAsia" w:hAnsi="宋体"/>
          <w:bCs/>
          <w:color w:val="auto"/>
          <w:szCs w:val="21"/>
        </w:rPr>
        <w:t>日</w:t>
      </w:r>
      <w:r>
        <w:rPr>
          <w:rFonts w:hAnsi="宋体"/>
          <w:bCs/>
          <w:color w:val="auto"/>
          <w:szCs w:val="21"/>
        </w:rPr>
        <w:t>09</w:t>
      </w:r>
      <w:r>
        <w:rPr>
          <w:rFonts w:hint="eastAsia" w:hAnsi="宋体"/>
          <w:bCs/>
          <w:color w:val="auto"/>
          <w:szCs w:val="21"/>
        </w:rPr>
        <w:t>:</w:t>
      </w:r>
      <w:r>
        <w:rPr>
          <w:rFonts w:hAnsi="宋体"/>
          <w:bCs/>
          <w:color w:val="auto"/>
          <w:szCs w:val="21"/>
        </w:rPr>
        <w:t>30</w:t>
      </w:r>
      <w:r>
        <w:rPr>
          <w:rFonts w:hint="eastAsia" w:hAnsi="宋体"/>
          <w:bCs/>
          <w:color w:val="auto"/>
          <w:szCs w:val="21"/>
        </w:rPr>
        <w:t>时</w:t>
      </w:r>
      <w:r>
        <w:rPr>
          <w:rFonts w:hint="eastAsia" w:ascii="宋体" w:hAnsi="宋体" w:cs="宋体"/>
          <w:bCs/>
          <w:color w:val="auto"/>
          <w:szCs w:val="21"/>
        </w:rPr>
        <w:t>（北京时间）</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59" w:name="_Toc23418"/>
      <w:bookmarkStart w:id="60" w:name="_Toc259028276"/>
      <w:bookmarkStart w:id="61" w:name="_Toc259028696"/>
      <w:bookmarkStart w:id="62" w:name="_Toc15832"/>
      <w:bookmarkStart w:id="63" w:name="_Toc11358"/>
      <w:bookmarkStart w:id="64" w:name="_Toc9376"/>
      <w:bookmarkStart w:id="65" w:name="_Toc25812"/>
      <w:bookmarkStart w:id="66" w:name="_Toc97300610"/>
      <w:bookmarkStart w:id="67" w:name="_Toc18579"/>
      <w:r>
        <w:rPr>
          <w:rFonts w:hint="eastAsia" w:ascii="宋体" w:hAnsi="宋体" w:cs="宋体"/>
          <w:b/>
          <w:bCs/>
          <w:color w:val="auto"/>
          <w:szCs w:val="32"/>
        </w:rPr>
        <w:t>五、</w:t>
      </w:r>
      <w:bookmarkEnd w:id="59"/>
      <w:bookmarkEnd w:id="60"/>
      <w:bookmarkEnd w:id="61"/>
      <w:bookmarkEnd w:id="62"/>
      <w:bookmarkEnd w:id="63"/>
      <w:r>
        <w:rPr>
          <w:rFonts w:hint="eastAsia" w:ascii="宋体" w:hAnsi="宋体" w:cs="宋体"/>
          <w:b/>
          <w:bCs/>
          <w:color w:val="auto"/>
          <w:szCs w:val="32"/>
        </w:rPr>
        <w:t>招商响应文件送达地点及磋商地点</w:t>
      </w:r>
      <w:bookmarkEnd w:id="64"/>
      <w:bookmarkEnd w:id="65"/>
      <w:bookmarkEnd w:id="66"/>
      <w:bookmarkEnd w:id="67"/>
    </w:p>
    <w:p>
      <w:pPr>
        <w:spacing w:line="360" w:lineRule="auto"/>
        <w:ind w:firstLine="420" w:firstLineChars="200"/>
        <w:rPr>
          <w:rFonts w:hAnsi="宋体"/>
          <w:bCs/>
          <w:color w:val="auto"/>
          <w:szCs w:val="21"/>
        </w:rPr>
      </w:pPr>
      <w:r>
        <w:rPr>
          <w:rFonts w:hint="eastAsia" w:hAnsi="宋体"/>
          <w:bCs/>
          <w:color w:val="auto"/>
          <w:szCs w:val="21"/>
        </w:rPr>
        <w:t>湖北机场集团综合保障楼A208会议室。</w:t>
      </w:r>
    </w:p>
    <w:p>
      <w:pPr>
        <w:spacing w:line="360" w:lineRule="auto"/>
        <w:ind w:firstLine="420" w:firstLineChars="200"/>
        <w:rPr>
          <w:rFonts w:hAnsi="宋体"/>
          <w:bCs/>
          <w:color w:val="auto"/>
          <w:szCs w:val="21"/>
        </w:rPr>
      </w:pPr>
      <w:r>
        <w:rPr>
          <w:rFonts w:hint="eastAsia" w:hAnsi="宋体"/>
          <w:bCs/>
          <w:color w:val="auto"/>
          <w:szCs w:val="21"/>
        </w:rPr>
        <w:t>备注：1.逾期送达指定地点的或者不按照招商文件要求密封的响应文件，招商人不予受理。</w:t>
      </w:r>
    </w:p>
    <w:p>
      <w:pPr>
        <w:spacing w:line="360" w:lineRule="auto"/>
        <w:ind w:firstLine="420" w:firstLineChars="200"/>
        <w:rPr>
          <w:rFonts w:hAnsi="宋体"/>
          <w:bCs/>
          <w:color w:val="auto"/>
          <w:szCs w:val="21"/>
        </w:rPr>
      </w:pPr>
      <w:r>
        <w:rPr>
          <w:rFonts w:hint="eastAsia" w:hAnsi="宋体"/>
          <w:bCs/>
          <w:color w:val="auto"/>
          <w:szCs w:val="21"/>
        </w:rPr>
        <w:t>2.针对有效响应人不足3 家的，经评审委员会商议一致后，对于符合招商文件要求，满足招商需求的，采取两家比选或一家直接洽商方式进行评审。对于不满足招商需求的，经评审委员会确认后，可终止招商。</w:t>
      </w:r>
    </w:p>
    <w:p>
      <w:pPr>
        <w:autoSpaceDE w:val="0"/>
        <w:autoSpaceDN w:val="0"/>
        <w:adjustRightInd w:val="0"/>
        <w:spacing w:line="360" w:lineRule="auto"/>
        <w:ind w:left="632" w:hanging="632" w:hangingChars="300"/>
        <w:outlineLvl w:val="1"/>
        <w:rPr>
          <w:rFonts w:ascii="宋体" w:hAnsi="宋体" w:cs="宋体"/>
          <w:b/>
          <w:bCs/>
          <w:color w:val="auto"/>
          <w:szCs w:val="32"/>
        </w:rPr>
      </w:pPr>
      <w:bookmarkStart w:id="68" w:name="_Toc11142"/>
      <w:bookmarkStart w:id="69" w:name="_Toc27963"/>
      <w:bookmarkStart w:id="70" w:name="_Toc31585"/>
      <w:bookmarkStart w:id="71" w:name="_Toc8044"/>
      <w:bookmarkStart w:id="72" w:name="_Toc25113"/>
      <w:bookmarkStart w:id="73" w:name="_Toc97300611"/>
      <w:bookmarkStart w:id="74" w:name="_Toc7227"/>
      <w:bookmarkStart w:id="75" w:name="_Toc31679"/>
      <w:bookmarkStart w:id="76" w:name="_Toc15722"/>
      <w:r>
        <w:rPr>
          <w:rFonts w:hint="eastAsia" w:ascii="宋体" w:hAnsi="宋体" w:cs="宋体"/>
          <w:b/>
          <w:bCs/>
          <w:color w:val="auto"/>
          <w:szCs w:val="32"/>
        </w:rPr>
        <w:t>六、联系方式：</w:t>
      </w:r>
      <w:bookmarkEnd w:id="68"/>
      <w:bookmarkEnd w:id="69"/>
      <w:bookmarkEnd w:id="70"/>
      <w:bookmarkEnd w:id="71"/>
      <w:bookmarkEnd w:id="72"/>
      <w:bookmarkEnd w:id="73"/>
      <w:bookmarkEnd w:id="74"/>
      <w:bookmarkEnd w:id="75"/>
    </w:p>
    <w:p>
      <w:pPr>
        <w:pStyle w:val="6"/>
        <w:spacing w:line="360" w:lineRule="auto"/>
        <w:rPr>
          <w:rFonts w:ascii="宋体" w:hAnsi="宋体" w:cs="宋体"/>
          <w:color w:val="auto"/>
          <w:szCs w:val="21"/>
        </w:rPr>
      </w:pPr>
      <w:r>
        <w:rPr>
          <w:rFonts w:hint="eastAsia" w:ascii="宋体" w:hAnsi="宋体" w:cs="宋体"/>
          <w:color w:val="auto"/>
          <w:szCs w:val="21"/>
        </w:rPr>
        <w:t>招商人：</w:t>
      </w:r>
      <w:r>
        <w:rPr>
          <w:rFonts w:hint="eastAsia" w:hAnsi="宋体"/>
          <w:color w:val="auto"/>
          <w:szCs w:val="21"/>
        </w:rPr>
        <w:t>湖北空港首广联合传媒有限公司</w:t>
      </w:r>
      <w:r>
        <w:rPr>
          <w:rFonts w:hint="eastAsia" w:ascii="宋体" w:hAnsi="宋体" w:cs="宋体"/>
          <w:color w:val="auto"/>
          <w:szCs w:val="21"/>
        </w:rPr>
        <w:t xml:space="preserve">    代理机构：</w:t>
      </w:r>
      <w:r>
        <w:rPr>
          <w:rFonts w:hint="eastAsia" w:hAnsi="宋体"/>
          <w:color w:val="auto"/>
          <w:szCs w:val="21"/>
        </w:rPr>
        <w:t>湖北省成套招标股份有限公司</w:t>
      </w:r>
    </w:p>
    <w:p>
      <w:pPr>
        <w:pStyle w:val="6"/>
        <w:spacing w:line="360" w:lineRule="auto"/>
        <w:jc w:val="right"/>
        <w:rPr>
          <w:rFonts w:hAnsi="宋体"/>
          <w:color w:val="auto"/>
          <w:szCs w:val="21"/>
        </w:rPr>
      </w:pPr>
      <w:r>
        <w:rPr>
          <w:rFonts w:hint="eastAsia" w:ascii="宋体" w:hAnsi="宋体" w:cs="宋体"/>
          <w:color w:val="auto"/>
          <w:szCs w:val="21"/>
        </w:rPr>
        <w:t>地  址：</w:t>
      </w:r>
      <w:r>
        <w:rPr>
          <w:rFonts w:hint="eastAsia" w:hAnsi="宋体"/>
          <w:color w:val="auto"/>
          <w:szCs w:val="21"/>
        </w:rPr>
        <w:t xml:space="preserve">武汉天河机场                    </w:t>
      </w:r>
      <w:r>
        <w:rPr>
          <w:rFonts w:hint="eastAsia" w:ascii="宋体" w:hAnsi="宋体" w:cs="宋体"/>
          <w:color w:val="auto"/>
          <w:szCs w:val="21"/>
        </w:rPr>
        <w:t>地 址：</w:t>
      </w:r>
      <w:r>
        <w:rPr>
          <w:rFonts w:hint="eastAsia" w:hAnsi="宋体"/>
          <w:color w:val="auto"/>
          <w:szCs w:val="21"/>
        </w:rPr>
        <w:t>武汉市武昌区东湖西路平安财富中心（东湖大厦正对面）B座7-10楼</w:t>
      </w:r>
    </w:p>
    <w:p>
      <w:pPr>
        <w:pStyle w:val="6"/>
        <w:spacing w:line="360" w:lineRule="auto"/>
        <w:rPr>
          <w:rFonts w:ascii="宋体" w:hAnsi="宋体" w:cs="宋体"/>
          <w:color w:val="auto"/>
          <w:szCs w:val="21"/>
        </w:rPr>
      </w:pPr>
      <w:r>
        <w:rPr>
          <w:rFonts w:hint="eastAsia" w:ascii="宋体" w:hAnsi="宋体" w:cs="宋体"/>
          <w:color w:val="auto"/>
          <w:szCs w:val="21"/>
        </w:rPr>
        <w:t>邮    编：</w:t>
      </w:r>
      <w:r>
        <w:rPr>
          <w:rFonts w:hint="eastAsia" w:hAnsi="宋体"/>
          <w:color w:val="auto"/>
          <w:szCs w:val="21"/>
        </w:rPr>
        <w:t>430302</w:t>
      </w:r>
      <w:r>
        <w:rPr>
          <w:rFonts w:hint="eastAsia" w:ascii="宋体" w:hAnsi="宋体" w:cs="宋体"/>
          <w:color w:val="auto"/>
          <w:szCs w:val="21"/>
        </w:rPr>
        <w:t xml:space="preserve">                        邮    编：</w:t>
      </w:r>
      <w:r>
        <w:rPr>
          <w:rFonts w:hint="eastAsia" w:hAnsi="宋体"/>
          <w:color w:val="auto"/>
          <w:szCs w:val="21"/>
        </w:rPr>
        <w:t>430071</w:t>
      </w:r>
    </w:p>
    <w:p>
      <w:pPr>
        <w:pStyle w:val="6"/>
        <w:spacing w:line="360" w:lineRule="auto"/>
        <w:rPr>
          <w:rFonts w:ascii="宋体" w:hAnsi="宋体" w:cs="宋体"/>
          <w:color w:val="auto"/>
          <w:szCs w:val="21"/>
        </w:rPr>
      </w:pPr>
      <w:r>
        <w:rPr>
          <w:rFonts w:hint="eastAsia" w:ascii="宋体" w:hAnsi="宋体" w:cs="宋体"/>
          <w:color w:val="auto"/>
          <w:szCs w:val="21"/>
        </w:rPr>
        <w:t>联 系 人：陈丰 熊薇</w:t>
      </w:r>
      <w:r>
        <w:rPr>
          <w:rFonts w:hint="eastAsia"/>
          <w:color w:val="auto"/>
        </w:rPr>
        <w:t xml:space="preserve">  </w:t>
      </w:r>
      <w:r>
        <w:rPr>
          <w:rFonts w:hint="eastAsia" w:hAnsi="宋体"/>
          <w:color w:val="auto"/>
          <w:szCs w:val="21"/>
        </w:rPr>
        <w:t xml:space="preserve">     </w:t>
      </w:r>
      <w:r>
        <w:rPr>
          <w:rFonts w:hint="eastAsia" w:ascii="宋体" w:hAnsi="宋体" w:cs="宋体"/>
          <w:color w:val="auto"/>
          <w:szCs w:val="21"/>
        </w:rPr>
        <w:t xml:space="preserve">              联 系 人：</w:t>
      </w:r>
      <w:r>
        <w:rPr>
          <w:rFonts w:hint="eastAsia" w:hAnsi="宋体"/>
          <w:color w:val="auto"/>
          <w:szCs w:val="21"/>
        </w:rPr>
        <w:t>胡小康、郭亚楠</w:t>
      </w:r>
      <w:r>
        <w:rPr>
          <w:rFonts w:hint="eastAsia" w:ascii="宋体" w:hAnsi="宋体" w:cs="宋体"/>
          <w:color w:val="auto"/>
          <w:szCs w:val="21"/>
        </w:rPr>
        <w:t xml:space="preserve"> </w:t>
      </w:r>
    </w:p>
    <w:p>
      <w:pPr>
        <w:pStyle w:val="6"/>
        <w:spacing w:line="360" w:lineRule="auto"/>
        <w:rPr>
          <w:rFonts w:hint="eastAsia" w:ascii="宋体" w:hAnsi="宋体" w:cs="宋体"/>
          <w:color w:val="auto"/>
          <w:szCs w:val="21"/>
        </w:rPr>
      </w:pPr>
      <w:r>
        <w:rPr>
          <w:rFonts w:hint="eastAsia" w:ascii="宋体" w:hAnsi="宋体" w:cs="宋体"/>
          <w:color w:val="auto"/>
          <w:szCs w:val="21"/>
        </w:rPr>
        <w:t>电    话：0</w:t>
      </w:r>
      <w:r>
        <w:rPr>
          <w:rFonts w:ascii="宋体" w:hAnsi="宋体" w:cs="宋体"/>
          <w:color w:val="auto"/>
          <w:szCs w:val="21"/>
        </w:rPr>
        <w:t>27</w:t>
      </w:r>
      <w:r>
        <w:rPr>
          <w:rFonts w:hint="eastAsia" w:ascii="宋体" w:hAnsi="宋体" w:cs="宋体"/>
          <w:color w:val="auto"/>
          <w:szCs w:val="21"/>
        </w:rPr>
        <w:t>-</w:t>
      </w:r>
      <w:r>
        <w:rPr>
          <w:rFonts w:ascii="宋体" w:hAnsi="宋体" w:cs="宋体"/>
          <w:color w:val="auto"/>
          <w:szCs w:val="21"/>
        </w:rPr>
        <w:t>85819250/85819672</w:t>
      </w:r>
      <w:r>
        <w:rPr>
          <w:rFonts w:hint="eastAsia" w:ascii="宋体" w:hAnsi="宋体" w:cs="宋体"/>
          <w:color w:val="auto"/>
          <w:szCs w:val="21"/>
        </w:rPr>
        <w:t xml:space="preserve">         电   话：</w:t>
      </w:r>
      <w:r>
        <w:rPr>
          <w:rFonts w:hint="eastAsia" w:hAnsi="宋体"/>
          <w:color w:val="auto"/>
          <w:szCs w:val="21"/>
        </w:rPr>
        <w:t xml:space="preserve">027-87816666-8613 </w:t>
      </w:r>
    </w:p>
    <w:p>
      <w:pPr>
        <w:pStyle w:val="6"/>
        <w:spacing w:line="360" w:lineRule="auto"/>
        <w:rPr>
          <w:rFonts w:ascii="宋体" w:hAnsi="宋体" w:cs="宋体"/>
          <w:color w:val="auto"/>
          <w:szCs w:val="21"/>
        </w:rPr>
      </w:pPr>
      <w:r>
        <w:rPr>
          <w:rFonts w:hint="eastAsia" w:ascii="宋体" w:hAnsi="宋体" w:cs="宋体"/>
          <w:color w:val="auto"/>
          <w:szCs w:val="21"/>
        </w:rPr>
        <w:t>电子邮件：  /                          电子邮件：1042197081</w:t>
      </w:r>
      <w:r>
        <w:rPr>
          <w:rFonts w:hint="eastAsia" w:hAnsi="宋体"/>
          <w:color w:val="auto"/>
          <w:szCs w:val="21"/>
        </w:rPr>
        <w:t>@qq.com</w:t>
      </w:r>
    </w:p>
    <w:p>
      <w:pPr>
        <w:pStyle w:val="6"/>
        <w:spacing w:line="360" w:lineRule="auto"/>
        <w:rPr>
          <w:rFonts w:ascii="宋体" w:hAnsi="宋体" w:cs="宋体"/>
          <w:color w:val="auto"/>
          <w:szCs w:val="21"/>
        </w:rPr>
      </w:pPr>
      <w:r>
        <w:rPr>
          <w:rFonts w:hint="eastAsia" w:ascii="宋体" w:hAnsi="宋体" w:cs="宋体"/>
          <w:color w:val="auto"/>
          <w:szCs w:val="21"/>
        </w:rPr>
        <w:t>网    址：  /                          网    址：</w:t>
      </w:r>
      <w:r>
        <w:rPr>
          <w:color w:val="auto"/>
        </w:rPr>
        <w:fldChar w:fldCharType="begin"/>
      </w:r>
      <w:r>
        <w:rPr>
          <w:color w:val="auto"/>
        </w:rPr>
        <w:instrText xml:space="preserve"> HYPERLINK "http://www.hubeibidding.com" </w:instrText>
      </w:r>
      <w:r>
        <w:rPr>
          <w:color w:val="auto"/>
        </w:rPr>
        <w:fldChar w:fldCharType="separate"/>
      </w:r>
      <w:r>
        <w:rPr>
          <w:rStyle w:val="5"/>
          <w:rFonts w:hint="eastAsia" w:ascii="宋体" w:hAnsi="宋体" w:cs="宋体"/>
          <w:color w:val="auto"/>
          <w:szCs w:val="21"/>
        </w:rPr>
        <w:t>www.hubeibidding.com</w:t>
      </w:r>
      <w:r>
        <w:rPr>
          <w:rStyle w:val="5"/>
          <w:rFonts w:hint="eastAsia" w:ascii="宋体" w:hAnsi="宋体" w:cs="宋体"/>
          <w:color w:val="auto"/>
          <w:szCs w:val="21"/>
        </w:rPr>
        <w:fldChar w:fldCharType="end"/>
      </w:r>
      <w:r>
        <w:rPr>
          <w:rFonts w:hint="eastAsia" w:ascii="宋体" w:hAnsi="宋体" w:cs="宋体"/>
          <w:color w:val="auto"/>
          <w:szCs w:val="21"/>
        </w:rPr>
        <w:t xml:space="preserve"> </w:t>
      </w:r>
    </w:p>
    <w:p>
      <w:pPr>
        <w:pStyle w:val="6"/>
        <w:spacing w:line="360" w:lineRule="auto"/>
        <w:rPr>
          <w:rFonts w:ascii="宋体" w:hAnsi="宋体" w:cs="宋体"/>
          <w:color w:val="auto"/>
          <w:szCs w:val="21"/>
        </w:rPr>
      </w:pPr>
      <w:r>
        <w:rPr>
          <w:rFonts w:hint="eastAsia" w:ascii="宋体" w:hAnsi="宋体" w:cs="宋体"/>
          <w:color w:val="auto"/>
          <w:szCs w:val="21"/>
        </w:rPr>
        <w:t>开户银行：  /                          开户银行：中国银行武汉中南路支行</w:t>
      </w:r>
    </w:p>
    <w:p>
      <w:pPr>
        <w:tabs>
          <w:tab w:val="left" w:pos="540"/>
          <w:tab w:val="left" w:pos="840"/>
        </w:tabs>
        <w:spacing w:line="360" w:lineRule="auto"/>
        <w:rPr>
          <w:rFonts w:ascii="宋体" w:hAnsi="宋体" w:cs="宋体"/>
          <w:color w:val="auto"/>
          <w:szCs w:val="21"/>
        </w:rPr>
      </w:pPr>
      <w:r>
        <w:rPr>
          <w:rFonts w:hint="eastAsia" w:ascii="宋体" w:hAnsi="宋体" w:cs="宋体"/>
          <w:color w:val="auto"/>
          <w:szCs w:val="21"/>
        </w:rPr>
        <w:t>账    号：  /                          账    号：572976591978</w:t>
      </w:r>
    </w:p>
    <w:bookmarkEnd w:id="76"/>
    <w:p>
      <w:pPr>
        <w:numPr>
          <w:ilvl w:val="0"/>
          <w:numId w:val="1"/>
        </w:numPr>
        <w:tabs>
          <w:tab w:val="left" w:pos="540"/>
          <w:tab w:val="left" w:pos="840"/>
        </w:tabs>
        <w:spacing w:line="360" w:lineRule="auto"/>
        <w:outlineLvl w:val="1"/>
        <w:rPr>
          <w:rFonts w:hint="eastAsia" w:ascii="宋体" w:hAnsi="宋体" w:cs="宋体"/>
          <w:b/>
          <w:color w:val="auto"/>
          <w:szCs w:val="21"/>
        </w:rPr>
      </w:pPr>
      <w:bookmarkStart w:id="77" w:name="_Toc12626"/>
      <w:bookmarkStart w:id="78" w:name="_Toc20380"/>
      <w:bookmarkStart w:id="79" w:name="_Toc97300612"/>
      <w:bookmarkStart w:id="80" w:name="_Toc14863"/>
      <w:bookmarkStart w:id="81" w:name="_Toc6831"/>
      <w:bookmarkStart w:id="82" w:name="_Toc10642"/>
      <w:r>
        <w:rPr>
          <w:rFonts w:hint="eastAsia" w:ascii="宋体" w:hAnsi="宋体" w:cs="宋体"/>
          <w:b/>
          <w:color w:val="auto"/>
          <w:szCs w:val="21"/>
        </w:rPr>
        <w:t>信息发布媒体</w:t>
      </w:r>
      <w:bookmarkEnd w:id="77"/>
      <w:bookmarkEnd w:id="78"/>
      <w:bookmarkEnd w:id="79"/>
      <w:bookmarkEnd w:id="80"/>
      <w:bookmarkEnd w:id="81"/>
      <w:bookmarkEnd w:id="82"/>
    </w:p>
    <w:p>
      <w:pPr>
        <w:tabs>
          <w:tab w:val="left" w:pos="540"/>
          <w:tab w:val="left" w:pos="840"/>
        </w:tabs>
        <w:spacing w:line="360" w:lineRule="auto"/>
        <w:outlineLvl w:val="1"/>
        <w:rPr>
          <w:rFonts w:hint="eastAsia" w:hAnsi="宋体"/>
          <w:bCs/>
          <w:color w:val="auto"/>
          <w:szCs w:val="21"/>
        </w:rPr>
      </w:pPr>
      <w:bookmarkStart w:id="83" w:name="_Toc22021"/>
      <w:bookmarkStart w:id="84" w:name="_Toc8265"/>
      <w:bookmarkStart w:id="85" w:name="_Toc26384"/>
      <w:r>
        <w:rPr>
          <w:rFonts w:hint="eastAsia" w:hAnsi="宋体"/>
          <w:bCs/>
          <w:color w:val="auto"/>
          <w:szCs w:val="21"/>
        </w:rPr>
        <w:t>《中国招标投标公共服务平台》《湖北机场集团有限公司网》《首都机场集团传媒有限公司网》</w:t>
      </w:r>
      <w:bookmarkEnd w:id="83"/>
      <w:bookmarkEnd w:id="84"/>
      <w:bookmarkEnd w:id="85"/>
    </w:p>
    <w:p>
      <w:pPr>
        <w:pStyle w:val="2"/>
        <w:rPr>
          <w:rFonts w:hint="eastAsia"/>
          <w:color w:val="auto"/>
        </w:rPr>
      </w:pPr>
    </w:p>
    <w:p>
      <w:pPr>
        <w:spacing w:line="360" w:lineRule="auto"/>
        <w:jc w:val="right"/>
        <w:rPr>
          <w:rFonts w:hAnsi="宋体"/>
          <w:b/>
          <w:color w:val="auto"/>
          <w:szCs w:val="21"/>
        </w:rPr>
      </w:pPr>
      <w:r>
        <w:rPr>
          <w:rFonts w:hint="eastAsia" w:hAnsi="宋体"/>
          <w:b/>
          <w:color w:val="auto"/>
          <w:szCs w:val="21"/>
        </w:rPr>
        <w:t>湖北省成套招标股份有限公司</w:t>
      </w:r>
    </w:p>
    <w:p>
      <w:pPr>
        <w:wordWrap w:val="0"/>
        <w:spacing w:line="360" w:lineRule="auto"/>
        <w:ind w:firstLine="6325" w:firstLineChars="3000"/>
        <w:rPr>
          <w:color w:val="auto"/>
        </w:rPr>
      </w:pPr>
      <w:bookmarkStart w:id="86" w:name="_GoBack"/>
      <w:bookmarkEnd w:id="86"/>
      <w:r>
        <w:rPr>
          <w:rFonts w:hint="eastAsia" w:hAnsi="宋体"/>
          <w:b/>
          <w:color w:val="auto"/>
          <w:szCs w:val="21"/>
        </w:rPr>
        <w:t>2024年</w:t>
      </w:r>
      <w:r>
        <w:rPr>
          <w:rFonts w:hint="eastAsia" w:hAnsi="宋体"/>
          <w:b/>
          <w:color w:val="auto"/>
          <w:szCs w:val="21"/>
          <w:lang w:val="en-US" w:eastAsia="zh-CN"/>
        </w:rPr>
        <w:t>08</w:t>
      </w:r>
      <w:r>
        <w:rPr>
          <w:rFonts w:hint="eastAsia" w:hAnsi="宋体"/>
          <w:b/>
          <w:color w:val="auto"/>
          <w:szCs w:val="21"/>
        </w:rPr>
        <w:t>月</w:t>
      </w:r>
      <w:r>
        <w:rPr>
          <w:rFonts w:hint="eastAsia" w:hAnsi="宋体"/>
          <w:b/>
          <w:color w:val="auto"/>
          <w:szCs w:val="21"/>
          <w:lang w:val="en-US" w:eastAsia="zh-CN"/>
        </w:rPr>
        <w:t>14</w:t>
      </w:r>
      <w:r>
        <w:rPr>
          <w:rFonts w:hint="eastAsia" w:hAnsi="宋体"/>
          <w:b/>
          <w:color w:val="auto"/>
          <w:szCs w:val="21"/>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61B31"/>
    <w:multiLevelType w:val="singleLevel"/>
    <w:tmpl w:val="F7461B3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1EF0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adjustRightInd w:val="0"/>
      <w:spacing w:line="360" w:lineRule="atLeast"/>
      <w:jc w:val="center"/>
      <w:textAlignment w:val="baseline"/>
    </w:pPr>
    <w:rPr>
      <w:rFonts w:ascii="宋体"/>
      <w:kern w:val="0"/>
      <w:sz w:val="28"/>
      <w:szCs w:val="20"/>
    </w:rPr>
  </w:style>
  <w:style w:type="character" w:styleId="5">
    <w:name w:val="Hyperlink"/>
    <w:uiPriority w:val="99"/>
    <w:rPr>
      <w:color w:val="0000FF"/>
      <w:u w:val="single"/>
    </w:rPr>
  </w:style>
  <w:style w:type="paragraph" w:customStyle="1" w:styleId="6">
    <w:name w:val="正文_1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2024-08-12T04:55:26Z</dcterms:created>
  <dc:creator>HP</dc:creator>
  <cp:lastModifiedBy>郭亚楠</cp:lastModifiedBy>
  <dcterms:modified xsi:type="dcterms:W3CDTF">2024-08-12T04:56:14Z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0784C5529CCD403E8DBAE557237DE386_12</vt:lpwstr>
  </property>
</Properties>
</file>