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武汉天河机场T3航站楼2023年第六批商业项目招商公告</w:t>
      </w:r>
    </w:p>
    <w:p>
      <w:pPr>
        <w:spacing w:line="360" w:lineRule="auto"/>
        <w:ind w:firstLine="435"/>
        <w:rPr>
          <w:rFonts w:hint="eastAsia" w:ascii="宋体" w:hAnsi="宋体" w:cs="宋体"/>
          <w:color w:val="auto"/>
          <w:szCs w:val="21"/>
        </w:rPr>
      </w:pPr>
      <w:bookmarkStart w:id="0" w:name="_Hlk102646352"/>
      <w:r>
        <w:rPr>
          <w:rFonts w:hint="eastAsia" w:ascii="宋体" w:hAnsi="宋体" w:cs="宋体"/>
          <w:color w:val="auto"/>
          <w:szCs w:val="21"/>
        </w:rPr>
        <w:t>湖北省成套招标股份有限公司（以下简称“招商代理机构”） 受湖北机场集团实业发展有限公司（以下简称“招商人”）的委托，对</w:t>
      </w:r>
      <w:r>
        <w:rPr>
          <w:rFonts w:hint="eastAsia" w:ascii="Calibri" w:hAnsi="宋体"/>
          <w:color w:val="auto"/>
          <w:szCs w:val="21"/>
        </w:rPr>
        <w:t>武汉天河机场T3航站楼2023年第六批商业项目</w:t>
      </w:r>
      <w:r>
        <w:rPr>
          <w:rFonts w:hint="eastAsia" w:ascii="宋体" w:hAnsi="宋体" w:cs="宋体"/>
          <w:color w:val="auto"/>
          <w:szCs w:val="21"/>
        </w:rPr>
        <w:t>进行招商。资金来源：</w:t>
      </w:r>
      <w:r>
        <w:rPr>
          <w:rFonts w:hint="eastAsia" w:ascii="Calibri" w:hAnsi="宋体"/>
          <w:color w:val="auto"/>
          <w:szCs w:val="21"/>
        </w:rPr>
        <w:t>招商响应人自筹</w:t>
      </w:r>
      <w:r>
        <w:rPr>
          <w:rFonts w:hint="eastAsia" w:ascii="宋体" w:hAnsi="宋体" w:cs="宋体"/>
          <w:color w:val="auto"/>
          <w:szCs w:val="21"/>
        </w:rPr>
        <w:t>。欢迎符合资格条件的招商响应人参加磋商。</w:t>
      </w:r>
    </w:p>
    <w:p>
      <w:pPr>
        <w:spacing w:before="120" w:beforeLines="50" w:after="120" w:afterLines="50" w:line="360" w:lineRule="auto"/>
        <w:outlineLvl w:val="1"/>
        <w:rPr>
          <w:rFonts w:hint="eastAsia" w:ascii="宋体" w:hAnsi="宋体" w:cs="宋体"/>
          <w:b/>
          <w:color w:val="auto"/>
          <w:szCs w:val="21"/>
        </w:rPr>
      </w:pPr>
      <w:bookmarkStart w:id="1" w:name="_Toc365302267"/>
      <w:bookmarkStart w:id="2" w:name="_Toc6581"/>
      <w:bookmarkStart w:id="3" w:name="_Toc380747815"/>
      <w:bookmarkStart w:id="4" w:name="_Toc23331"/>
      <w:bookmarkStart w:id="5" w:name="_Toc24986"/>
      <w:bookmarkStart w:id="6" w:name="_Toc19939"/>
      <w:bookmarkStart w:id="7" w:name="_Toc9876"/>
      <w:r>
        <w:rPr>
          <w:rFonts w:hint="eastAsia" w:ascii="宋体" w:hAnsi="宋体" w:cs="宋体"/>
          <w:b/>
          <w:color w:val="auto"/>
          <w:szCs w:val="21"/>
        </w:rPr>
        <w:t>一、项目</w:t>
      </w:r>
      <w:bookmarkEnd w:id="1"/>
      <w:bookmarkEnd w:id="2"/>
      <w:bookmarkEnd w:id="3"/>
      <w:r>
        <w:rPr>
          <w:rFonts w:hint="eastAsia" w:ascii="宋体" w:hAnsi="宋体" w:cs="宋体"/>
          <w:b/>
          <w:color w:val="auto"/>
          <w:szCs w:val="21"/>
        </w:rPr>
        <w:t>概况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Cs w:val="21"/>
        </w:rPr>
      </w:pPr>
      <w:r>
        <w:rPr>
          <w:rFonts w:hint="eastAsia" w:ascii="宋体" w:hAnsi="宋体" w:cs="宋体"/>
          <w:color w:val="auto"/>
          <w:szCs w:val="21"/>
        </w:rPr>
        <w:t>1.招商人：</w:t>
      </w:r>
      <w:r>
        <w:rPr>
          <w:rFonts w:hint="eastAsia" w:ascii="Calibri" w:hAnsi="宋体"/>
          <w:color w:val="auto"/>
          <w:szCs w:val="21"/>
        </w:rPr>
        <w:t>湖北机场集团实业发展有限公司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2.项目名称：</w:t>
      </w:r>
      <w:r>
        <w:rPr>
          <w:rFonts w:hint="eastAsia" w:ascii="Calibri" w:hAnsi="宋体"/>
          <w:color w:val="auto"/>
          <w:szCs w:val="21"/>
        </w:rPr>
        <w:t>武汉天河机场T3航站楼2023年第六批商业项目</w:t>
      </w:r>
      <w:bookmarkStart w:id="70" w:name="_GoBack"/>
      <w:bookmarkEnd w:id="7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3.项目编号：</w:t>
      </w:r>
      <w:r>
        <w:rPr>
          <w:rFonts w:ascii="Calibri" w:hAnsi="宋体"/>
          <w:color w:val="auto"/>
          <w:szCs w:val="21"/>
        </w:rPr>
        <w:t>HBCZ-20060959-</w:t>
      </w:r>
      <w:r>
        <w:rPr>
          <w:rFonts w:hint="eastAsia" w:ascii="Calibri" w:hAnsi="宋体"/>
          <w:color w:val="auto"/>
          <w:szCs w:val="21"/>
        </w:rPr>
        <w:t>232719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宋体" w:hAnsi="宋体" w:cs="宋体"/>
          <w:color w:val="auto"/>
          <w:szCs w:val="21"/>
        </w:rPr>
        <w:t>4.招商内容</w:t>
      </w:r>
      <w:r>
        <w:rPr>
          <w:rFonts w:hint="eastAsia"/>
          <w:color w:val="auto"/>
          <w:szCs w:val="21"/>
        </w:rPr>
        <w:t>：本次招商包含餐饮、零售业态和休闲娱乐3个业态</w:t>
      </w:r>
      <w:r>
        <w:rPr>
          <w:rFonts w:hint="eastAsia" w:ascii="Calibri" w:hAnsi="宋体"/>
          <w:color w:val="auto"/>
          <w:szCs w:val="21"/>
        </w:rPr>
        <w:t>，共分</w:t>
      </w:r>
      <w:r>
        <w:rPr>
          <w:rFonts w:hint="eastAsia" w:ascii="Calibri" w:hAnsi="宋体"/>
          <w:color w:val="auto"/>
          <w:szCs w:val="21"/>
          <w:lang w:val="en-US" w:eastAsia="zh-CN"/>
        </w:rPr>
        <w:t>19</w:t>
      </w:r>
      <w:r>
        <w:rPr>
          <w:rFonts w:hint="eastAsia" w:ascii="Calibri" w:hAnsi="宋体"/>
          <w:color w:val="auto"/>
          <w:szCs w:val="21"/>
        </w:rPr>
        <w:t>个标段，具体内容详见第三章招商需求。</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47"/>
        <w:gridCol w:w="880"/>
        <w:gridCol w:w="1814"/>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jc w:val="center"/>
              <w:rPr>
                <w:rFonts w:hint="eastAsia" w:ascii="宋体" w:hAnsi="宋体" w:eastAsia="宋体" w:cs="宋体"/>
                <w:color w:val="auto"/>
                <w:sz w:val="21"/>
                <w:szCs w:val="21"/>
              </w:rPr>
            </w:pPr>
            <w:bookmarkStart w:id="8" w:name="_Toc7554"/>
            <w:bookmarkStart w:id="9" w:name="_Toc26989"/>
            <w:bookmarkStart w:id="10" w:name="_Toc27593"/>
            <w:bookmarkStart w:id="11" w:name="_Toc13835"/>
            <w:bookmarkStart w:id="12" w:name="_Toc17887"/>
            <w:bookmarkStart w:id="13" w:name="_Toc26049"/>
            <w:bookmarkStart w:id="14" w:name="_Toc1298"/>
            <w:bookmarkStart w:id="15" w:name="_Toc458503196"/>
            <w:bookmarkStart w:id="16" w:name="_Toc25557"/>
            <w:r>
              <w:rPr>
                <w:rFonts w:hint="eastAsia" w:ascii="宋体" w:hAnsi="宋体" w:eastAsia="宋体" w:cs="宋体"/>
                <w:color w:val="auto"/>
                <w:sz w:val="21"/>
                <w:szCs w:val="21"/>
              </w:rPr>
              <w:t>标段</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店铺</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业态</w:t>
            </w:r>
          </w:p>
        </w:tc>
        <w:tc>
          <w:tcPr>
            <w:tcW w:w="1814"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区域</w:t>
            </w: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面积</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招商</w:t>
            </w:r>
            <w:r>
              <w:rPr>
                <w:rFonts w:hint="eastAsia" w:ascii="宋体" w:hAnsi="宋体" w:eastAsia="宋体" w:cs="宋体"/>
                <w:color w:val="auto"/>
                <w:sz w:val="21"/>
                <w:szCs w:val="21"/>
              </w:rPr>
              <w:t>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2EC-47</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二层东集中区</w:t>
            </w: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116.44</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电子产品、文创产品、创意生活类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2EC-48</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82</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儿童用品品牌店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2EC-49</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电子产品、文创产品、创意生活类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2EC-50</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137.99</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儿童集合店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2EC-16</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190.81（56.59+56.22+78）</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品牌体验馆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2EC-17</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115.91</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潮牌集合店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2E2-17</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国航指廊口</w:t>
            </w: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知名品牌互动体验店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2EC-42</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南航指廊与东西连廊交汇处</w:t>
            </w: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117.48</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居家生活、女性生活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2EC-43</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49.34</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茶吧、书吧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2EC-44</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120.38</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便利、特产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4I-02</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四层国际候机厅</w:t>
            </w: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57.86</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人工智能体验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4I-11</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59.69</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国内特色商品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4I-12</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57.89</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国内特色商品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4I-15</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47.04</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国内特色商品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4I-14</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56.26</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国内特色商品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4I-01</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轻餐饮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177.77</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品牌茶餐厅/西式品牌连锁餐饮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2A-31</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餐饮</w:t>
            </w:r>
          </w:p>
        </w:tc>
        <w:tc>
          <w:tcPr>
            <w:tcW w:w="1814"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二层到达厅</w:t>
            </w: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373.84</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中餐/茶餐厅/亚洲美食等集合区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2A-05</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零售</w:t>
            </w:r>
          </w:p>
        </w:tc>
        <w:tc>
          <w:tcPr>
            <w:tcW w:w="1814" w:type="dxa"/>
            <w:vMerge w:val="continue"/>
            <w:noWrap w:val="0"/>
            <w:vAlign w:val="center"/>
          </w:tcPr>
          <w:p>
            <w:pPr>
              <w:jc w:val="center"/>
              <w:rPr>
                <w:rFonts w:hint="eastAsia" w:ascii="宋体" w:hAnsi="宋体" w:eastAsia="宋体" w:cs="宋体"/>
                <w:color w:val="auto"/>
                <w:sz w:val="21"/>
                <w:szCs w:val="21"/>
              </w:rPr>
            </w:pP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33.64</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书店+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144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2M-01、</w:t>
            </w:r>
            <w:r>
              <w:rPr>
                <w:rFonts w:hint="eastAsia" w:ascii="宋体" w:hAnsi="宋体" w:eastAsia="宋体" w:cs="宋体"/>
                <w:color w:val="auto"/>
                <w:sz w:val="21"/>
                <w:szCs w:val="21"/>
                <w:lang w:val="en-US" w:eastAsia="zh-CN"/>
              </w:rPr>
              <w:t>2M-</w:t>
            </w:r>
            <w:r>
              <w:rPr>
                <w:rFonts w:hint="eastAsia" w:ascii="宋体" w:hAnsi="宋体" w:eastAsia="宋体" w:cs="宋体"/>
                <w:color w:val="auto"/>
                <w:sz w:val="21"/>
                <w:szCs w:val="21"/>
              </w:rPr>
              <w:t>02</w:t>
            </w:r>
          </w:p>
        </w:tc>
        <w:tc>
          <w:tcPr>
            <w:tcW w:w="88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休闲娱乐</w:t>
            </w:r>
          </w:p>
        </w:tc>
        <w:tc>
          <w:tcPr>
            <w:tcW w:w="1814"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东西连廊交汇处</w:t>
            </w:r>
          </w:p>
        </w:tc>
        <w:tc>
          <w:tcPr>
            <w:tcW w:w="12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178</w:t>
            </w:r>
          </w:p>
        </w:tc>
        <w:tc>
          <w:tcPr>
            <w:tcW w:w="21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酒文化体验区</w:t>
            </w:r>
          </w:p>
        </w:tc>
      </w:tr>
    </w:tbl>
    <w:p>
      <w:pPr>
        <w:numPr>
          <w:ilvl w:val="0"/>
          <w:numId w:val="1"/>
        </w:numPr>
        <w:autoSpaceDE w:val="0"/>
        <w:autoSpaceDN w:val="0"/>
        <w:spacing w:line="360" w:lineRule="auto"/>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合同期限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标段1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15、18的合同期限均为3年，合同执行期限自适用场地交付起开始计算。装修免租期为适用场地交付之日起60个日历日。其中非乙方原因导致的停工，在提供相应证明文件后，可不计入免租期，具体以</w:t>
      </w:r>
      <w:r>
        <w:rPr>
          <w:rFonts w:hint="eastAsia" w:ascii="宋体" w:hAnsi="宋体" w:eastAsia="宋体" w:cs="宋体"/>
          <w:color w:val="auto"/>
          <w:sz w:val="21"/>
          <w:szCs w:val="21"/>
          <w:lang w:val="en-US" w:eastAsia="zh-CN"/>
        </w:rPr>
        <w:t>招商人</w:t>
      </w:r>
      <w:r>
        <w:rPr>
          <w:rFonts w:hint="eastAsia" w:ascii="宋体" w:hAnsi="宋体" w:eastAsia="宋体" w:cs="宋体"/>
          <w:color w:val="auto"/>
          <w:sz w:val="21"/>
          <w:szCs w:val="21"/>
        </w:rPr>
        <w:t>审批为准。如提前完成装修并开业以实际开业之日起租。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标段16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17的合同期限均为5年，合同执行期限自适用场地交付起开始计算。装修免租期为适用场地交付之日起90个日历日。其中非乙方原因导致的停工，在提供相应证明文件后，可不计入免租期，具体以</w:t>
      </w:r>
      <w:r>
        <w:rPr>
          <w:rFonts w:hint="eastAsia" w:ascii="宋体" w:hAnsi="宋体" w:eastAsia="宋体" w:cs="宋体"/>
          <w:color w:val="auto"/>
          <w:sz w:val="21"/>
          <w:szCs w:val="21"/>
          <w:lang w:val="en-US" w:eastAsia="zh-CN"/>
        </w:rPr>
        <w:t>招商人</w:t>
      </w:r>
      <w:r>
        <w:rPr>
          <w:rFonts w:hint="eastAsia" w:ascii="宋体" w:hAnsi="宋体" w:eastAsia="宋体" w:cs="宋体"/>
          <w:color w:val="auto"/>
          <w:sz w:val="21"/>
          <w:szCs w:val="21"/>
        </w:rPr>
        <w:t>审批为准。如提前完成装修并开业以实际开业之日起租。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标段</w:t>
      </w:r>
      <w:r>
        <w:rPr>
          <w:rFonts w:hint="eastAsia" w:ascii="宋体" w:hAnsi="宋体" w:eastAsia="宋体" w:cs="宋体"/>
          <w:color w:val="auto"/>
          <w:sz w:val="21"/>
          <w:szCs w:val="21"/>
          <w:lang w:val="en-US" w:eastAsia="zh-CN"/>
        </w:rPr>
        <w:t>19的</w:t>
      </w:r>
      <w:r>
        <w:rPr>
          <w:rFonts w:hint="eastAsia" w:ascii="宋体" w:hAnsi="宋体" w:eastAsia="宋体" w:cs="宋体"/>
          <w:color w:val="auto"/>
          <w:sz w:val="21"/>
          <w:szCs w:val="21"/>
        </w:rPr>
        <w:t>合同期限为3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年，协议期满前3个月，</w:t>
      </w:r>
      <w:r>
        <w:rPr>
          <w:rFonts w:hint="eastAsia" w:ascii="宋体" w:hAnsi="宋体" w:eastAsia="宋体" w:cs="宋体"/>
          <w:color w:val="auto"/>
          <w:sz w:val="21"/>
          <w:szCs w:val="21"/>
          <w:lang w:val="en-US" w:eastAsia="zh-CN"/>
        </w:rPr>
        <w:t>成交单位</w:t>
      </w:r>
      <w:r>
        <w:rPr>
          <w:rFonts w:hint="eastAsia" w:ascii="宋体" w:hAnsi="宋体" w:eastAsia="宋体" w:cs="宋体"/>
          <w:color w:val="auto"/>
          <w:sz w:val="21"/>
          <w:szCs w:val="21"/>
        </w:rPr>
        <w:t>如有继续经营的意向，需向</w:t>
      </w:r>
      <w:r>
        <w:rPr>
          <w:rFonts w:hint="eastAsia" w:ascii="宋体" w:hAnsi="宋体" w:eastAsia="宋体" w:cs="宋体"/>
          <w:color w:val="auto"/>
          <w:sz w:val="21"/>
          <w:szCs w:val="21"/>
          <w:lang w:val="en-US" w:eastAsia="zh-CN"/>
        </w:rPr>
        <w:t>招商人</w:t>
      </w:r>
      <w:r>
        <w:rPr>
          <w:rFonts w:hint="eastAsia" w:ascii="宋体" w:hAnsi="宋体" w:eastAsia="宋体" w:cs="宋体"/>
          <w:color w:val="auto"/>
          <w:sz w:val="21"/>
          <w:szCs w:val="21"/>
        </w:rPr>
        <w:t>提出书面续约申请，</w:t>
      </w:r>
      <w:r>
        <w:rPr>
          <w:rFonts w:hint="eastAsia" w:ascii="宋体" w:hAnsi="宋体" w:eastAsia="宋体" w:cs="宋体"/>
          <w:color w:val="auto"/>
          <w:sz w:val="21"/>
          <w:szCs w:val="21"/>
          <w:lang w:val="en-US" w:eastAsia="zh-CN"/>
        </w:rPr>
        <w:t>招商人</w:t>
      </w: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成交单位</w:t>
      </w:r>
      <w:r>
        <w:rPr>
          <w:rFonts w:hint="eastAsia" w:ascii="宋体" w:hAnsi="宋体" w:eastAsia="宋体" w:cs="宋体"/>
          <w:color w:val="auto"/>
          <w:sz w:val="21"/>
          <w:szCs w:val="21"/>
        </w:rPr>
        <w:t>在商业资源租赁经营期限内经营状况进行评估，根据评估结果，</w:t>
      </w:r>
      <w:r>
        <w:rPr>
          <w:rFonts w:hint="eastAsia" w:ascii="宋体" w:hAnsi="宋体" w:eastAsia="宋体" w:cs="宋体"/>
          <w:color w:val="auto"/>
          <w:sz w:val="21"/>
          <w:szCs w:val="21"/>
          <w:lang w:val="en-US" w:eastAsia="zh-CN"/>
        </w:rPr>
        <w:t>招商人</w:t>
      </w:r>
      <w:r>
        <w:rPr>
          <w:rFonts w:hint="eastAsia" w:ascii="宋体" w:hAnsi="宋体" w:eastAsia="宋体" w:cs="宋体"/>
          <w:color w:val="auto"/>
          <w:sz w:val="21"/>
          <w:szCs w:val="21"/>
        </w:rPr>
        <w:t>可做出是否继续合作的决定。合同执行期限自适用场地交付起开始计算。装修免租期为适用场地交付之日起60个日历日。其中非乙方原因导致的停工，在提供相应证明文件后，可不计入免租期，具体以</w:t>
      </w:r>
      <w:r>
        <w:rPr>
          <w:rFonts w:hint="eastAsia" w:ascii="宋体" w:hAnsi="宋体" w:eastAsia="宋体" w:cs="宋体"/>
          <w:color w:val="auto"/>
          <w:sz w:val="21"/>
          <w:szCs w:val="21"/>
          <w:lang w:val="en-US" w:eastAsia="zh-CN"/>
        </w:rPr>
        <w:t>招商人</w:t>
      </w:r>
      <w:r>
        <w:rPr>
          <w:rFonts w:hint="eastAsia" w:ascii="宋体" w:hAnsi="宋体" w:eastAsia="宋体" w:cs="宋体"/>
          <w:color w:val="auto"/>
          <w:sz w:val="21"/>
          <w:szCs w:val="21"/>
        </w:rPr>
        <w:t>审批为准。如提前完成装修并开业以实际开业之日起租。</w:t>
      </w:r>
    </w:p>
    <w:p>
      <w:pPr>
        <w:autoSpaceDE w:val="0"/>
        <w:autoSpaceDN w:val="0"/>
        <w:spacing w:line="360" w:lineRule="auto"/>
        <w:ind w:firstLine="422" w:firstLineChars="200"/>
        <w:outlineLvl w:val="1"/>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 w:val="21"/>
          <w:szCs w:val="21"/>
        </w:rPr>
        <w:t>说明：多标段竞标的规定：本次招商共分</w:t>
      </w:r>
      <w:r>
        <w:rPr>
          <w:rFonts w:hint="eastAsia" w:ascii="宋体" w:hAnsi="宋体" w:eastAsia="宋体" w:cs="宋体"/>
          <w:b/>
          <w:bCs/>
          <w:color w:val="auto"/>
          <w:kern w:val="0"/>
          <w:sz w:val="21"/>
          <w:szCs w:val="21"/>
          <w:lang w:val="en-US" w:eastAsia="zh-CN"/>
        </w:rPr>
        <w:t>19</w:t>
      </w:r>
      <w:r>
        <w:rPr>
          <w:rFonts w:hint="eastAsia" w:ascii="宋体" w:hAnsi="宋体" w:eastAsia="宋体" w:cs="宋体"/>
          <w:b/>
          <w:bCs/>
          <w:color w:val="auto"/>
          <w:kern w:val="0"/>
          <w:sz w:val="21"/>
          <w:szCs w:val="21"/>
        </w:rPr>
        <w:t>个标段，招商响应人可以每个标段均投，也可以只投其中1个标段，本项目允许</w:t>
      </w:r>
      <w:r>
        <w:rPr>
          <w:rFonts w:hint="eastAsia" w:ascii="宋体" w:hAnsi="宋体" w:cs="宋体"/>
          <w:b/>
          <w:bCs/>
          <w:color w:val="auto"/>
          <w:kern w:val="0"/>
          <w:szCs w:val="21"/>
        </w:rPr>
        <w:t>多投多中，参与多个标段竞标的响应人需要分别针对各标段单独制作响应文件</w:t>
      </w:r>
      <w:bookmarkEnd w:id="8"/>
      <w:bookmarkEnd w:id="9"/>
      <w:r>
        <w:rPr>
          <w:rFonts w:hint="eastAsia" w:ascii="宋体" w:hAnsi="宋体" w:cs="宋体"/>
          <w:b/>
          <w:bCs/>
          <w:color w:val="auto"/>
          <w:kern w:val="0"/>
          <w:szCs w:val="21"/>
          <w:lang w:eastAsia="zh-CN"/>
        </w:rPr>
        <w:t>。</w:t>
      </w:r>
    </w:p>
    <w:p>
      <w:pPr>
        <w:autoSpaceDE w:val="0"/>
        <w:autoSpaceDN w:val="0"/>
        <w:spacing w:line="360" w:lineRule="auto"/>
        <w:outlineLvl w:val="1"/>
        <w:rPr>
          <w:rFonts w:hint="eastAsia" w:ascii="宋体" w:hAnsi="宋体" w:cs="宋体"/>
          <w:b/>
          <w:bCs/>
          <w:color w:val="auto"/>
          <w:kern w:val="0"/>
          <w:szCs w:val="21"/>
        </w:rPr>
      </w:pPr>
      <w:bookmarkStart w:id="17" w:name="_Toc28248"/>
      <w:bookmarkStart w:id="18" w:name="_Toc29041"/>
      <w:r>
        <w:rPr>
          <w:rFonts w:hint="eastAsia" w:ascii="宋体" w:hAnsi="宋体" w:cs="宋体"/>
          <w:b/>
          <w:bCs/>
          <w:color w:val="auto"/>
          <w:kern w:val="0"/>
          <w:szCs w:val="21"/>
        </w:rPr>
        <w:t>二、响应资格及要求</w:t>
      </w:r>
      <w:bookmarkEnd w:id="10"/>
      <w:bookmarkEnd w:id="11"/>
      <w:bookmarkEnd w:id="12"/>
      <w:bookmarkEnd w:id="13"/>
      <w:bookmarkEnd w:id="14"/>
      <w:bookmarkEnd w:id="15"/>
      <w:bookmarkEnd w:id="16"/>
      <w:bookmarkEnd w:id="17"/>
      <w:bookmarkEnd w:id="18"/>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bookmarkStart w:id="19" w:name="_Hlk101967162"/>
      <w:bookmarkStart w:id="20" w:name="_Toc19838"/>
      <w:r>
        <w:rPr>
          <w:rFonts w:hint="eastAsia" w:ascii="宋体" w:hAnsi="宋体" w:cs="宋体"/>
          <w:color w:val="auto"/>
          <w:kern w:val="0"/>
          <w:szCs w:val="21"/>
        </w:rPr>
        <w:t>1.招商响应人应为符合中国法律法规及行业经营管理规定、具有行业必要从业执照或资质的境内企业法人；</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 招商响应人须具备自有品牌的生产企业或自有注册商标的经销商或具备合法代理资格的代理商；如引进非自有品牌，须提供有效的品牌授权书、特殊行业授权书；</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3.符合运营</w:t>
      </w:r>
      <w:r>
        <w:rPr>
          <w:rFonts w:hint="eastAsia" w:ascii="宋体" w:hAnsi="宋体" w:cs="宋体"/>
          <w:color w:val="auto"/>
          <w:kern w:val="0"/>
          <w:szCs w:val="21"/>
          <w:lang w:val="en-US" w:eastAsia="zh-CN"/>
        </w:rPr>
        <w:t>竞标</w:t>
      </w:r>
      <w:r>
        <w:rPr>
          <w:rFonts w:hint="eastAsia" w:ascii="宋体" w:hAnsi="宋体" w:cs="宋体"/>
          <w:color w:val="auto"/>
          <w:kern w:val="0"/>
          <w:szCs w:val="21"/>
        </w:rPr>
        <w:t>项目所需的国家规定的相关资质条件（营业执照、食品经营许可证等，具体视项目决定）；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符合招商条件的武汉天河机场T3航站楼现有商业项目经营商户或曾经经营商户参与本次招商，不得与招商人存在法律仲裁、诉讼关系，截至招商评审上月最后一个自然日，响应人与湖北机场集团实业发展有限公司不存在欠租、欠费等违约行为（提供承诺函，格式自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ascii="宋体" w:hAnsi="宋体" w:cs="宋体"/>
          <w:color w:val="auto"/>
          <w:kern w:val="0"/>
          <w:szCs w:val="21"/>
        </w:rPr>
        <w:t>.</w:t>
      </w:r>
      <w:r>
        <w:rPr>
          <w:rFonts w:hint="eastAsia" w:ascii="宋体" w:hAnsi="宋体" w:cs="宋体"/>
          <w:color w:val="auto"/>
          <w:kern w:val="0"/>
          <w:szCs w:val="21"/>
        </w:rPr>
        <w:t>守法经营，诚实守信。在国家企业信用信息公示系统（http://www.gsxt.gov.cn/）显示经营中无违法记录（提供网页查询截图）。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color w:val="auto"/>
          <w:szCs w:val="21"/>
          <w:lang w:val="en-US" w:eastAsia="zh-CN"/>
        </w:rPr>
        <w:t>6.招商</w:t>
      </w:r>
      <w:r>
        <w:rPr>
          <w:rFonts w:hint="eastAsia" w:ascii="宋体" w:hAnsi="宋体" w:cs="宋体"/>
          <w:color w:val="auto"/>
          <w:szCs w:val="21"/>
        </w:rPr>
        <w:t>响应人</w:t>
      </w:r>
      <w:r>
        <w:rPr>
          <w:rFonts w:hint="eastAsia" w:ascii="Segoe UI" w:hAnsi="Segoe UI" w:eastAsia="Segoe UI" w:cs="Segoe UI"/>
          <w:color w:val="auto"/>
          <w:szCs w:val="21"/>
          <w:shd w:val="clear" w:color="auto" w:fill="FFFFFF"/>
        </w:rPr>
        <w:t>须针对《湖北机场集团“</w:t>
      </w:r>
      <w:r>
        <w:rPr>
          <w:rFonts w:hint="eastAsia" w:ascii="Segoe UI" w:hAnsi="Segoe UI" w:cs="Segoe UI"/>
          <w:color w:val="auto"/>
          <w:szCs w:val="21"/>
          <w:shd w:val="clear" w:color="auto" w:fill="FFFFFF"/>
        </w:rPr>
        <w:t>供应商</w:t>
      </w:r>
      <w:r>
        <w:rPr>
          <w:rFonts w:hint="eastAsia" w:ascii="Segoe UI" w:hAnsi="Segoe UI" w:eastAsia="Segoe UI" w:cs="Segoe UI"/>
          <w:color w:val="auto"/>
          <w:szCs w:val="21"/>
          <w:shd w:val="clear" w:color="auto" w:fill="FFFFFF"/>
        </w:rPr>
        <w:t>不良行为”管理暂行办法（试行）》在</w:t>
      </w:r>
      <w:r>
        <w:rPr>
          <w:rFonts w:hint="eastAsia" w:ascii="Segoe UI" w:hAnsi="Segoe UI" w:cs="Segoe UI"/>
          <w:color w:val="auto"/>
          <w:szCs w:val="21"/>
          <w:shd w:val="clear" w:color="auto" w:fill="FFFFFF"/>
        </w:rPr>
        <w:t>响应</w:t>
      </w:r>
      <w:r>
        <w:rPr>
          <w:rFonts w:hint="eastAsia" w:ascii="Segoe UI" w:hAnsi="Segoe UI" w:eastAsia="Segoe UI" w:cs="Segoe UI"/>
          <w:color w:val="auto"/>
          <w:szCs w:val="21"/>
          <w:shd w:val="clear" w:color="auto" w:fill="FFFFFF"/>
        </w:rPr>
        <w:t>文件中</w:t>
      </w:r>
      <w:r>
        <w:rPr>
          <w:rFonts w:hint="eastAsia" w:ascii="Segoe UI" w:hAnsi="Segoe UI" w:cs="Segoe UI"/>
          <w:color w:val="auto"/>
          <w:szCs w:val="21"/>
          <w:shd w:val="clear" w:color="auto" w:fill="FFFFFF"/>
        </w:rPr>
        <w:t>作出</w:t>
      </w:r>
      <w:r>
        <w:rPr>
          <w:rFonts w:hint="eastAsia" w:ascii="Segoe UI" w:hAnsi="Segoe UI" w:eastAsia="Segoe UI" w:cs="Segoe UI"/>
          <w:color w:val="auto"/>
          <w:szCs w:val="21"/>
          <w:shd w:val="clear" w:color="auto" w:fill="FFFFFF"/>
        </w:rPr>
        <w:t>承诺，格式详见</w:t>
      </w:r>
      <w:r>
        <w:rPr>
          <w:rFonts w:hint="eastAsia" w:ascii="Segoe UI" w:hAnsi="Segoe UI" w:cs="Segoe UI"/>
          <w:color w:val="auto"/>
          <w:szCs w:val="21"/>
          <w:shd w:val="clear" w:color="auto" w:fill="FFFFFF"/>
        </w:rPr>
        <w:t>招商</w:t>
      </w:r>
      <w:r>
        <w:rPr>
          <w:rFonts w:hint="eastAsia" w:ascii="Segoe UI" w:hAnsi="Segoe UI" w:eastAsia="Segoe UI" w:cs="Segoe UI"/>
          <w:color w:val="auto"/>
          <w:szCs w:val="21"/>
          <w:shd w:val="clear" w:color="auto" w:fill="FFFFFF"/>
        </w:rPr>
        <w:t xml:space="preserve">文件“第六章 </w:t>
      </w:r>
      <w:r>
        <w:rPr>
          <w:rFonts w:hint="eastAsia" w:ascii="Segoe UI" w:hAnsi="Segoe UI" w:cs="Segoe UI"/>
          <w:color w:val="auto"/>
          <w:szCs w:val="21"/>
          <w:shd w:val="clear" w:color="auto" w:fill="FFFFFF"/>
        </w:rPr>
        <w:t>响应文件格式</w:t>
      </w:r>
      <w:r>
        <w:rPr>
          <w:rFonts w:hint="eastAsia" w:ascii="Segoe UI" w:hAnsi="Segoe UI" w:eastAsia="Segoe UI" w:cs="Segoe UI"/>
          <w:color w:val="auto"/>
          <w:szCs w:val="21"/>
          <w:shd w:val="clear" w:color="auto" w:fill="FFFFFF"/>
        </w:rPr>
        <w:t>”</w:t>
      </w:r>
      <w:r>
        <w:rPr>
          <w:rFonts w:hint="eastAsia" w:ascii="Segoe UI" w:hAnsi="Segoe UI" w:cs="Segoe UI"/>
          <w:color w:val="auto"/>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.本项目不接受联合体形式参与，有控股及关联的公司只能选择一家公司报名参与，否则将被同时取消参与资格。</w:t>
      </w:r>
      <w:bookmarkEnd w:id="19"/>
    </w:p>
    <w:p>
      <w:pPr>
        <w:tabs>
          <w:tab w:val="left" w:pos="540"/>
          <w:tab w:val="left" w:pos="840"/>
        </w:tabs>
        <w:spacing w:line="360" w:lineRule="auto"/>
        <w:outlineLvl w:val="1"/>
        <w:rPr>
          <w:rFonts w:hint="eastAsia" w:ascii="宋体" w:hAnsi="宋体" w:cs="宋体"/>
          <w:b/>
          <w:color w:val="auto"/>
          <w:szCs w:val="21"/>
        </w:rPr>
      </w:pPr>
      <w:bookmarkStart w:id="21" w:name="_Toc16423"/>
      <w:bookmarkStart w:id="22" w:name="_Toc624"/>
      <w:bookmarkStart w:id="23" w:name="_Toc28975"/>
      <w:bookmarkStart w:id="24" w:name="_Toc20043"/>
      <w:r>
        <w:rPr>
          <w:rFonts w:hint="eastAsia" w:ascii="宋体" w:hAnsi="宋体" w:cs="宋体"/>
          <w:b/>
          <w:color w:val="auto"/>
          <w:szCs w:val="21"/>
        </w:rPr>
        <w:t>三、招商文件的获取</w:t>
      </w:r>
      <w:bookmarkEnd w:id="20"/>
      <w:bookmarkEnd w:id="21"/>
      <w:bookmarkEnd w:id="22"/>
      <w:bookmarkEnd w:id="23"/>
      <w:bookmarkEnd w:id="24"/>
    </w:p>
    <w:p>
      <w:pPr>
        <w:spacing w:line="360" w:lineRule="auto"/>
        <w:ind w:firstLine="420" w:firstLineChars="200"/>
        <w:rPr>
          <w:rFonts w:ascii="宋体" w:hAnsi="宋体" w:cs="宋体"/>
          <w:color w:val="auto"/>
          <w:szCs w:val="21"/>
        </w:rPr>
      </w:pPr>
      <w:bookmarkStart w:id="25" w:name="_Toc259028275"/>
      <w:bookmarkStart w:id="26" w:name="_Toc259028695"/>
      <w:r>
        <w:rPr>
          <w:rFonts w:hint="eastAsia" w:ascii="宋体" w:hAnsi="宋体" w:cs="宋体"/>
          <w:color w:val="auto"/>
          <w:szCs w:val="21"/>
        </w:rPr>
        <w:t>1.获取时间：202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日起至202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日，每天上午8：30～12：00、下午14：00～16：30（周末、节假日除外）。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2.获取地点：湖北省武汉市武昌区东湖西路特2号平安财富中心（东湖大厦正对面）B座7楼湖北省成套招标股份有限公司服务大厅。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3.获取招商文件须提供的资料：</w:t>
      </w:r>
    </w:p>
    <w:p>
      <w:pPr>
        <w:spacing w:line="360" w:lineRule="auto"/>
        <w:ind w:firstLine="420" w:firstLineChars="200"/>
        <w:rPr>
          <w:rFonts w:hint="eastAsia" w:ascii="宋体" w:hAnsi="宋体"/>
          <w:color w:val="auto"/>
          <w:szCs w:val="21"/>
        </w:rPr>
      </w:pPr>
      <w:bookmarkStart w:id="27" w:name="_Toc16383"/>
      <w:bookmarkStart w:id="28" w:name="_Toc5856"/>
      <w:bookmarkStart w:id="29" w:name="_Toc7141"/>
      <w:r>
        <w:rPr>
          <w:rFonts w:hint="eastAsia" w:ascii="宋体" w:hAnsi="宋体"/>
          <w:color w:val="auto"/>
          <w:szCs w:val="21"/>
        </w:rPr>
        <w:t>1)法定代表人自己领取的，须提供法定代表人身份证明原件及法定代表人身份证原件；</w:t>
      </w:r>
    </w:p>
    <w:p>
      <w:pPr>
        <w:spacing w:line="360" w:lineRule="auto"/>
        <w:ind w:firstLine="420" w:firstLineChars="200"/>
        <w:rPr>
          <w:rFonts w:hint="eastAsia" w:ascii="宋体" w:hAnsi="宋体"/>
          <w:color w:val="auto"/>
          <w:szCs w:val="21"/>
        </w:rPr>
      </w:pPr>
      <w:r>
        <w:rPr>
          <w:rFonts w:hint="eastAsia" w:ascii="宋体" w:hAnsi="宋体"/>
          <w:color w:val="auto"/>
          <w:szCs w:val="21"/>
        </w:rPr>
        <w:t>2)法定代表人委托他人领取的，须提供法定代表人授权书原件及受托人身份证原件；</w:t>
      </w:r>
    </w:p>
    <w:p>
      <w:pPr>
        <w:spacing w:line="360" w:lineRule="auto"/>
        <w:ind w:firstLine="420" w:firstLineChars="200"/>
        <w:rPr>
          <w:rFonts w:hint="eastAsia" w:ascii="宋体" w:hAnsi="宋体"/>
          <w:color w:val="auto"/>
          <w:szCs w:val="21"/>
        </w:rPr>
      </w:pPr>
      <w:r>
        <w:rPr>
          <w:rFonts w:hint="eastAsia" w:ascii="宋体" w:hAnsi="宋体"/>
          <w:color w:val="auto"/>
          <w:szCs w:val="21"/>
        </w:rPr>
        <w:t>3)开票资料：①开票单位名称、②纳税人识别号（或统一社会信用代码）、③营业执照或税务登记证地址、④单位联系电话、⑤开户行及账号。</w:t>
      </w:r>
    </w:p>
    <w:p>
      <w:pPr>
        <w:spacing w:line="360" w:lineRule="auto"/>
        <w:ind w:firstLine="420" w:firstLineChars="200"/>
        <w:rPr>
          <w:rFonts w:hint="eastAsia" w:ascii="宋体" w:hAnsi="宋体"/>
          <w:color w:val="auto"/>
          <w:szCs w:val="21"/>
        </w:rPr>
      </w:pPr>
      <w:r>
        <w:rPr>
          <w:rFonts w:hint="eastAsia" w:ascii="宋体" w:hAnsi="宋体"/>
          <w:color w:val="auto"/>
          <w:szCs w:val="21"/>
        </w:rPr>
        <w:t>4、售价：人民币500元/本，售后不退。</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0" w:name="_Toc8717"/>
      <w:bookmarkStart w:id="31" w:name="_Toc2969"/>
      <w:bookmarkStart w:id="32" w:name="_Toc17160"/>
      <w:r>
        <w:rPr>
          <w:rFonts w:hint="eastAsia" w:ascii="宋体" w:hAnsi="宋体" w:cs="宋体"/>
          <w:b/>
          <w:bCs/>
          <w:color w:val="auto"/>
          <w:szCs w:val="32"/>
        </w:rPr>
        <w:t>四、</w:t>
      </w:r>
      <w:bookmarkEnd w:id="25"/>
      <w:bookmarkEnd w:id="26"/>
      <w:bookmarkEnd w:id="27"/>
      <w:bookmarkEnd w:id="28"/>
      <w:bookmarkEnd w:id="29"/>
      <w:r>
        <w:rPr>
          <w:rFonts w:hint="eastAsia" w:ascii="宋体" w:hAnsi="宋体" w:cs="宋体"/>
          <w:b/>
          <w:bCs/>
          <w:color w:val="auto"/>
          <w:szCs w:val="32"/>
        </w:rPr>
        <w:t>递交招商响应文件的截止时间及磋商时间</w:t>
      </w:r>
      <w:bookmarkEnd w:id="30"/>
      <w:bookmarkEnd w:id="31"/>
      <w:bookmarkEnd w:id="32"/>
    </w:p>
    <w:p>
      <w:pPr>
        <w:spacing w:line="360" w:lineRule="auto"/>
        <w:ind w:firstLine="420" w:firstLineChars="200"/>
        <w:rPr>
          <w:rFonts w:hint="eastAsia" w:ascii="宋体" w:hAnsi="宋体" w:cs="宋体"/>
          <w:b w:val="0"/>
          <w:bCs/>
          <w:color w:val="auto"/>
          <w:szCs w:val="21"/>
        </w:rPr>
      </w:pPr>
      <w:r>
        <w:rPr>
          <w:rFonts w:hint="eastAsia" w:ascii="Calibri" w:hAnsi="宋体"/>
          <w:b w:val="0"/>
          <w:bCs/>
          <w:color w:val="auto"/>
          <w:szCs w:val="21"/>
        </w:rPr>
        <w:t>202</w:t>
      </w:r>
      <w:r>
        <w:rPr>
          <w:rFonts w:hint="eastAsia" w:ascii="Calibri" w:hAnsi="宋体"/>
          <w:b w:val="0"/>
          <w:bCs/>
          <w:color w:val="auto"/>
          <w:szCs w:val="21"/>
          <w:lang w:val="en-US" w:eastAsia="zh-CN"/>
        </w:rPr>
        <w:t>3</w:t>
      </w:r>
      <w:r>
        <w:rPr>
          <w:rFonts w:hint="eastAsia" w:ascii="Calibri" w:hAnsi="宋体"/>
          <w:b w:val="0"/>
          <w:bCs/>
          <w:color w:val="auto"/>
          <w:szCs w:val="21"/>
        </w:rPr>
        <w:t>年</w:t>
      </w:r>
      <w:r>
        <w:rPr>
          <w:rFonts w:hint="eastAsia" w:ascii="Calibri" w:hAnsi="宋体"/>
          <w:b w:val="0"/>
          <w:bCs/>
          <w:color w:val="auto"/>
          <w:szCs w:val="21"/>
          <w:lang w:val="en-US" w:eastAsia="zh-CN"/>
        </w:rPr>
        <w:t>10</w:t>
      </w:r>
      <w:r>
        <w:rPr>
          <w:rFonts w:hint="eastAsia" w:ascii="Calibri" w:hAnsi="宋体"/>
          <w:b w:val="0"/>
          <w:bCs/>
          <w:color w:val="auto"/>
          <w:szCs w:val="21"/>
        </w:rPr>
        <w:t>月</w:t>
      </w:r>
      <w:r>
        <w:rPr>
          <w:rFonts w:hint="eastAsia" w:ascii="Calibri" w:hAnsi="宋体"/>
          <w:b w:val="0"/>
          <w:bCs/>
          <w:color w:val="auto"/>
          <w:szCs w:val="21"/>
          <w:lang w:val="en-US" w:eastAsia="zh-CN"/>
        </w:rPr>
        <w:t>25</w:t>
      </w:r>
      <w:r>
        <w:rPr>
          <w:rFonts w:hint="eastAsia" w:ascii="Calibri" w:hAnsi="宋体"/>
          <w:b w:val="0"/>
          <w:bCs/>
          <w:color w:val="auto"/>
          <w:szCs w:val="21"/>
        </w:rPr>
        <w:t>日</w:t>
      </w:r>
      <w:r>
        <w:rPr>
          <w:rFonts w:ascii="Calibri" w:hAnsi="宋体"/>
          <w:b w:val="0"/>
          <w:bCs/>
          <w:color w:val="auto"/>
          <w:szCs w:val="21"/>
        </w:rPr>
        <w:t>09</w:t>
      </w:r>
      <w:r>
        <w:rPr>
          <w:rFonts w:hint="eastAsia" w:ascii="Calibri" w:hAnsi="宋体"/>
          <w:b w:val="0"/>
          <w:bCs/>
          <w:color w:val="auto"/>
          <w:szCs w:val="21"/>
        </w:rPr>
        <w:t>：3</w:t>
      </w:r>
      <w:r>
        <w:rPr>
          <w:rFonts w:ascii="Calibri" w:hAnsi="宋体"/>
          <w:b w:val="0"/>
          <w:bCs/>
          <w:color w:val="auto"/>
          <w:szCs w:val="21"/>
        </w:rPr>
        <w:t>0</w:t>
      </w:r>
      <w:r>
        <w:rPr>
          <w:rFonts w:hint="eastAsia" w:ascii="Calibri" w:hAnsi="宋体"/>
          <w:b w:val="0"/>
          <w:bCs/>
          <w:color w:val="auto"/>
          <w:szCs w:val="21"/>
        </w:rPr>
        <w:t>时</w:t>
      </w:r>
      <w:r>
        <w:rPr>
          <w:rFonts w:hint="eastAsia" w:ascii="宋体" w:hAnsi="宋体" w:cs="宋体"/>
          <w:b w:val="0"/>
          <w:bCs/>
          <w:color w:val="auto"/>
          <w:szCs w:val="21"/>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3" w:name="_Toc11358"/>
      <w:bookmarkStart w:id="34" w:name="_Toc259028696"/>
      <w:bookmarkStart w:id="35" w:name="_Toc15832"/>
      <w:bookmarkStart w:id="36" w:name="_Toc23418"/>
      <w:bookmarkStart w:id="37" w:name="_Toc259028276"/>
      <w:bookmarkStart w:id="38" w:name="_Toc9129"/>
      <w:bookmarkStart w:id="39" w:name="_Toc18692"/>
      <w:bookmarkStart w:id="40" w:name="_Toc19677"/>
      <w:r>
        <w:rPr>
          <w:rFonts w:hint="eastAsia" w:ascii="宋体" w:hAnsi="宋体" w:cs="宋体"/>
          <w:b/>
          <w:bCs/>
          <w:color w:val="auto"/>
          <w:szCs w:val="32"/>
        </w:rPr>
        <w:t>五、</w:t>
      </w:r>
      <w:bookmarkEnd w:id="33"/>
      <w:bookmarkEnd w:id="34"/>
      <w:bookmarkEnd w:id="35"/>
      <w:bookmarkEnd w:id="36"/>
      <w:bookmarkEnd w:id="37"/>
      <w:r>
        <w:rPr>
          <w:rFonts w:hint="eastAsia" w:ascii="宋体" w:hAnsi="宋体" w:cs="宋体"/>
          <w:b/>
          <w:bCs/>
          <w:color w:val="auto"/>
          <w:szCs w:val="32"/>
        </w:rPr>
        <w:t>招商响应文件送达地点及磋商地点</w:t>
      </w:r>
      <w:bookmarkEnd w:id="38"/>
      <w:bookmarkEnd w:id="39"/>
      <w:bookmarkEnd w:id="40"/>
    </w:p>
    <w:p>
      <w:pPr>
        <w:spacing w:line="360" w:lineRule="auto"/>
        <w:rPr>
          <w:rFonts w:hint="eastAsia" w:ascii="Calibri" w:hAnsi="宋体"/>
          <w:bCs/>
          <w:color w:val="auto"/>
          <w:szCs w:val="21"/>
        </w:rPr>
      </w:pPr>
      <w:r>
        <w:rPr>
          <w:rFonts w:hint="eastAsia" w:ascii="Calibri" w:hAnsi="宋体"/>
          <w:bCs/>
          <w:color w:val="auto"/>
          <w:sz w:val="20"/>
          <w:szCs w:val="21"/>
        </w:rPr>
        <w:t xml:space="preserve">   </w:t>
      </w:r>
      <w:r>
        <w:rPr>
          <w:rFonts w:hint="eastAsia" w:ascii="Calibri" w:hAnsi="宋体"/>
          <w:bCs/>
          <w:color w:val="auto"/>
          <w:szCs w:val="21"/>
        </w:rPr>
        <w:t xml:space="preserve"> </w:t>
      </w:r>
      <w:r>
        <w:rPr>
          <w:rFonts w:hint="eastAsia" w:ascii="宋体" w:hAnsi="宋体" w:cs="宋体"/>
          <w:color w:val="auto"/>
          <w:szCs w:val="21"/>
        </w:rPr>
        <w:t>湖北机场集团有限公司综合办公楼A</w:t>
      </w:r>
      <w:r>
        <w:rPr>
          <w:rFonts w:ascii="宋体" w:hAnsi="宋体" w:cs="宋体"/>
          <w:color w:val="auto"/>
          <w:szCs w:val="21"/>
        </w:rPr>
        <w:t>208</w:t>
      </w:r>
      <w:r>
        <w:rPr>
          <w:rFonts w:hint="eastAsia" w:ascii="宋体" w:hAnsi="宋体" w:cs="宋体"/>
          <w:color w:val="auto"/>
          <w:szCs w:val="21"/>
        </w:rPr>
        <w:t>招投标室</w:t>
      </w:r>
      <w:r>
        <w:rPr>
          <w:rFonts w:hint="eastAsia" w:ascii="Calibri" w:hAnsi="宋体"/>
          <w:bCs/>
          <w:color w:val="auto"/>
          <w:szCs w:val="21"/>
        </w:rPr>
        <w:t>。</w:t>
      </w:r>
    </w:p>
    <w:p>
      <w:pPr>
        <w:spacing w:line="360" w:lineRule="auto"/>
        <w:rPr>
          <w:rFonts w:hint="eastAsia" w:ascii="Calibri" w:hAnsi="宋体"/>
          <w:bCs/>
          <w:color w:val="auto"/>
          <w:szCs w:val="21"/>
        </w:rPr>
      </w:pPr>
      <w:r>
        <w:rPr>
          <w:rFonts w:hint="eastAsia" w:ascii="Calibri" w:hAnsi="宋体"/>
          <w:bCs/>
          <w:color w:val="auto"/>
          <w:szCs w:val="21"/>
        </w:rPr>
        <w:t>备注：1、逾期送达指定地点的或者不按照招商文件要求密封的响应文件，招商人不予受理。</w:t>
      </w:r>
    </w:p>
    <w:p>
      <w:pPr>
        <w:spacing w:line="360" w:lineRule="auto"/>
        <w:ind w:firstLine="420" w:firstLineChars="200"/>
        <w:rPr>
          <w:rFonts w:hint="eastAsia" w:ascii="Calibri" w:hAnsi="宋体"/>
          <w:bCs/>
          <w:color w:val="auto"/>
          <w:szCs w:val="21"/>
        </w:rPr>
      </w:pPr>
      <w:r>
        <w:rPr>
          <w:rFonts w:hint="eastAsia" w:ascii="Calibri"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1" w:name="_Toc8044"/>
      <w:bookmarkStart w:id="42" w:name="_Toc7227"/>
      <w:bookmarkStart w:id="43" w:name="_Toc3947"/>
      <w:bookmarkStart w:id="44" w:name="_Toc23102"/>
      <w:bookmarkStart w:id="45" w:name="_Toc27963"/>
      <w:bookmarkStart w:id="46" w:name="_Toc25113"/>
      <w:bookmarkStart w:id="47" w:name="_Toc27428"/>
      <w:bookmarkStart w:id="48" w:name="_Toc15722"/>
      <w:r>
        <w:rPr>
          <w:rFonts w:hint="eastAsia" w:ascii="宋体" w:hAnsi="宋体" w:cs="宋体"/>
          <w:b/>
          <w:bCs/>
          <w:color w:val="auto"/>
          <w:szCs w:val="32"/>
        </w:rPr>
        <w:t>六、联系方式</w:t>
      </w:r>
      <w:bookmarkEnd w:id="41"/>
      <w:bookmarkEnd w:id="42"/>
      <w:bookmarkEnd w:id="43"/>
      <w:bookmarkEnd w:id="44"/>
      <w:bookmarkEnd w:id="45"/>
      <w:bookmarkEnd w:id="46"/>
      <w:bookmarkEnd w:id="47"/>
    </w:p>
    <w:p>
      <w:pPr>
        <w:spacing w:line="360" w:lineRule="auto"/>
        <w:rPr>
          <w:rFonts w:hint="eastAsia" w:ascii="宋体" w:hAnsi="宋体" w:cs="宋体"/>
          <w:color w:val="auto"/>
          <w:szCs w:val="21"/>
        </w:rPr>
      </w:pPr>
      <w:r>
        <w:rPr>
          <w:rFonts w:hint="eastAsia" w:ascii="宋体" w:hAnsi="宋体" w:cs="宋体"/>
          <w:color w:val="auto"/>
          <w:szCs w:val="21"/>
        </w:rPr>
        <w:t>招商人：</w:t>
      </w:r>
      <w:r>
        <w:rPr>
          <w:rFonts w:hint="eastAsia" w:ascii="Calibri" w:hAnsi="宋体"/>
          <w:color w:val="auto"/>
          <w:szCs w:val="21"/>
        </w:rPr>
        <w:t>湖北机场集团实业发展有限公司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7"/>
        <w:spacing w:line="360" w:lineRule="auto"/>
        <w:jc w:val="right"/>
        <w:rPr>
          <w:rFonts w:hint="eastAsia"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7"/>
        <w:spacing w:line="360" w:lineRule="auto"/>
        <w:rPr>
          <w:rFonts w:hint="eastAsia"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7"/>
        <w:spacing w:line="360" w:lineRule="auto"/>
        <w:rPr>
          <w:rFonts w:hint="eastAsia" w:ascii="宋体" w:hAnsi="宋体" w:cs="宋体"/>
          <w:color w:val="auto"/>
          <w:szCs w:val="21"/>
        </w:rPr>
      </w:pPr>
      <w:r>
        <w:rPr>
          <w:rFonts w:hint="eastAsia" w:ascii="宋体" w:hAnsi="宋体" w:cs="宋体"/>
          <w:color w:val="auto"/>
          <w:szCs w:val="21"/>
        </w:rPr>
        <w:t>联 系 人：李女士</w:t>
      </w:r>
      <w:r>
        <w:rPr>
          <w:rFonts w:hint="eastAsia" w:ascii="宋体" w:hAnsi="宋体" w:cs="宋体"/>
          <w:color w:val="auto"/>
          <w:szCs w:val="21"/>
          <w:lang w:val="en-US" w:eastAsia="zh-CN"/>
        </w:rPr>
        <w:t xml:space="preserve">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联 系 人：</w:t>
      </w:r>
      <w:r>
        <w:rPr>
          <w:rFonts w:hint="eastAsia" w:hAnsi="宋体"/>
          <w:color w:val="auto"/>
          <w:szCs w:val="21"/>
        </w:rPr>
        <w:t>胡小康、郭亚楠</w:t>
      </w:r>
      <w:r>
        <w:rPr>
          <w:rFonts w:hint="eastAsia" w:ascii="宋体" w:hAnsi="宋体" w:cs="宋体"/>
          <w:color w:val="auto"/>
          <w:szCs w:val="21"/>
        </w:rPr>
        <w:t xml:space="preserve"> </w:t>
      </w:r>
    </w:p>
    <w:p>
      <w:pPr>
        <w:pStyle w:val="7"/>
        <w:spacing w:line="360" w:lineRule="auto"/>
        <w:rPr>
          <w:rFonts w:hint="eastAsia" w:ascii="宋体" w:hAnsi="宋体" w:cs="宋体"/>
          <w:color w:val="auto"/>
          <w:szCs w:val="21"/>
        </w:rPr>
      </w:pPr>
      <w:r>
        <w:rPr>
          <w:rFonts w:hint="eastAsia" w:ascii="宋体" w:hAnsi="宋体" w:cs="宋体"/>
          <w:color w:val="auto"/>
          <w:szCs w:val="21"/>
        </w:rPr>
        <w:t>电    话：027-85818281</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电   话：</w:t>
      </w:r>
      <w:r>
        <w:rPr>
          <w:rFonts w:hint="eastAsia" w:hAnsi="宋体"/>
          <w:color w:val="auto"/>
          <w:szCs w:val="21"/>
        </w:rPr>
        <w:t>027-87816666-8613</w:t>
      </w:r>
    </w:p>
    <w:p>
      <w:pPr>
        <w:pStyle w:val="7"/>
        <w:spacing w:line="360" w:lineRule="auto"/>
        <w:rPr>
          <w:rFonts w:hint="eastAsia" w:ascii="宋体" w:hAnsi="宋体" w:cs="宋体"/>
          <w:color w:val="auto"/>
          <w:szCs w:val="21"/>
        </w:rPr>
      </w:pPr>
      <w:r>
        <w:rPr>
          <w:rFonts w:hint="eastAsia" w:ascii="宋体" w:hAnsi="宋体" w:cs="宋体"/>
          <w:color w:val="auto"/>
          <w:szCs w:val="21"/>
        </w:rPr>
        <w:t>传    真：</w:t>
      </w:r>
      <w:r>
        <w:rPr>
          <w:rFonts w:hint="eastAsia" w:hAnsi="宋体"/>
          <w:color w:val="auto"/>
          <w:szCs w:val="21"/>
        </w:rPr>
        <w:t xml:space="preserve">/ </w:t>
      </w:r>
      <w:r>
        <w:rPr>
          <w:rFonts w:hint="eastAsia" w:ascii="宋体" w:hAnsi="宋体" w:cs="宋体"/>
          <w:color w:val="auto"/>
          <w:szCs w:val="21"/>
        </w:rPr>
        <w:t xml:space="preserve">                           传    真：</w:t>
      </w:r>
      <w:r>
        <w:rPr>
          <w:rFonts w:hint="eastAsia" w:hAnsi="宋体"/>
          <w:color w:val="auto"/>
          <w:szCs w:val="21"/>
        </w:rPr>
        <w:t>027-87816666-8609</w:t>
      </w:r>
    </w:p>
    <w:p>
      <w:pPr>
        <w:pStyle w:val="7"/>
        <w:spacing w:line="360" w:lineRule="auto"/>
        <w:rPr>
          <w:rFonts w:hint="eastAsia"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7"/>
        <w:spacing w:line="360" w:lineRule="auto"/>
        <w:rPr>
          <w:rFonts w:hint="eastAsia" w:ascii="宋体" w:hAnsi="宋体" w:cs="宋体"/>
          <w:color w:val="auto"/>
          <w:szCs w:val="21"/>
        </w:rPr>
      </w:pPr>
      <w:r>
        <w:rPr>
          <w:rFonts w:hint="eastAsia" w:ascii="宋体" w:hAnsi="宋体" w:cs="宋体"/>
          <w:color w:val="auto"/>
          <w:szCs w:val="21"/>
        </w:rPr>
        <w:t>网    址：  /                          网    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"http://www.hubeibidding.com" </w:instrText>
      </w:r>
      <w:r>
        <w:rPr>
          <w:rFonts w:hint="eastAsia" w:ascii="宋体" w:hAnsi="宋体" w:cs="宋体"/>
          <w:color w:val="auto"/>
          <w:szCs w:val="21"/>
        </w:rPr>
        <w:fldChar w:fldCharType="separate"/>
      </w:r>
      <w:r>
        <w:rPr>
          <w:rStyle w:val="6"/>
          <w:rFonts w:hint="eastAsia" w:ascii="宋体" w:hAnsi="宋体" w:cs="宋体"/>
          <w:color w:val="auto"/>
          <w:sz w:val="21"/>
          <w:szCs w:val="21"/>
        </w:rPr>
        <w:t>www.hubeibidding.com</w:t>
      </w:r>
      <w:r>
        <w:rPr>
          <w:rFonts w:hint="eastAsia" w:ascii="宋体" w:hAnsi="宋体" w:cs="宋体"/>
          <w:color w:val="auto"/>
          <w:szCs w:val="21"/>
        </w:rPr>
        <w:fldChar w:fldCharType="end"/>
      </w:r>
      <w:r>
        <w:rPr>
          <w:rFonts w:hint="eastAsia" w:ascii="宋体" w:hAnsi="宋体" w:cs="宋体"/>
          <w:color w:val="auto"/>
          <w:szCs w:val="21"/>
        </w:rPr>
        <w:t xml:space="preserve"> </w:t>
      </w:r>
    </w:p>
    <w:p>
      <w:pPr>
        <w:pStyle w:val="7"/>
        <w:spacing w:line="360" w:lineRule="auto"/>
        <w:rPr>
          <w:rFonts w:hint="eastAsia"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bookmarkEnd w:id="48"/>
      <w:bookmarkStart w:id="49" w:name="_Toc3472"/>
      <w:bookmarkStart w:id="50" w:name="_Toc1765"/>
      <w:bookmarkStart w:id="51" w:name="_Toc28510"/>
      <w:bookmarkStart w:id="52" w:name="_Toc334539190"/>
      <w:bookmarkStart w:id="53" w:name="_Toc32188"/>
      <w:bookmarkStart w:id="54" w:name="_Toc14406"/>
    </w:p>
    <w:p>
      <w:pPr>
        <w:tabs>
          <w:tab w:val="left" w:pos="540"/>
          <w:tab w:val="left" w:pos="840"/>
        </w:tabs>
        <w:spacing w:line="360" w:lineRule="auto"/>
        <w:rPr>
          <w:rFonts w:ascii="宋体" w:hAnsi="宋体" w:cs="宋体"/>
          <w:b/>
          <w:bCs/>
          <w:color w:val="auto"/>
          <w:szCs w:val="21"/>
        </w:rPr>
      </w:pPr>
      <w:r>
        <w:rPr>
          <w:rFonts w:hint="eastAsia" w:ascii="宋体" w:hAnsi="宋体" w:cs="宋体"/>
          <w:b/>
          <w:bCs/>
          <w:color w:val="auto"/>
          <w:szCs w:val="21"/>
        </w:rPr>
        <w:t>七、汇款账户信息</w:t>
      </w:r>
      <w:bookmarkEnd w:id="49"/>
      <w:bookmarkEnd w:id="50"/>
      <w:bookmarkEnd w:id="51"/>
      <w:bookmarkStart w:id="55" w:name="_Toc21484"/>
      <w:bookmarkStart w:id="56" w:name="_Toc13382"/>
      <w:bookmarkStart w:id="57" w:name="_Toc1319"/>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开户行：中国银行武汉中南路支行</w:t>
      </w:r>
      <w:bookmarkEnd w:id="55"/>
      <w:bookmarkEnd w:id="56"/>
      <w:bookmarkEnd w:id="57"/>
      <w:bookmarkStart w:id="58" w:name="_Toc26426"/>
      <w:bookmarkStart w:id="59" w:name="_Toc23828"/>
      <w:bookmarkStart w:id="60" w:name="_Toc23940"/>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收款人：湖北省成套招标股份有限公司</w:t>
      </w:r>
      <w:bookmarkEnd w:id="58"/>
      <w:bookmarkEnd w:id="59"/>
      <w:bookmarkEnd w:id="60"/>
      <w:bookmarkStart w:id="61" w:name="_Toc27738"/>
      <w:bookmarkStart w:id="62" w:name="_Toc6000"/>
      <w:bookmarkStart w:id="63" w:name="_Toc12043"/>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帐 号：5729 7659 1978</w:t>
      </w:r>
      <w:bookmarkEnd w:id="61"/>
      <w:bookmarkEnd w:id="62"/>
      <w:bookmarkEnd w:id="63"/>
      <w:r>
        <w:rPr>
          <w:rFonts w:hint="eastAsia" w:ascii="宋体" w:hAnsi="宋体" w:cs="宋体"/>
          <w:color w:val="auto"/>
          <w:szCs w:val="21"/>
        </w:rPr>
        <w:t xml:space="preserve"> </w:t>
      </w:r>
      <w:bookmarkStart w:id="64" w:name="_Toc23056"/>
      <w:bookmarkStart w:id="65" w:name="_Toc10862"/>
      <w:bookmarkStart w:id="66" w:name="_Toc11093"/>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行号：840085</w:t>
      </w:r>
      <w:bookmarkEnd w:id="64"/>
      <w:bookmarkEnd w:id="65"/>
      <w:bookmarkEnd w:id="66"/>
      <w:bookmarkStart w:id="67" w:name="_Toc11036"/>
      <w:bookmarkStart w:id="68" w:name="_Toc8480"/>
      <w:bookmarkStart w:id="69" w:name="_Toc19104"/>
    </w:p>
    <w:p>
      <w:pPr>
        <w:tabs>
          <w:tab w:val="left" w:pos="540"/>
          <w:tab w:val="left" w:pos="840"/>
        </w:tabs>
        <w:spacing w:line="360" w:lineRule="auto"/>
        <w:rPr>
          <w:rFonts w:hint="eastAsia" w:ascii="宋体" w:hAnsi="宋体" w:cs="宋体"/>
          <w:b/>
          <w:bCs/>
          <w:color w:val="auto"/>
          <w:szCs w:val="21"/>
        </w:rPr>
      </w:pPr>
      <w:r>
        <w:rPr>
          <w:rFonts w:hint="eastAsia" w:ascii="宋体" w:hAnsi="宋体" w:cs="宋体"/>
          <w:b/>
          <w:bCs/>
          <w:color w:val="auto"/>
          <w:szCs w:val="21"/>
        </w:rPr>
        <w:t>八、信息发布媒体</w:t>
      </w:r>
      <w:bookmarkEnd w:id="52"/>
      <w:r>
        <w:rPr>
          <w:rFonts w:hint="eastAsia" w:ascii="宋体" w:hAnsi="宋体" w:cs="宋体"/>
          <w:b/>
          <w:bCs/>
          <w:color w:val="auto"/>
          <w:szCs w:val="21"/>
        </w:rPr>
        <w:t>及发布时间</w:t>
      </w:r>
      <w:bookmarkEnd w:id="53"/>
      <w:bookmarkEnd w:id="54"/>
      <w:bookmarkEnd w:id="67"/>
      <w:bookmarkEnd w:id="68"/>
      <w:bookmarkEnd w:id="69"/>
    </w:p>
    <w:p>
      <w:pPr>
        <w:spacing w:line="360" w:lineRule="auto"/>
        <w:rPr>
          <w:rFonts w:hint="eastAsia" w:ascii="宋体" w:hAnsi="宋体" w:cs="宋体"/>
          <w:color w:val="auto"/>
          <w:szCs w:val="21"/>
        </w:rPr>
      </w:pPr>
      <w:r>
        <w:rPr>
          <w:rFonts w:hint="eastAsia" w:ascii="宋体" w:hAnsi="宋体" w:cs="宋体"/>
          <w:color w:val="auto"/>
          <w:szCs w:val="21"/>
        </w:rPr>
        <w:t>发布媒体：中国招标报投标公共服务平台、湖北机场集团有限公司网、湖北省成套招标股份有限公司网</w:t>
      </w:r>
    </w:p>
    <w:p>
      <w:pPr>
        <w:rPr>
          <w:rFonts w:hint="eastAsia"/>
        </w:rPr>
      </w:pPr>
      <w:r>
        <w:rPr>
          <w:rFonts w:hint="eastAsia" w:ascii="宋体" w:hAnsi="宋体" w:cs="宋体"/>
          <w:color w:val="auto"/>
          <w:szCs w:val="21"/>
        </w:rPr>
        <w:t>发布日期：202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16D5B"/>
    <w:multiLevelType w:val="singleLevel"/>
    <w:tmpl w:val="4A916D5B"/>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65116B0F"/>
    <w:rsid w:val="6A02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99"/>
    <w:rPr>
      <w:rFonts w:ascii="Tahoma" w:hAnsi="Tahoma"/>
      <w:color w:val="0000FF"/>
      <w:sz w:val="24"/>
      <w:u w:val="single"/>
    </w:rPr>
  </w:style>
  <w:style w:type="paragraph" w:customStyle="1" w:styleId="7">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2339</Words>
  <Characters>2747</Characters>
  <Lines>0</Lines>
  <Paragraphs>0</Paragraphs>
  <TotalTime>3</TotalTime>
  <ScaleCrop>false</ScaleCrop>
  <LinksUpToDate>false</LinksUpToDate>
  <CharactersWithSpaces>3046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2023-10-10T01:03:49Z</dcterms:created>
  <dc:creator>HP</dc:creator>
  <cp:lastModifiedBy>郭亚楠</cp:lastModifiedBy>
  <dcterms:modified xsi:type="dcterms:W3CDTF">2023-10-10T01:10:57Z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0541F0A88548473ABCD08154F2204CD9</vt:lpwstr>
  </property>
</Properties>
</file>