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bCs/>
          <w:sz w:val="28"/>
          <w:szCs w:val="28"/>
          <w:lang w:eastAsia="zh-CN"/>
        </w:rPr>
        <w:t>武汉天河机场T3航站楼共享充电宝项目</w:t>
      </w:r>
      <w:r>
        <w:rPr>
          <w:rFonts w:hint="eastAsia" w:ascii="宋体" w:hAnsi="宋体" w:cs="宋体"/>
          <w:b/>
          <w:bCs/>
          <w:sz w:val="28"/>
          <w:szCs w:val="28"/>
          <w:lang w:eastAsia="zh-CN"/>
        </w:rPr>
        <w:t>招商公告</w:t>
      </w:r>
    </w:p>
    <w:p>
      <w:pPr>
        <w:widowControl w:val="0"/>
        <w:spacing w:line="360" w:lineRule="auto"/>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北国华项目管理咨询有限公司（以下简称“招商代理机构”）受湖北机场集团实业发展有限公司（以下简称“招商人”）的委托，就其武汉天河机场T3航站楼共享充电宝项目招商，现公开邀请潜在响应人参与招商活动。</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0" w:name="_Toc430855196"/>
      <w:bookmarkStart w:id="1" w:name="_Toc7359"/>
      <w:bookmarkStart w:id="2" w:name="_Toc431970291"/>
      <w:r>
        <w:rPr>
          <w:rFonts w:hint="eastAsia" w:ascii="宋体" w:hAnsi="宋体" w:eastAsia="宋体" w:cs="宋体"/>
          <w:b/>
          <w:bCs/>
          <w:kern w:val="2"/>
          <w:sz w:val="28"/>
          <w:szCs w:val="28"/>
          <w:lang w:val="en-US" w:eastAsia="zh-CN" w:bidi="ar-SA"/>
        </w:rPr>
        <w:t>一、项目概况</w:t>
      </w:r>
      <w:bookmarkEnd w:id="0"/>
      <w:bookmarkEnd w:id="1"/>
      <w:bookmarkEnd w:id="2"/>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1、项目名称：</w:t>
      </w:r>
      <w:r>
        <w:rPr>
          <w:rFonts w:hint="eastAsia" w:ascii="宋体" w:hAnsi="宋体" w:eastAsia="宋体" w:cs="宋体"/>
          <w:sz w:val="24"/>
          <w:lang w:eastAsia="zh-CN"/>
        </w:rPr>
        <w:t>武汉天河机场T3航站楼共享充电宝项目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2、招商编号：ZB0102-202310-FZBFW1295</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3、招商内容：本次拟招商共享充电宝设备10处点位，作为一个标段进行招商</w:t>
      </w:r>
      <w:r>
        <w:rPr>
          <w:rFonts w:hint="eastAsia" w:ascii="宋体" w:hAnsi="宋体" w:eastAsia="宋体" w:cs="宋体"/>
          <w:sz w:val="24"/>
          <w:lang w:eastAsia="zh-CN"/>
        </w:rPr>
        <w:t>，</w:t>
      </w:r>
      <w:r>
        <w:rPr>
          <w:rFonts w:hint="eastAsia" w:ascii="宋体" w:hAnsi="宋体" w:eastAsia="宋体" w:cs="宋体"/>
          <w:sz w:val="24"/>
        </w:rPr>
        <w:t>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3"/>
        <w:tblpPr w:leftFromText="180" w:rightFromText="180" w:vertAnchor="text" w:horzAnchor="margin" w:tblpXSpec="center" w:tblpY="168"/>
        <w:tblW w:w="9104" w:type="dxa"/>
        <w:tblInd w:w="130" w:type="dxa"/>
        <w:tblLayout w:type="fixed"/>
        <w:tblCellMar>
          <w:top w:w="15" w:type="dxa"/>
          <w:left w:w="108" w:type="dxa"/>
          <w:bottom w:w="15" w:type="dxa"/>
          <w:right w:w="108" w:type="dxa"/>
        </w:tblCellMar>
      </w:tblPr>
      <w:tblGrid>
        <w:gridCol w:w="1040"/>
        <w:gridCol w:w="2239"/>
        <w:gridCol w:w="1806"/>
        <w:gridCol w:w="4019"/>
      </w:tblGrid>
      <w:tr>
        <w:tblPrEx>
          <w:tblCellMar>
            <w:top w:w="15" w:type="dxa"/>
            <w:left w:w="108" w:type="dxa"/>
            <w:bottom w:w="15" w:type="dxa"/>
            <w:right w:w="108" w:type="dxa"/>
          </w:tblCellMar>
        </w:tblPrEx>
        <w:trPr>
          <w:cantSplit/>
          <w:trHeight w:val="401" w:hRule="atLeast"/>
        </w:trPr>
        <w:tc>
          <w:tcPr>
            <w:tcW w:w="10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12"/>
              <w:jc w:val="center"/>
              <w:rPr>
                <w:rFonts w:hint="eastAsia" w:ascii="宋体" w:hAnsi="宋体" w:eastAsia="宋体" w:cs="宋体"/>
                <w:b/>
                <w:bCs/>
                <w:kern w:val="0"/>
                <w:sz w:val="24"/>
              </w:rPr>
            </w:pPr>
            <w:r>
              <w:rPr>
                <w:rFonts w:hint="eastAsia" w:ascii="宋体" w:hAnsi="宋体" w:eastAsia="宋体" w:cs="宋体"/>
                <w:b/>
                <w:bCs/>
                <w:kern w:val="0"/>
                <w:sz w:val="24"/>
              </w:rPr>
              <w:t>标段号</w:t>
            </w:r>
          </w:p>
        </w:tc>
        <w:tc>
          <w:tcPr>
            <w:tcW w:w="22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12"/>
              <w:jc w:val="center"/>
              <w:rPr>
                <w:rFonts w:hint="eastAsia" w:ascii="宋体" w:hAnsi="宋体" w:eastAsia="宋体" w:cs="宋体"/>
                <w:b/>
                <w:bCs/>
                <w:kern w:val="0"/>
                <w:sz w:val="24"/>
              </w:rPr>
            </w:pPr>
            <w:r>
              <w:rPr>
                <w:rFonts w:hint="eastAsia" w:ascii="宋体" w:hAnsi="宋体" w:eastAsia="宋体" w:cs="宋体"/>
                <w:b/>
                <w:bCs/>
                <w:kern w:val="0"/>
                <w:sz w:val="24"/>
              </w:rPr>
              <w:t>经营项目</w:t>
            </w:r>
          </w:p>
        </w:tc>
        <w:tc>
          <w:tcPr>
            <w:tcW w:w="1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12"/>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40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12"/>
              <w:jc w:val="center"/>
              <w:rPr>
                <w:rFonts w:hint="eastAsia" w:ascii="宋体" w:hAnsi="宋体" w:eastAsia="宋体" w:cs="宋体"/>
                <w:b/>
                <w:bCs/>
                <w:kern w:val="0"/>
                <w:sz w:val="24"/>
              </w:rPr>
            </w:pPr>
            <w:r>
              <w:rPr>
                <w:rFonts w:hint="eastAsia" w:ascii="宋体" w:hAnsi="宋体" w:eastAsia="宋体" w:cs="宋体"/>
                <w:b/>
                <w:bCs/>
                <w:kern w:val="0"/>
                <w:sz w:val="24"/>
              </w:rPr>
              <w:t>分布明细</w:t>
            </w:r>
          </w:p>
        </w:tc>
      </w:tr>
      <w:tr>
        <w:tblPrEx>
          <w:tblCellMar>
            <w:top w:w="15" w:type="dxa"/>
            <w:left w:w="108" w:type="dxa"/>
            <w:bottom w:w="15" w:type="dxa"/>
            <w:right w:w="108" w:type="dxa"/>
          </w:tblCellMar>
        </w:tblPrEx>
        <w:trPr>
          <w:cantSplit/>
          <w:trHeight w:val="454"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Chars="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共享充电宝</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10处点位</w:t>
            </w:r>
          </w:p>
        </w:tc>
        <w:tc>
          <w:tcPr>
            <w:tcW w:w="40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highlight w:val="none"/>
                <w:lang w:val="en-US"/>
              </w:rPr>
            </w:pPr>
            <w:r>
              <w:rPr>
                <w:rFonts w:hint="eastAsia" w:ascii="宋体" w:hAnsi="宋体" w:eastAsia="宋体" w:cs="宋体"/>
                <w:kern w:val="0"/>
                <w:szCs w:val="21"/>
                <w:highlight w:val="none"/>
              </w:rPr>
              <w:t>每指廊1</w:t>
            </w:r>
            <w:r>
              <w:rPr>
                <w:rFonts w:hint="eastAsia" w:ascii="宋体" w:hAnsi="宋体" w:eastAsia="宋体" w:cs="宋体"/>
                <w:kern w:val="0"/>
                <w:szCs w:val="21"/>
                <w:highlight w:val="none"/>
                <w:lang w:val="en-US" w:eastAsia="zh-CN"/>
              </w:rPr>
              <w:t>处点位</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连廊近30号登机口附近1处点位、</w:t>
            </w:r>
            <w:r>
              <w:rPr>
                <w:rFonts w:hint="eastAsia" w:ascii="宋体" w:hAnsi="宋体" w:eastAsia="宋体" w:cs="宋体"/>
                <w:kern w:val="0"/>
                <w:szCs w:val="21"/>
                <w:highlight w:val="none"/>
              </w:rPr>
              <w:t>国</w:t>
            </w:r>
            <w:r>
              <w:rPr>
                <w:rFonts w:hint="eastAsia" w:ascii="宋体" w:hAnsi="宋体" w:eastAsia="宋体" w:cs="宋体"/>
                <w:kern w:val="0"/>
                <w:szCs w:val="21"/>
                <w:highlight w:val="none"/>
                <w:lang w:val="en-US" w:eastAsia="zh-CN"/>
              </w:rPr>
              <w:t>内</w:t>
            </w:r>
            <w:r>
              <w:rPr>
                <w:rFonts w:hint="eastAsia" w:ascii="宋体" w:hAnsi="宋体" w:eastAsia="宋体" w:cs="宋体"/>
                <w:kern w:val="0"/>
                <w:szCs w:val="21"/>
                <w:highlight w:val="none"/>
              </w:rPr>
              <w:t>出发</w:t>
            </w:r>
            <w:r>
              <w:rPr>
                <w:rFonts w:hint="eastAsia" w:ascii="宋体" w:hAnsi="宋体" w:eastAsia="宋体" w:cs="宋体"/>
                <w:kern w:val="0"/>
                <w:szCs w:val="21"/>
                <w:highlight w:val="none"/>
                <w:lang w:val="en-US" w:eastAsia="zh-CN"/>
              </w:rPr>
              <w:t>2处点位、</w:t>
            </w:r>
            <w:r>
              <w:rPr>
                <w:rFonts w:hint="eastAsia" w:ascii="宋体" w:hAnsi="宋体" w:eastAsia="宋体" w:cs="宋体"/>
                <w:kern w:val="0"/>
                <w:szCs w:val="21"/>
                <w:highlight w:val="none"/>
              </w:rPr>
              <w:t>国际出发</w:t>
            </w:r>
            <w:r>
              <w:rPr>
                <w:rFonts w:hint="eastAsia" w:ascii="宋体" w:hAnsi="宋体" w:eastAsia="宋体" w:cs="宋体"/>
                <w:kern w:val="0"/>
                <w:szCs w:val="21"/>
                <w:highlight w:val="none"/>
                <w:lang w:val="en-US" w:eastAsia="zh-CN"/>
              </w:rPr>
              <w:t>1处点位、</w:t>
            </w:r>
            <w:r>
              <w:rPr>
                <w:rFonts w:hint="eastAsia" w:ascii="宋体" w:hAnsi="宋体" w:eastAsia="宋体" w:cs="宋体"/>
                <w:kern w:val="0"/>
                <w:szCs w:val="21"/>
                <w:highlight w:val="none"/>
              </w:rPr>
              <w:t>到达厅</w:t>
            </w:r>
            <w:r>
              <w:rPr>
                <w:rFonts w:hint="eastAsia" w:ascii="宋体" w:hAnsi="宋体" w:eastAsia="宋体" w:cs="宋体"/>
                <w:kern w:val="0"/>
                <w:szCs w:val="21"/>
                <w:highlight w:val="none"/>
                <w:lang w:val="en-US" w:eastAsia="zh-CN"/>
              </w:rPr>
              <w:t>2处点位</w:t>
            </w:r>
          </w:p>
        </w:tc>
      </w:tr>
    </w:tbl>
    <w:p>
      <w:pPr>
        <w:snapToGrid w:val="0"/>
        <w:spacing w:line="360" w:lineRule="auto"/>
        <w:rPr>
          <w:rFonts w:hint="eastAsia" w:ascii="宋体" w:hAnsi="宋体" w:eastAsia="宋体" w:cs="宋体"/>
          <w:sz w:val="24"/>
        </w:rPr>
      </w:pPr>
    </w:p>
    <w:p>
      <w:pPr>
        <w:numPr>
          <w:ilvl w:val="0"/>
          <w:numId w:val="1"/>
        </w:numPr>
        <w:snapToGrid w:val="0"/>
        <w:spacing w:line="360" w:lineRule="auto"/>
        <w:rPr>
          <w:rFonts w:hint="eastAsia" w:ascii="宋体" w:hAnsi="宋体" w:eastAsia="宋体" w:cs="宋体"/>
          <w:sz w:val="24"/>
        </w:rPr>
      </w:pPr>
      <w:r>
        <w:rPr>
          <w:rFonts w:hint="eastAsia" w:ascii="宋体" w:hAnsi="宋体" w:eastAsia="宋体" w:cs="宋体"/>
          <w:sz w:val="24"/>
        </w:rPr>
        <w:t>合同期限：</w:t>
      </w:r>
      <w:bookmarkStart w:id="3"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期限为3年，合同执行期限自适用场地交付起开始计算。装修免租期为适用场地交付之日起最多不超过15个日历日。其中非经营方原因导致的停工，在提供相应证明文件后，可不计入免租期，具体以招商人审批为准。如提前完成装修并开业以实际开业之日起租。</w:t>
      </w:r>
    </w:p>
    <w:bookmarkEnd w:id="3"/>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4" w:name="_Toc430855197"/>
      <w:bookmarkStart w:id="5" w:name="_Toc2445"/>
      <w:bookmarkStart w:id="6" w:name="_Toc431970292"/>
      <w:r>
        <w:rPr>
          <w:rFonts w:hint="eastAsia" w:ascii="宋体" w:hAnsi="宋体" w:eastAsia="宋体" w:cs="宋体"/>
          <w:b/>
          <w:bCs/>
          <w:kern w:val="2"/>
          <w:sz w:val="28"/>
          <w:szCs w:val="28"/>
          <w:lang w:val="en-US" w:eastAsia="zh-CN" w:bidi="ar-SA"/>
        </w:rPr>
        <w:t>二、响应人资格要求</w:t>
      </w:r>
      <w:bookmarkEnd w:id="4"/>
      <w:bookmarkEnd w:id="5"/>
      <w:bookmarkEnd w:id="6"/>
      <w:r>
        <w:rPr>
          <w:rFonts w:hint="eastAsia" w:ascii="宋体" w:hAnsi="宋体" w:eastAsia="宋体" w:cs="宋体"/>
          <w:b/>
          <w:bCs/>
          <w:kern w:val="2"/>
          <w:sz w:val="28"/>
          <w:szCs w:val="28"/>
          <w:lang w:val="en-US" w:eastAsia="zh-CN" w:bidi="ar-SA"/>
        </w:rPr>
        <w:t xml:space="preserve">       </w:t>
      </w:r>
    </w:p>
    <w:p>
      <w:pPr>
        <w:snapToGrid w:val="0"/>
        <w:spacing w:line="360" w:lineRule="auto"/>
        <w:ind w:firstLine="480" w:firstLineChars="200"/>
        <w:rPr>
          <w:rFonts w:hint="eastAsia" w:ascii="宋体" w:hAnsi="宋体" w:eastAsia="宋体" w:cs="宋体"/>
          <w:b w:val="0"/>
          <w:bCs w:val="0"/>
          <w:sz w:val="24"/>
        </w:rPr>
      </w:pPr>
      <w:bookmarkStart w:id="7" w:name="_Toc430855203"/>
      <w:bookmarkStart w:id="8" w:name="_Toc431970298"/>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（二）响应人须具备自有品牌的生产企业或自有注册商标的经销商或具备合法代理资格的代理商。同一品牌仅限一家响应人投报。</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（六）本项目不接受联合体形式参与，有控股及关联的公司只能选择一家公司报名参与，否则将被同时取消参与资格。</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（七）响应人所经营的充电宝设备须具备国家CCC认证，通过UN38.3测试，有第三方质检报告。</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八</w:t>
      </w:r>
      <w:r>
        <w:rPr>
          <w:rFonts w:hint="eastAsia" w:ascii="宋体" w:hAnsi="宋体" w:eastAsia="宋体" w:cs="宋体"/>
          <w:sz w:val="24"/>
        </w:rPr>
        <w:t>）响应人须针对《湖北机场集团“供应商不良行为”管理暂行办法（试行）》在响应文件中做出承诺，格式详见响应文件格式。</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9" w:name="_Toc5395"/>
      <w:r>
        <w:rPr>
          <w:rFonts w:hint="eastAsia" w:ascii="宋体" w:hAnsi="宋体" w:eastAsia="宋体" w:cs="宋体"/>
          <w:b/>
          <w:bCs/>
          <w:kern w:val="2"/>
          <w:sz w:val="28"/>
          <w:szCs w:val="28"/>
          <w:lang w:val="en-US" w:eastAsia="zh-CN" w:bidi="ar-SA"/>
        </w:rPr>
        <w:t>三、报名及招商文件的领取</w:t>
      </w:r>
      <w:bookmarkEnd w:id="9"/>
    </w:p>
    <w:p>
      <w:pPr>
        <w:snapToGrid w:val="0"/>
        <w:spacing w:line="360" w:lineRule="auto"/>
        <w:ind w:firstLine="480" w:firstLineChars="200"/>
        <w:rPr>
          <w:rFonts w:hint="eastAsia" w:ascii="宋体" w:hAnsi="宋体" w:eastAsia="宋体" w:cs="宋体"/>
          <w:sz w:val="24"/>
        </w:rPr>
      </w:pPr>
      <w:bookmarkStart w:id="10" w:name="_Toc430855202"/>
      <w:bookmarkStart w:id="11" w:name="_Toc431970297"/>
      <w:r>
        <w:rPr>
          <w:rFonts w:hint="eastAsia" w:ascii="宋体" w:hAnsi="宋体" w:eastAsia="宋体" w:cs="宋体"/>
          <w:sz w:val="24"/>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10月13</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17</w:t>
      </w:r>
      <w:r>
        <w:rPr>
          <w:rFonts w:hint="eastAsia" w:ascii="宋体" w:hAnsi="宋体" w:eastAsia="宋体" w:cs="宋体"/>
          <w:sz w:val="24"/>
          <w:highlight w:val="none"/>
        </w:rPr>
        <w:t>:00时止（北京时间），通过互联网访问电子交易平台，点击【投标人】，在【公告信息】---【采购公告】栏下载采购文件，500元/份，售后不退。联合体响</w:t>
      </w:r>
      <w:r>
        <w:rPr>
          <w:rFonts w:hint="eastAsia" w:ascii="宋体" w:hAnsi="宋体" w:eastAsia="宋体" w:cs="宋体"/>
          <w:sz w:val="24"/>
        </w:rPr>
        <w:t>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12" w:name="_Toc24225"/>
      <w:r>
        <w:rPr>
          <w:rFonts w:hint="eastAsia" w:ascii="宋体" w:hAnsi="宋体" w:eastAsia="宋体" w:cs="宋体"/>
          <w:b/>
          <w:bCs/>
          <w:kern w:val="2"/>
          <w:sz w:val="28"/>
          <w:szCs w:val="28"/>
          <w:lang w:val="en-US" w:eastAsia="zh-CN" w:bidi="ar-SA"/>
        </w:rPr>
        <w:t>四、递交响应文件及磋商</w:t>
      </w:r>
      <w:bookmarkEnd w:id="10"/>
      <w:bookmarkEnd w:id="11"/>
      <w:r>
        <w:rPr>
          <w:rFonts w:hint="eastAsia" w:ascii="宋体" w:hAnsi="宋体" w:eastAsia="宋体" w:cs="宋体"/>
          <w:b/>
          <w:bCs/>
          <w:kern w:val="2"/>
          <w:sz w:val="28"/>
          <w:szCs w:val="28"/>
          <w:lang w:val="en-US" w:eastAsia="zh-CN" w:bidi="ar-SA"/>
        </w:rPr>
        <w:t>时间、地点</w:t>
      </w:r>
      <w:bookmarkEnd w:id="12"/>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1、递交响应文</w:t>
      </w:r>
      <w:r>
        <w:rPr>
          <w:rFonts w:hint="eastAsia" w:ascii="宋体" w:hAnsi="宋体" w:eastAsia="宋体" w:cs="宋体"/>
          <w:sz w:val="24"/>
          <w:highlight w:val="none"/>
        </w:rPr>
        <w:t>件截止时间：</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分整，</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13" w:name="_Toc22468"/>
      <w:r>
        <w:rPr>
          <w:rFonts w:hint="eastAsia" w:ascii="宋体" w:hAnsi="宋体" w:eastAsia="宋体" w:cs="宋体"/>
          <w:b/>
          <w:bCs/>
          <w:kern w:val="2"/>
          <w:sz w:val="28"/>
          <w:szCs w:val="28"/>
          <w:lang w:val="en-US" w:eastAsia="zh-CN" w:bidi="ar-SA"/>
        </w:rPr>
        <w:t>五、发布公告的媒介</w:t>
      </w:r>
      <w:bookmarkEnd w:id="1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14" w:name="_Toc23652"/>
      <w:r>
        <w:rPr>
          <w:rFonts w:hint="eastAsia" w:ascii="宋体" w:hAnsi="宋体" w:eastAsia="宋体" w:cs="宋体"/>
          <w:b/>
          <w:bCs/>
          <w:kern w:val="2"/>
          <w:sz w:val="28"/>
          <w:szCs w:val="28"/>
          <w:lang w:val="en-US" w:eastAsia="zh-CN" w:bidi="ar-SA"/>
        </w:rPr>
        <w:t>六、联系方式</w:t>
      </w:r>
      <w:bookmarkEnd w:id="7"/>
      <w:bookmarkEnd w:id="8"/>
      <w:bookmarkEnd w:id="1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eastAsia="zh-CN"/>
        </w:rPr>
        <w:t>杜</w:t>
      </w:r>
      <w:r>
        <w:rPr>
          <w:rFonts w:hint="eastAsia" w:ascii="宋体" w:hAnsi="宋体" w:eastAsia="宋体" w:cs="宋体"/>
          <w:sz w:val="24"/>
        </w:rPr>
        <w:t xml:space="preserve">女士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话：027-85818281</w:t>
      </w:r>
      <w:r>
        <w:rPr>
          <w:rFonts w:hint="eastAsia" w:ascii="宋体" w:hAnsi="宋体" w:eastAsia="宋体" w:cs="宋体"/>
          <w:sz w:val="24"/>
          <w:highlight w:val="none"/>
        </w:rPr>
        <w:t xml:space="preserve">  </w:t>
      </w:r>
    </w:p>
    <w:p>
      <w:pPr>
        <w:jc w:val="right"/>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bookmarkStart w:id="15" w:name="_GoBack"/>
      <w:r>
        <w:rPr>
          <w:rFonts w:hint="eastAsia" w:ascii="宋体" w:hAnsi="宋体" w:eastAsia="宋体" w:cs="宋体"/>
          <w:sz w:val="24"/>
          <w:highlight w:val="none"/>
          <w:lang w:val="en-US" w:eastAsia="zh-CN"/>
        </w:rPr>
        <w:t>10月8</w:t>
      </w:r>
      <w:r>
        <w:rPr>
          <w:rFonts w:hint="eastAsia" w:ascii="宋体" w:hAnsi="宋体" w:eastAsia="宋体" w:cs="宋体"/>
          <w:sz w:val="24"/>
          <w:highlight w:val="none"/>
        </w:rPr>
        <w:t>日</w:t>
      </w:r>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1665"/>
    <w:multiLevelType w:val="singleLevel"/>
    <w:tmpl w:val="593A166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s>
  <w:rsids>
    <w:rsidRoot w:val="6CBD12D7"/>
    <w:rsid w:val="63AB6F74"/>
    <w:rsid w:val="6CBD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1857</Characters>
  <Lines>0</Lines>
  <Paragraphs>0</Paragraphs>
  <TotalTime>1</TotalTime>
  <ScaleCrop>false</ScaleCrop>
  <LinksUpToDate>false</LinksUpToDate>
  <CharactersWithSpaces>1905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2023-10-08T03:13:00Z</dcterms:created>
  <dc:creator>花轮哈哈哈</dc:creator>
  <cp:lastModifiedBy>航站楼商业管理部合同管理员</cp:lastModifiedBy>
  <dcterms:modified xsi:type="dcterms:W3CDTF">2023-10-08T07:45:32Z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D34FCB49662F4E80AB835960F0E81F62_11</vt:lpwstr>
  </property>
</Properties>
</file>