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武汉天河机场2023年T3航站楼出发1-5号大门外新建LED招商项目招商公告</w:t>
      </w:r>
    </w:p>
    <w:p>
      <w:pPr>
        <w:spacing w:line="360" w:lineRule="auto"/>
        <w:ind w:firstLine="435"/>
        <w:rPr>
          <w:rFonts w:ascii="宋体" w:hAnsi="宋体" w:cs="宋体"/>
          <w:color w:val="auto"/>
          <w:szCs w:val="21"/>
        </w:rPr>
      </w:pPr>
      <w:r>
        <w:rPr>
          <w:rFonts w:hint="eastAsia" w:ascii="宋体" w:hAnsi="宋体" w:cs="宋体"/>
          <w:szCs w:val="21"/>
        </w:rPr>
        <w:t>湖北省成套招标股份有限公司（以下简称“</w:t>
      </w:r>
      <w:r>
        <w:rPr>
          <w:rFonts w:hint="eastAsia" w:ascii="宋体" w:hAnsi="宋体" w:cs="宋体"/>
          <w:color w:val="auto"/>
          <w:szCs w:val="21"/>
        </w:rPr>
        <w:t>招商代理机构”） 受</w:t>
      </w:r>
      <w:r>
        <w:rPr>
          <w:rFonts w:hint="eastAsia" w:hAnsi="宋体"/>
          <w:color w:val="auto"/>
          <w:szCs w:val="21"/>
        </w:rPr>
        <w:t>湖北空港首广联合传媒有限公司</w:t>
      </w:r>
      <w:r>
        <w:rPr>
          <w:rFonts w:hint="eastAsia" w:ascii="宋体" w:hAnsi="宋体" w:cs="宋体"/>
          <w:color w:val="auto"/>
          <w:szCs w:val="21"/>
        </w:rPr>
        <w:t>（以下简称“招商人”）的委托，对</w:t>
      </w:r>
      <w:r>
        <w:rPr>
          <w:rFonts w:hint="eastAsia" w:hAnsi="宋体"/>
          <w:color w:val="auto"/>
          <w:szCs w:val="21"/>
        </w:rPr>
        <w:t>武汉天河机场2023年T3航站楼出发1-5号大门外新建LED招商项目</w:t>
      </w:r>
      <w:r>
        <w:rPr>
          <w:rFonts w:hint="eastAsia" w:ascii="宋体" w:hAnsi="宋体" w:cs="宋体"/>
          <w:color w:val="auto"/>
          <w:szCs w:val="21"/>
        </w:rPr>
        <w:t>进行招商。资金来源：</w:t>
      </w:r>
      <w:r>
        <w:rPr>
          <w:rFonts w:hint="eastAsia" w:hAnsi="宋体"/>
          <w:color w:val="auto"/>
          <w:szCs w:val="21"/>
        </w:rPr>
        <w:t>招商响应人自筹</w:t>
      </w:r>
      <w:r>
        <w:rPr>
          <w:rFonts w:hint="eastAsia" w:ascii="宋体" w:hAnsi="宋体" w:cs="宋体"/>
          <w:color w:val="auto"/>
          <w:szCs w:val="21"/>
        </w:rPr>
        <w:t>。欢迎符合资格条件的招商响应人参加磋商。</w:t>
      </w:r>
    </w:p>
    <w:p>
      <w:pPr>
        <w:spacing w:before="156" w:beforeLines="50" w:after="156" w:afterLines="50" w:line="360" w:lineRule="auto"/>
        <w:outlineLvl w:val="1"/>
        <w:rPr>
          <w:rFonts w:ascii="宋体" w:hAnsi="宋体" w:cs="宋体"/>
          <w:b/>
          <w:color w:val="auto"/>
          <w:szCs w:val="21"/>
        </w:rPr>
      </w:pPr>
      <w:bookmarkStart w:id="0" w:name="_Toc6581"/>
      <w:bookmarkStart w:id="1" w:name="_Toc365302267"/>
      <w:bookmarkStart w:id="2" w:name="_Toc380747815"/>
      <w:bookmarkStart w:id="3" w:name="_Toc23331"/>
      <w:bookmarkStart w:id="4" w:name="_Toc97300600"/>
      <w:r>
        <w:rPr>
          <w:rFonts w:hint="eastAsia" w:ascii="宋体" w:hAnsi="宋体" w:cs="宋体"/>
          <w:b/>
          <w:color w:val="auto"/>
          <w:szCs w:val="21"/>
        </w:rPr>
        <w:t>一、项目</w:t>
      </w:r>
      <w:bookmarkEnd w:id="0"/>
      <w:bookmarkEnd w:id="1"/>
      <w:bookmarkEnd w:id="2"/>
      <w:r>
        <w:rPr>
          <w:rFonts w:hint="eastAsia" w:ascii="宋体" w:hAnsi="宋体" w:cs="宋体"/>
          <w:b/>
          <w:color w:val="auto"/>
          <w:szCs w:val="21"/>
        </w:rPr>
        <w:t>概况</w:t>
      </w:r>
      <w:bookmarkEnd w:id="3"/>
      <w:bookmarkEnd w:id="4"/>
    </w:p>
    <w:p>
      <w:pPr>
        <w:spacing w:line="360" w:lineRule="auto"/>
        <w:ind w:firstLine="420" w:firstLineChars="200"/>
        <w:rPr>
          <w:rFonts w:ascii="宋体" w:hAnsi="宋体" w:cs="宋体"/>
          <w:color w:val="auto"/>
          <w:szCs w:val="21"/>
        </w:rPr>
      </w:pPr>
      <w:r>
        <w:rPr>
          <w:rFonts w:hint="eastAsia" w:ascii="宋体" w:hAnsi="宋体" w:cs="宋体"/>
          <w:color w:val="auto"/>
          <w:szCs w:val="21"/>
        </w:rPr>
        <w:t>1.招商人：</w:t>
      </w:r>
      <w:r>
        <w:rPr>
          <w:rFonts w:hint="eastAsia" w:hAnsi="宋体"/>
          <w:color w:val="auto"/>
          <w:szCs w:val="21"/>
        </w:rPr>
        <w:t>湖北空港首广联合传媒有限公司</w:t>
      </w:r>
    </w:p>
    <w:p>
      <w:pPr>
        <w:spacing w:line="360" w:lineRule="auto"/>
        <w:ind w:firstLine="420" w:firstLineChars="200"/>
        <w:rPr>
          <w:rFonts w:ascii="宋体" w:hAnsi="宋体" w:cs="宋体"/>
          <w:color w:val="auto"/>
          <w:szCs w:val="21"/>
        </w:rPr>
      </w:pPr>
      <w:r>
        <w:rPr>
          <w:rFonts w:hint="eastAsia" w:ascii="宋体" w:hAnsi="宋体" w:cs="宋体"/>
          <w:color w:val="auto"/>
          <w:szCs w:val="21"/>
        </w:rPr>
        <w:t>2.项目名称：</w:t>
      </w:r>
      <w:r>
        <w:rPr>
          <w:rFonts w:hint="eastAsia" w:hAnsi="宋体"/>
          <w:color w:val="auto"/>
          <w:szCs w:val="21"/>
        </w:rPr>
        <w:t>武汉天河机场2023年T3航站楼出发1-5号大门外新建LED招商项目</w:t>
      </w:r>
    </w:p>
    <w:p>
      <w:pPr>
        <w:spacing w:line="360" w:lineRule="auto"/>
        <w:ind w:firstLine="420" w:firstLineChars="200"/>
        <w:rPr>
          <w:rFonts w:ascii="宋体" w:hAnsi="宋体" w:cs="宋体"/>
          <w:color w:val="auto"/>
          <w:szCs w:val="21"/>
        </w:rPr>
      </w:pPr>
      <w:r>
        <w:rPr>
          <w:rFonts w:hint="eastAsia" w:ascii="宋体" w:hAnsi="宋体" w:cs="宋体"/>
          <w:color w:val="auto"/>
          <w:szCs w:val="21"/>
        </w:rPr>
        <w:t>3.项目编号：</w:t>
      </w:r>
      <w:r>
        <w:rPr>
          <w:rFonts w:hint="eastAsia" w:hAnsi="宋体"/>
          <w:color w:val="auto"/>
          <w:szCs w:val="21"/>
        </w:rPr>
        <w:t>HBCZ-20060959-231918</w:t>
      </w:r>
    </w:p>
    <w:p>
      <w:pPr>
        <w:spacing w:line="360" w:lineRule="auto"/>
        <w:ind w:firstLine="420" w:firstLineChars="200"/>
        <w:rPr>
          <w:rFonts w:ascii="宋体" w:hAnsi="宋体" w:cs="宋体"/>
          <w:color w:val="auto"/>
          <w:szCs w:val="21"/>
        </w:rPr>
      </w:pPr>
      <w:r>
        <w:rPr>
          <w:rFonts w:hint="eastAsia" w:ascii="宋体" w:hAnsi="宋体" w:cs="宋体"/>
          <w:color w:val="auto"/>
          <w:szCs w:val="21"/>
        </w:rPr>
        <w:t>4.招商内容：</w:t>
      </w:r>
      <w:r>
        <w:rPr>
          <w:rFonts w:hint="eastAsia" w:hAnsi="宋体"/>
          <w:color w:val="auto"/>
          <w:szCs w:val="21"/>
        </w:rPr>
        <w:t>新建LED招商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5.招商内容</w:t>
      </w:r>
      <w:r>
        <w:rPr>
          <w:rFonts w:hint="eastAsia"/>
          <w:color w:val="auto"/>
          <w:szCs w:val="21"/>
        </w:rPr>
        <w:t>：</w:t>
      </w:r>
      <w:r>
        <w:rPr>
          <w:rFonts w:hint="eastAsia" w:hAnsi="宋体"/>
          <w:color w:val="auto"/>
          <w:szCs w:val="21"/>
        </w:rPr>
        <w:t>武汉天河机场2023年T3航站楼出发1-5号大门外新建LED招商项目</w:t>
      </w:r>
      <w:r>
        <w:rPr>
          <w:rFonts w:hint="eastAsia" w:ascii="宋体" w:hAnsi="宋体" w:cs="宋体"/>
          <w:snapToGrid w:val="0"/>
          <w:color w:val="auto"/>
          <w:kern w:val="0"/>
          <w:szCs w:val="21"/>
          <w:lang w:val="zh-CN"/>
        </w:rPr>
        <w:t>，</w:t>
      </w:r>
      <w:r>
        <w:rPr>
          <w:rFonts w:hint="eastAsia" w:ascii="宋体" w:hAnsi="宋体" w:cs="宋体"/>
          <w:snapToGrid w:val="0"/>
          <w:color w:val="auto"/>
          <w:kern w:val="0"/>
          <w:szCs w:val="21"/>
        </w:rPr>
        <w:t>具体内容如下：</w:t>
      </w:r>
    </w:p>
    <w:tbl>
      <w:tblPr>
        <w:tblStyle w:val="3"/>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825"/>
        <w:gridCol w:w="1200"/>
        <w:gridCol w:w="1724"/>
        <w:gridCol w:w="1134"/>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38"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标段</w:t>
            </w:r>
          </w:p>
        </w:tc>
        <w:tc>
          <w:tcPr>
            <w:tcW w:w="18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区域</w:t>
            </w:r>
          </w:p>
        </w:tc>
        <w:tc>
          <w:tcPr>
            <w:tcW w:w="12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媒体类型</w:t>
            </w:r>
          </w:p>
        </w:tc>
        <w:tc>
          <w:tcPr>
            <w:tcW w:w="172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媒体编号</w:t>
            </w:r>
          </w:p>
        </w:tc>
        <w:tc>
          <w:tcPr>
            <w:tcW w:w="113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媒体数量</w:t>
            </w:r>
          </w:p>
        </w:tc>
        <w:tc>
          <w:tcPr>
            <w:tcW w:w="1838"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媒体尺寸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38" w:type="dxa"/>
            <w:vMerge w:val="restart"/>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1825" w:type="dxa"/>
            <w:vMerge w:val="restart"/>
            <w:vAlign w:val="center"/>
          </w:tcPr>
          <w:p>
            <w:pPr>
              <w:widowControl/>
              <w:jc w:val="center"/>
              <w:rPr>
                <w:rFonts w:ascii="宋体" w:hAnsi="宋体" w:cs="宋体"/>
                <w:color w:val="auto"/>
                <w:kern w:val="0"/>
                <w:szCs w:val="21"/>
              </w:rPr>
            </w:pPr>
            <w:r>
              <w:rPr>
                <w:rFonts w:hint="eastAsia" w:hAnsi="宋体"/>
                <w:color w:val="auto"/>
                <w:szCs w:val="21"/>
              </w:rPr>
              <w:t>T3航站楼出发1-5号大门外</w:t>
            </w:r>
          </w:p>
        </w:tc>
        <w:tc>
          <w:tcPr>
            <w:tcW w:w="1200" w:type="dxa"/>
            <w:vMerge w:val="restart"/>
            <w:vAlign w:val="center"/>
          </w:tcPr>
          <w:p>
            <w:pPr>
              <w:widowControl/>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LED</w:t>
            </w:r>
          </w:p>
        </w:tc>
        <w:tc>
          <w:tcPr>
            <w:tcW w:w="1724"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HBWUH-34G-L001</w:t>
            </w:r>
          </w:p>
        </w:tc>
        <w:tc>
          <w:tcPr>
            <w:tcW w:w="1134"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1838" w:type="dxa"/>
            <w:vMerge w:val="restart"/>
            <w:vAlign w:val="center"/>
          </w:tcPr>
          <w:p>
            <w:pPr>
              <w:widowControl/>
              <w:jc w:val="center"/>
              <w:rPr>
                <w:rFonts w:ascii="宋体" w:hAnsi="宋体" w:cs="宋体"/>
                <w:color w:val="auto"/>
                <w:kern w:val="0"/>
                <w:szCs w:val="21"/>
              </w:rPr>
            </w:pPr>
            <w:r>
              <w:rPr>
                <w:rFonts w:hint="eastAsia" w:ascii="宋体" w:hAnsi="宋体" w:cs="宋体"/>
                <w:color w:val="auto"/>
                <w:kern w:val="0"/>
                <w:szCs w:val="21"/>
              </w:rPr>
              <w:t>以实际建设尺寸为准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38" w:type="dxa"/>
            <w:vMerge w:val="continue"/>
            <w:vAlign w:val="center"/>
          </w:tcPr>
          <w:p>
            <w:pPr>
              <w:widowControl/>
              <w:jc w:val="center"/>
              <w:rPr>
                <w:rFonts w:hint="eastAsia" w:ascii="宋体" w:hAnsi="宋体" w:cs="宋体"/>
                <w:color w:val="auto"/>
                <w:kern w:val="0"/>
                <w:szCs w:val="21"/>
              </w:rPr>
            </w:pPr>
          </w:p>
        </w:tc>
        <w:tc>
          <w:tcPr>
            <w:tcW w:w="1825" w:type="dxa"/>
            <w:vMerge w:val="continue"/>
            <w:vAlign w:val="center"/>
          </w:tcPr>
          <w:p>
            <w:pPr>
              <w:widowControl/>
              <w:jc w:val="center"/>
              <w:rPr>
                <w:rFonts w:hint="eastAsia" w:hAnsi="宋体"/>
                <w:color w:val="auto"/>
                <w:szCs w:val="21"/>
              </w:rPr>
            </w:pPr>
          </w:p>
        </w:tc>
        <w:tc>
          <w:tcPr>
            <w:tcW w:w="1200" w:type="dxa"/>
            <w:vMerge w:val="continue"/>
            <w:vAlign w:val="center"/>
          </w:tcPr>
          <w:p>
            <w:pPr>
              <w:widowControl/>
              <w:jc w:val="center"/>
              <w:rPr>
                <w:rFonts w:hint="eastAsia" w:ascii="宋体" w:hAnsi="宋体" w:eastAsia="宋体" w:cs="宋体"/>
                <w:color w:val="auto"/>
                <w:kern w:val="0"/>
                <w:sz w:val="21"/>
                <w:szCs w:val="21"/>
              </w:rPr>
            </w:pPr>
          </w:p>
        </w:tc>
        <w:tc>
          <w:tcPr>
            <w:tcW w:w="1724"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HBWUH-34G-L002</w:t>
            </w:r>
          </w:p>
        </w:tc>
        <w:tc>
          <w:tcPr>
            <w:tcW w:w="1134"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1838" w:type="dxa"/>
            <w:vMerge w:val="continue"/>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38" w:type="dxa"/>
            <w:vMerge w:val="continue"/>
            <w:vAlign w:val="center"/>
          </w:tcPr>
          <w:p>
            <w:pPr>
              <w:widowControl/>
              <w:jc w:val="center"/>
              <w:rPr>
                <w:rFonts w:hint="eastAsia" w:ascii="宋体" w:hAnsi="宋体" w:cs="宋体"/>
                <w:color w:val="auto"/>
                <w:kern w:val="0"/>
                <w:szCs w:val="21"/>
              </w:rPr>
            </w:pPr>
          </w:p>
        </w:tc>
        <w:tc>
          <w:tcPr>
            <w:tcW w:w="1825" w:type="dxa"/>
            <w:vMerge w:val="continue"/>
            <w:vAlign w:val="center"/>
          </w:tcPr>
          <w:p>
            <w:pPr>
              <w:widowControl/>
              <w:jc w:val="center"/>
              <w:rPr>
                <w:rFonts w:hint="eastAsia" w:hAnsi="宋体"/>
                <w:color w:val="auto"/>
                <w:szCs w:val="21"/>
              </w:rPr>
            </w:pPr>
          </w:p>
        </w:tc>
        <w:tc>
          <w:tcPr>
            <w:tcW w:w="1200" w:type="dxa"/>
            <w:vMerge w:val="continue"/>
            <w:vAlign w:val="center"/>
          </w:tcPr>
          <w:p>
            <w:pPr>
              <w:widowControl/>
              <w:jc w:val="center"/>
              <w:rPr>
                <w:rFonts w:hint="eastAsia" w:ascii="宋体" w:hAnsi="宋体" w:eastAsia="宋体" w:cs="宋体"/>
                <w:color w:val="auto"/>
                <w:kern w:val="0"/>
                <w:sz w:val="21"/>
                <w:szCs w:val="21"/>
              </w:rPr>
            </w:pPr>
          </w:p>
        </w:tc>
        <w:tc>
          <w:tcPr>
            <w:tcW w:w="1724"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HBWUH-34G-L003</w:t>
            </w:r>
          </w:p>
        </w:tc>
        <w:tc>
          <w:tcPr>
            <w:tcW w:w="1134"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1838" w:type="dxa"/>
            <w:vMerge w:val="continue"/>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38" w:type="dxa"/>
            <w:vMerge w:val="continue"/>
            <w:vAlign w:val="center"/>
          </w:tcPr>
          <w:p>
            <w:pPr>
              <w:widowControl/>
              <w:jc w:val="center"/>
              <w:rPr>
                <w:rFonts w:hint="eastAsia" w:ascii="宋体" w:hAnsi="宋体" w:cs="宋体"/>
                <w:color w:val="auto"/>
                <w:kern w:val="0"/>
                <w:szCs w:val="21"/>
              </w:rPr>
            </w:pPr>
          </w:p>
        </w:tc>
        <w:tc>
          <w:tcPr>
            <w:tcW w:w="1825" w:type="dxa"/>
            <w:vMerge w:val="continue"/>
            <w:vAlign w:val="center"/>
          </w:tcPr>
          <w:p>
            <w:pPr>
              <w:widowControl/>
              <w:jc w:val="center"/>
              <w:rPr>
                <w:rFonts w:hint="eastAsia" w:hAnsi="宋体"/>
                <w:color w:val="auto"/>
                <w:szCs w:val="21"/>
              </w:rPr>
            </w:pPr>
          </w:p>
        </w:tc>
        <w:tc>
          <w:tcPr>
            <w:tcW w:w="1200" w:type="dxa"/>
            <w:vMerge w:val="continue"/>
            <w:vAlign w:val="center"/>
          </w:tcPr>
          <w:p>
            <w:pPr>
              <w:widowControl/>
              <w:jc w:val="center"/>
              <w:rPr>
                <w:rFonts w:hint="eastAsia" w:ascii="宋体" w:hAnsi="宋体" w:eastAsia="宋体" w:cs="宋体"/>
                <w:color w:val="auto"/>
                <w:kern w:val="0"/>
                <w:sz w:val="21"/>
                <w:szCs w:val="21"/>
              </w:rPr>
            </w:pPr>
          </w:p>
        </w:tc>
        <w:tc>
          <w:tcPr>
            <w:tcW w:w="1724"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HBWUH-34G-L004</w:t>
            </w:r>
          </w:p>
        </w:tc>
        <w:tc>
          <w:tcPr>
            <w:tcW w:w="1134"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1838" w:type="dxa"/>
            <w:vMerge w:val="continue"/>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vAlign w:val="center"/>
          </w:tcPr>
          <w:p>
            <w:pPr>
              <w:widowControl/>
              <w:jc w:val="center"/>
              <w:rPr>
                <w:rFonts w:hint="eastAsia" w:ascii="宋体" w:hAnsi="宋体" w:cs="宋体"/>
                <w:color w:val="auto"/>
                <w:kern w:val="0"/>
                <w:szCs w:val="21"/>
              </w:rPr>
            </w:pPr>
          </w:p>
        </w:tc>
        <w:tc>
          <w:tcPr>
            <w:tcW w:w="1825" w:type="dxa"/>
            <w:vMerge w:val="continue"/>
            <w:vAlign w:val="center"/>
          </w:tcPr>
          <w:p>
            <w:pPr>
              <w:widowControl/>
              <w:jc w:val="center"/>
              <w:rPr>
                <w:rFonts w:hint="eastAsia" w:hAnsi="宋体"/>
                <w:color w:val="auto"/>
                <w:szCs w:val="21"/>
              </w:rPr>
            </w:pPr>
          </w:p>
        </w:tc>
        <w:tc>
          <w:tcPr>
            <w:tcW w:w="1200" w:type="dxa"/>
            <w:vMerge w:val="continue"/>
            <w:vAlign w:val="center"/>
          </w:tcPr>
          <w:p>
            <w:pPr>
              <w:widowControl/>
              <w:jc w:val="center"/>
              <w:rPr>
                <w:rFonts w:hint="eastAsia" w:ascii="宋体" w:hAnsi="宋体" w:eastAsia="宋体" w:cs="宋体"/>
                <w:color w:val="auto"/>
                <w:kern w:val="0"/>
                <w:sz w:val="21"/>
                <w:szCs w:val="21"/>
              </w:rPr>
            </w:pPr>
          </w:p>
        </w:tc>
        <w:tc>
          <w:tcPr>
            <w:tcW w:w="1724"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HBWUH-34G-L005</w:t>
            </w:r>
          </w:p>
        </w:tc>
        <w:tc>
          <w:tcPr>
            <w:tcW w:w="1134"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1838" w:type="dxa"/>
            <w:vMerge w:val="continue"/>
            <w:vAlign w:val="center"/>
          </w:tcPr>
          <w:p>
            <w:pPr>
              <w:widowControl/>
              <w:jc w:val="center"/>
              <w:rPr>
                <w:rFonts w:ascii="宋体" w:hAnsi="宋体" w:cs="宋体"/>
                <w:color w:val="auto"/>
                <w:kern w:val="0"/>
                <w:szCs w:val="21"/>
              </w:rPr>
            </w:pPr>
          </w:p>
        </w:tc>
      </w:tr>
    </w:tbl>
    <w:p>
      <w:pPr>
        <w:spacing w:line="360" w:lineRule="auto"/>
        <w:ind w:firstLine="420" w:firstLineChars="200"/>
        <w:rPr>
          <w:color w:val="auto"/>
          <w:kern w:val="0"/>
          <w:szCs w:val="21"/>
        </w:rPr>
      </w:pPr>
      <w:r>
        <w:rPr>
          <w:rFonts w:hint="eastAsia" w:eastAsia="宋体"/>
          <w:color w:val="auto"/>
          <w:kern w:val="0"/>
          <w:szCs w:val="21"/>
        </w:rPr>
        <w:t>6.合同期限：</w:t>
      </w:r>
      <w:r>
        <w:rPr>
          <w:rFonts w:hint="eastAsia"/>
          <w:color w:val="auto"/>
          <w:kern w:val="0"/>
          <w:szCs w:val="21"/>
          <w:lang w:val="en-US" w:eastAsia="zh-CN"/>
        </w:rPr>
        <w:t>三年</w:t>
      </w:r>
      <w:r>
        <w:rPr>
          <w:rFonts w:hint="eastAsia"/>
          <w:color w:val="auto"/>
          <w:kern w:val="0"/>
          <w:szCs w:val="21"/>
        </w:rPr>
        <w:t>。</w:t>
      </w:r>
    </w:p>
    <w:p>
      <w:pPr>
        <w:spacing w:line="360" w:lineRule="auto"/>
        <w:ind w:firstLine="420" w:firstLineChars="200"/>
        <w:rPr>
          <w:rFonts w:ascii="宋体" w:hAnsi="宋体" w:cs="宋体"/>
          <w:color w:val="auto"/>
          <w:szCs w:val="21"/>
        </w:rPr>
      </w:pPr>
      <w:r>
        <w:rPr>
          <w:rFonts w:hint="eastAsia"/>
          <w:color w:val="auto"/>
          <w:kern w:val="0"/>
          <w:szCs w:val="21"/>
        </w:rPr>
        <w:t>7.媒体建设期：招商人给予</w:t>
      </w:r>
      <w:r>
        <w:rPr>
          <w:rFonts w:hint="eastAsia"/>
          <w:color w:val="auto"/>
          <w:kern w:val="0"/>
          <w:szCs w:val="21"/>
          <w:lang w:val="en-US" w:eastAsia="zh-CN"/>
        </w:rPr>
        <w:t>60</w:t>
      </w:r>
      <w:r>
        <w:rPr>
          <w:rFonts w:hint="eastAsia"/>
          <w:color w:val="auto"/>
          <w:kern w:val="0"/>
          <w:szCs w:val="21"/>
        </w:rPr>
        <w:t>日的媒体建设期，费用由招商响应人承担。</w:t>
      </w:r>
    </w:p>
    <w:p>
      <w:pPr>
        <w:spacing w:line="360" w:lineRule="auto"/>
        <w:ind w:firstLine="420" w:firstLineChars="200"/>
        <w:rPr>
          <w:rFonts w:ascii="宋体" w:hAnsi="宋体" w:cs="宋体"/>
          <w:color w:val="auto"/>
          <w:szCs w:val="21"/>
        </w:rPr>
      </w:pPr>
      <w:r>
        <w:rPr>
          <w:rFonts w:ascii="宋体" w:hAnsi="宋体" w:cs="宋体"/>
          <w:color w:val="auto"/>
          <w:szCs w:val="21"/>
        </w:rPr>
        <w:t>8</w:t>
      </w:r>
      <w:r>
        <w:rPr>
          <w:rFonts w:hint="eastAsia" w:ascii="宋体" w:hAnsi="宋体" w:cs="宋体"/>
          <w:color w:val="auto"/>
          <w:szCs w:val="21"/>
        </w:rPr>
        <w:t>.资金来源：</w:t>
      </w:r>
      <w:r>
        <w:rPr>
          <w:rFonts w:hint="eastAsia" w:hAnsi="宋体"/>
          <w:color w:val="auto"/>
          <w:szCs w:val="21"/>
        </w:rPr>
        <w:t>招商响应人自筹。</w:t>
      </w:r>
    </w:p>
    <w:p>
      <w:pPr>
        <w:autoSpaceDE w:val="0"/>
        <w:autoSpaceDN w:val="0"/>
        <w:spacing w:line="360" w:lineRule="auto"/>
        <w:ind w:left="632" w:hanging="632" w:hangingChars="300"/>
        <w:outlineLvl w:val="1"/>
        <w:rPr>
          <w:rFonts w:ascii="宋体" w:hAnsi="宋体" w:cs="宋体"/>
          <w:b/>
          <w:bCs/>
          <w:color w:val="auto"/>
          <w:kern w:val="0"/>
          <w:szCs w:val="21"/>
        </w:rPr>
      </w:pPr>
      <w:bookmarkStart w:id="5" w:name="_Toc458503196"/>
      <w:bookmarkStart w:id="6" w:name="_Toc97300601"/>
      <w:bookmarkStart w:id="7" w:name="_Toc26049"/>
      <w:bookmarkStart w:id="8" w:name="_Toc17887"/>
      <w:bookmarkStart w:id="9" w:name="_Toc27593"/>
      <w:bookmarkStart w:id="10" w:name="_Toc1298"/>
      <w:bookmarkStart w:id="11" w:name="_Toc25557"/>
      <w:r>
        <w:rPr>
          <w:rFonts w:hint="eastAsia" w:ascii="宋体" w:hAnsi="宋体" w:cs="宋体"/>
          <w:b/>
          <w:bCs/>
          <w:color w:val="auto"/>
          <w:kern w:val="0"/>
          <w:szCs w:val="21"/>
        </w:rPr>
        <w:t>二、响应资格及要求</w:t>
      </w:r>
      <w:bookmarkEnd w:id="5"/>
      <w:bookmarkEnd w:id="6"/>
      <w:bookmarkEnd w:id="7"/>
      <w:bookmarkEnd w:id="8"/>
      <w:bookmarkEnd w:id="9"/>
      <w:bookmarkEnd w:id="10"/>
      <w:bookmarkEnd w:id="11"/>
    </w:p>
    <w:p>
      <w:pPr>
        <w:keepNext w:val="0"/>
        <w:keepLines w:val="0"/>
        <w:pageBreakBefore w:val="0"/>
        <w:widowControl w:val="0"/>
        <w:tabs>
          <w:tab w:val="left" w:pos="540"/>
          <w:tab w:val="left" w:pos="840"/>
        </w:tabs>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color w:val="auto"/>
          <w:szCs w:val="21"/>
        </w:rPr>
      </w:pPr>
      <w:bookmarkStart w:id="12" w:name="_Toc97300607"/>
      <w:bookmarkStart w:id="13" w:name="_Toc20043"/>
      <w:bookmarkStart w:id="14" w:name="_Toc19838"/>
      <w:r>
        <w:rPr>
          <w:rFonts w:hint="eastAsia" w:ascii="宋体" w:hAnsi="宋体" w:cs="宋体"/>
          <w:color w:val="auto"/>
          <w:szCs w:val="21"/>
        </w:rPr>
        <w:t>1.响应人须是在中华人民共和国境内注册且具备合法有效的营业执照；</w:t>
      </w:r>
    </w:p>
    <w:p>
      <w:pPr>
        <w:keepNext w:val="0"/>
        <w:keepLines w:val="0"/>
        <w:pageBreakBefore w:val="0"/>
        <w:widowControl w:val="0"/>
        <w:tabs>
          <w:tab w:val="left" w:pos="540"/>
          <w:tab w:val="left" w:pos="840"/>
        </w:tabs>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color w:val="auto"/>
          <w:szCs w:val="21"/>
        </w:rPr>
      </w:pPr>
      <w:r>
        <w:rPr>
          <w:rFonts w:hint="eastAsia" w:ascii="宋体" w:hAnsi="宋体" w:cs="宋体"/>
          <w:color w:val="auto"/>
          <w:szCs w:val="21"/>
        </w:rPr>
        <w:t>2.响应人不得与招商人和招商代理机构有任何的隶属关系或者其他利害关系（提供承诺函）；</w:t>
      </w:r>
    </w:p>
    <w:p>
      <w:pPr>
        <w:keepNext w:val="0"/>
        <w:keepLines w:val="0"/>
        <w:pageBreakBefore w:val="0"/>
        <w:widowControl w:val="0"/>
        <w:tabs>
          <w:tab w:val="left" w:pos="540"/>
          <w:tab w:val="left" w:pos="840"/>
        </w:tabs>
        <w:kinsoku/>
        <w:wordWrap/>
        <w:overflowPunct/>
        <w:topLinePunct w:val="0"/>
        <w:autoSpaceDE/>
        <w:autoSpaceDN/>
        <w:bidi w:val="0"/>
        <w:adjustRightInd/>
        <w:snapToGrid/>
        <w:spacing w:line="360" w:lineRule="auto"/>
        <w:ind w:firstLine="420" w:firstLineChars="200"/>
        <w:textAlignment w:val="auto"/>
        <w:outlineLvl w:val="1"/>
        <w:rPr>
          <w:rFonts w:hint="default" w:ascii="宋体" w:hAnsi="宋体" w:cs="宋体"/>
          <w:color w:val="auto"/>
          <w:szCs w:val="21"/>
          <w:lang w:val="en-US" w:eastAsia="zh-CN"/>
        </w:rPr>
      </w:pPr>
      <w:r>
        <w:rPr>
          <w:rFonts w:hint="eastAsia" w:ascii="宋体" w:hAnsi="宋体" w:cs="宋体"/>
          <w:color w:val="auto"/>
          <w:szCs w:val="21"/>
          <w:lang w:val="en-US" w:eastAsia="zh-CN"/>
        </w:rPr>
        <w:t>3.响应人具有良好的商业信誉，提供本年度基本开户银行出具的资信证明；</w:t>
      </w:r>
    </w:p>
    <w:p>
      <w:pPr>
        <w:keepNext w:val="0"/>
        <w:keepLines w:val="0"/>
        <w:pageBreakBefore w:val="0"/>
        <w:widowControl w:val="0"/>
        <w:tabs>
          <w:tab w:val="left" w:pos="540"/>
          <w:tab w:val="left" w:pos="840"/>
        </w:tabs>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信誉要求：①未被责令停业的；②未被暂停或取消投标资格且处于有效期内的；③财产未被接管或冻结的；④未被“信用中国”网（www.creditchina.gov.cn）或“中国执行信息公开网”（http://zxgk.court.gov.cn/shixin/）列入失信被执行人（①②③提供承诺函，详见响应文件格式；④提供查询截图并加盖公章）；</w:t>
      </w:r>
    </w:p>
    <w:p>
      <w:pPr>
        <w:keepNext w:val="0"/>
        <w:keepLines w:val="0"/>
        <w:pageBreakBefore w:val="0"/>
        <w:widowControl w:val="0"/>
        <w:tabs>
          <w:tab w:val="left" w:pos="540"/>
          <w:tab w:val="left" w:pos="840"/>
        </w:tabs>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.响应人需针对《湖北机场集团“供应商不良行为”管理暂行办法（试行）》在响应文件中</w:t>
      </w:r>
      <w:r>
        <w:rPr>
          <w:rFonts w:hint="eastAsia" w:ascii="宋体" w:hAnsi="宋体" w:cs="宋体"/>
          <w:color w:val="auto"/>
          <w:szCs w:val="21"/>
          <w:lang w:eastAsia="zh-CN"/>
        </w:rPr>
        <w:t>作出</w:t>
      </w:r>
      <w:r>
        <w:rPr>
          <w:rFonts w:hint="eastAsia" w:ascii="宋体" w:hAnsi="宋体" w:cs="宋体"/>
          <w:color w:val="auto"/>
          <w:szCs w:val="21"/>
        </w:rPr>
        <w:t>承诺，格式详见响应文件格式；</w:t>
      </w:r>
    </w:p>
    <w:p>
      <w:pPr>
        <w:keepNext w:val="0"/>
        <w:keepLines w:val="0"/>
        <w:pageBreakBefore w:val="0"/>
        <w:widowControl w:val="0"/>
        <w:tabs>
          <w:tab w:val="left" w:pos="540"/>
          <w:tab w:val="left" w:pos="840"/>
        </w:tabs>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auto"/>
          <w:szCs w:val="21"/>
          <w:lang w:eastAsia="zh-CN"/>
        </w:rPr>
      </w:pPr>
      <w:r>
        <w:rPr>
          <w:rFonts w:hint="eastAsia" w:ascii="宋体" w:hAnsi="宋体" w:cs="宋体"/>
          <w:color w:val="auto"/>
          <w:szCs w:val="21"/>
          <w:lang w:val="en-US" w:eastAsia="zh-CN"/>
        </w:rPr>
        <w:t>6</w:t>
      </w:r>
      <w:r>
        <w:rPr>
          <w:rFonts w:hint="eastAsia" w:ascii="宋体" w:hAnsi="宋体" w:cs="宋体"/>
          <w:color w:val="auto"/>
          <w:szCs w:val="21"/>
        </w:rPr>
        <w:t>.对于截至2023年4月30日未缴清湖北空港首广联合传媒有限公司2022年计提欠款的响应人，不得参与本次招商； 对于截至2023年5月31日未缴清首都机场集团传媒有限公司范围内2022年计提欠款的响应人，不得参与本次招商；参与响应人及其关联公司在与招商人的合作中，需付清2023年1月1日至招商公告发布日上一月底广告计提欠款的50%，否则将取消投标资格（提供承诺函)</w:t>
      </w:r>
      <w:r>
        <w:rPr>
          <w:rFonts w:hint="eastAsia" w:ascii="宋体" w:hAnsi="宋体" w:cs="宋体"/>
          <w:color w:val="auto"/>
          <w:szCs w:val="21"/>
          <w:lang w:eastAsia="zh-CN"/>
        </w:rPr>
        <w:t>；</w:t>
      </w:r>
    </w:p>
    <w:p>
      <w:pPr>
        <w:keepNext w:val="0"/>
        <w:keepLines w:val="0"/>
        <w:pageBreakBefore w:val="0"/>
        <w:widowControl w:val="0"/>
        <w:tabs>
          <w:tab w:val="left" w:pos="540"/>
          <w:tab w:val="left" w:pos="840"/>
        </w:tabs>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.本次招商不接受联合体响应。</w:t>
      </w:r>
    </w:p>
    <w:bookmarkEnd w:id="12"/>
    <w:p>
      <w:pPr>
        <w:tabs>
          <w:tab w:val="left" w:pos="540"/>
          <w:tab w:val="left" w:pos="840"/>
        </w:tabs>
        <w:spacing w:line="360" w:lineRule="auto"/>
        <w:outlineLvl w:val="1"/>
        <w:rPr>
          <w:rFonts w:ascii="宋体" w:hAnsi="宋体" w:cs="宋体"/>
          <w:b/>
          <w:color w:val="auto"/>
          <w:szCs w:val="21"/>
        </w:rPr>
      </w:pPr>
      <w:bookmarkStart w:id="15" w:name="_Toc97300608"/>
      <w:r>
        <w:rPr>
          <w:rFonts w:hint="eastAsia" w:ascii="宋体" w:hAnsi="宋体" w:cs="宋体"/>
          <w:b/>
          <w:color w:val="auto"/>
          <w:szCs w:val="21"/>
        </w:rPr>
        <w:t>三、招商文件的获取</w:t>
      </w:r>
      <w:bookmarkEnd w:id="13"/>
      <w:bookmarkEnd w:id="14"/>
      <w:bookmarkEnd w:id="15"/>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bookmarkStart w:id="16" w:name="_Toc100254608"/>
      <w:bookmarkStart w:id="17" w:name="_Toc16383"/>
      <w:bookmarkStart w:id="18" w:name="_Toc259028695"/>
      <w:bookmarkStart w:id="19" w:name="_Toc5856"/>
      <w:bookmarkStart w:id="20" w:name="_Toc259028275"/>
      <w:bookmarkStart w:id="21" w:name="_Toc7141"/>
      <w:bookmarkStart w:id="22" w:name="_Toc97300609"/>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文件获取开始时间：</w:t>
      </w:r>
      <w:r>
        <w:rPr>
          <w:rFonts w:hint="eastAsia" w:ascii="宋体" w:hAnsi="宋体" w:eastAsia="宋体" w:cs="宋体"/>
          <w:color w:val="auto"/>
          <w:sz w:val="21"/>
          <w:szCs w:val="21"/>
          <w:u w:val="single"/>
          <w:lang w:val="en-US" w:eastAsia="zh-CN"/>
        </w:rPr>
        <w:t>2023</w:t>
      </w:r>
      <w:r>
        <w:rPr>
          <w:rFonts w:hint="eastAsia" w:ascii="宋体" w:hAnsi="宋体" w:eastAsia="宋体" w:cs="宋体"/>
          <w:color w:val="auto"/>
          <w:sz w:val="21"/>
          <w:szCs w:val="21"/>
        </w:rPr>
        <w:t>年</w:t>
      </w:r>
      <w:r>
        <w:rPr>
          <w:rFonts w:hint="eastAsia" w:ascii="宋体" w:hAnsi="宋体" w:cs="宋体"/>
          <w:color w:val="auto"/>
          <w:sz w:val="21"/>
          <w:szCs w:val="21"/>
          <w:u w:val="single"/>
          <w:lang w:val="en-US" w:eastAsia="zh-CN"/>
        </w:rPr>
        <w:t>08</w:t>
      </w:r>
      <w:r>
        <w:rPr>
          <w:rFonts w:hint="eastAsia" w:ascii="宋体" w:hAnsi="宋体" w:eastAsia="宋体" w:cs="宋体"/>
          <w:color w:val="auto"/>
          <w:sz w:val="21"/>
          <w:szCs w:val="21"/>
        </w:rPr>
        <w:t>月</w:t>
      </w:r>
      <w:r>
        <w:rPr>
          <w:rFonts w:hint="eastAsia" w:ascii="宋体" w:hAnsi="宋体" w:cs="宋体"/>
          <w:color w:val="auto"/>
          <w:sz w:val="21"/>
          <w:szCs w:val="21"/>
          <w:u w:val="single"/>
          <w:lang w:val="en-US" w:eastAsia="zh-CN"/>
        </w:rPr>
        <w:t>03</w:t>
      </w:r>
      <w:r>
        <w:rPr>
          <w:rFonts w:hint="eastAsia" w:ascii="宋体" w:hAnsi="宋体" w:eastAsia="宋体" w:cs="宋体"/>
          <w:color w:val="auto"/>
          <w:sz w:val="21"/>
          <w:szCs w:val="21"/>
        </w:rPr>
        <w:t>日8时30分（北京时间）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文件获取截止时间：</w:t>
      </w:r>
      <w:r>
        <w:rPr>
          <w:rFonts w:hint="eastAsia" w:ascii="宋体" w:hAnsi="宋体" w:eastAsia="宋体" w:cs="宋体"/>
          <w:color w:val="auto"/>
          <w:sz w:val="21"/>
          <w:szCs w:val="21"/>
          <w:u w:val="single"/>
          <w:lang w:val="en-US" w:eastAsia="zh-CN"/>
        </w:rPr>
        <w:t>2023</w:t>
      </w:r>
      <w:r>
        <w:rPr>
          <w:rFonts w:hint="eastAsia" w:ascii="宋体" w:hAnsi="宋体" w:eastAsia="宋体" w:cs="宋体"/>
          <w:color w:val="auto"/>
          <w:sz w:val="21"/>
          <w:szCs w:val="21"/>
        </w:rPr>
        <w:t>年</w:t>
      </w:r>
      <w:r>
        <w:rPr>
          <w:rFonts w:hint="eastAsia" w:ascii="宋体" w:hAnsi="宋体" w:cs="宋体"/>
          <w:color w:val="auto"/>
          <w:sz w:val="21"/>
          <w:szCs w:val="21"/>
          <w:u w:val="single"/>
          <w:lang w:val="en-US" w:eastAsia="zh-CN"/>
        </w:rPr>
        <w:t>08</w:t>
      </w:r>
      <w:r>
        <w:rPr>
          <w:rFonts w:hint="eastAsia" w:ascii="宋体" w:hAnsi="宋体" w:eastAsia="宋体" w:cs="宋体"/>
          <w:color w:val="auto"/>
          <w:sz w:val="21"/>
          <w:szCs w:val="21"/>
        </w:rPr>
        <w:t>月</w:t>
      </w:r>
      <w:r>
        <w:rPr>
          <w:rFonts w:hint="eastAsia" w:ascii="宋体" w:hAnsi="宋体" w:cs="宋体"/>
          <w:color w:val="auto"/>
          <w:sz w:val="21"/>
          <w:szCs w:val="21"/>
          <w:u w:val="single"/>
          <w:lang w:val="en-US" w:eastAsia="zh-CN"/>
        </w:rPr>
        <w:t>16</w:t>
      </w:r>
      <w:r>
        <w:rPr>
          <w:rFonts w:hint="eastAsia" w:ascii="宋体" w:hAnsi="宋体" w:eastAsia="宋体" w:cs="宋体"/>
          <w:color w:val="auto"/>
          <w:sz w:val="21"/>
          <w:szCs w:val="21"/>
        </w:rPr>
        <w:t>日16时30分（北京时间）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 xml:space="preserve">获取方式： </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现场获取：供应商的委托代理人携带法定代表人授权委托书（如是法定代表人本人，则凭法定代表人身份证明书）、本人身份证等资料原件于工作时间到</w:t>
      </w:r>
      <w:r>
        <w:rPr>
          <w:rFonts w:hint="eastAsia" w:ascii="宋体" w:hAnsi="宋体" w:eastAsia="宋体" w:cs="宋体"/>
          <w:color w:val="auto"/>
          <w:sz w:val="21"/>
          <w:szCs w:val="21"/>
          <w:u w:val="single"/>
        </w:rPr>
        <w:t xml:space="preserve"> 平安财富中心B座7楼（湖北省成套招标股份有限公司服务大厅） </w:t>
      </w:r>
      <w:r>
        <w:rPr>
          <w:rFonts w:hint="eastAsia" w:ascii="宋体" w:hAnsi="宋体" w:eastAsia="宋体" w:cs="宋体"/>
          <w:color w:val="auto"/>
          <w:sz w:val="21"/>
          <w:szCs w:val="21"/>
        </w:rPr>
        <w:t xml:space="preserve">现场获取。 </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工作时间</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上午08:30-12:00，下午14：00-16:30</w:t>
      </w:r>
      <w:r>
        <w:rPr>
          <w:rFonts w:hint="eastAsia" w:ascii="宋体" w:hAnsi="宋体" w:cs="宋体"/>
          <w:color w:val="auto"/>
          <w:sz w:val="21"/>
          <w:szCs w:val="21"/>
          <w:lang w:eastAsia="zh-CN"/>
        </w:rPr>
        <w:t>）</w:t>
      </w:r>
      <w:r>
        <w:rPr>
          <w:rFonts w:hint="eastAsia" w:ascii="宋体" w:hAnsi="宋体" w:eastAsia="宋体" w:cs="宋体"/>
          <w:color w:val="auto"/>
          <w:sz w:val="21"/>
          <w:szCs w:val="21"/>
        </w:rPr>
        <w:t>到</w:t>
      </w:r>
      <w:r>
        <w:rPr>
          <w:rFonts w:hint="eastAsia" w:ascii="宋体" w:hAnsi="宋体" w:eastAsia="宋体" w:cs="宋体"/>
          <w:color w:val="auto"/>
          <w:sz w:val="21"/>
          <w:szCs w:val="21"/>
          <w:u w:val="single"/>
        </w:rPr>
        <w:t xml:space="preserve"> 平安财富中心B座7楼（湖北省成套招标股份有限公司服务大厅）</w:t>
      </w:r>
      <w:r>
        <w:rPr>
          <w:rFonts w:hint="eastAsia" w:ascii="宋体" w:hAnsi="宋体" w:eastAsia="宋体" w:cs="宋体"/>
          <w:color w:val="auto"/>
          <w:sz w:val="21"/>
          <w:szCs w:val="21"/>
        </w:rPr>
        <w:t xml:space="preserve">现场获取。 </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线上获取：采用线上下载方式获取文件</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，供应商请在湖北省成套招标股份有限公司网</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网址：https://www.hubeibidding.com/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本公告最下方“相关下载”版块内点击下载按钮登录并提交报名信息，报名信息审核通过后即可下载文件【</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1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①</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文件获取的具体操作流程可在湖北省成套招标股份有限公司门户网站首页右侧“下载专区”下载《线上获取标书操作指引》查看；</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2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②</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信息费：人民币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500</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元，售后不退。</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cs="宋体"/>
          <w:color w:val="auto"/>
          <w:sz w:val="21"/>
          <w:szCs w:val="21"/>
          <w:lang w:val="en-US" w:eastAsia="zh-CN"/>
        </w:rPr>
        <w:t>.账</w:t>
      </w:r>
      <w:r>
        <w:rPr>
          <w:rFonts w:hint="eastAsia" w:ascii="宋体" w:hAnsi="宋体" w:eastAsia="宋体" w:cs="宋体"/>
          <w:color w:val="auto"/>
          <w:sz w:val="21"/>
          <w:szCs w:val="21"/>
        </w:rPr>
        <w:t>户信息</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户名：湖北省成套招标股份有限公司</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账</w:t>
      </w:r>
      <w:r>
        <w:rPr>
          <w:rFonts w:hint="eastAsia" w:ascii="宋体" w:hAnsi="宋体" w:eastAsia="宋体" w:cs="宋体"/>
          <w:color w:val="auto"/>
          <w:sz w:val="21"/>
          <w:szCs w:val="21"/>
        </w:rPr>
        <w:t>号：572976591978   清算行号：840085  大额支付系统行号：104521004672</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开户银行：中国银行湖北省武汉市中南路支行</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财务查询电话：027-87311206</w:t>
      </w:r>
      <w:r>
        <w:rPr>
          <w:rFonts w:hint="eastAsia" w:ascii="宋体" w:hAnsi="宋体" w:eastAsia="宋体" w:cs="宋体"/>
          <w:color w:val="auto"/>
          <w:sz w:val="21"/>
          <w:szCs w:val="21"/>
        </w:rPr>
        <w:t xml:space="preserve"> </w:t>
      </w:r>
    </w:p>
    <w:bookmarkEnd w:id="16"/>
    <w:p>
      <w:pPr>
        <w:autoSpaceDE w:val="0"/>
        <w:autoSpaceDN w:val="0"/>
        <w:adjustRightInd w:val="0"/>
        <w:spacing w:line="360" w:lineRule="auto"/>
        <w:ind w:left="632" w:hanging="632" w:hangingChars="300"/>
        <w:outlineLvl w:val="1"/>
        <w:rPr>
          <w:rFonts w:ascii="宋体" w:hAnsi="宋体" w:cs="宋体"/>
          <w:b/>
          <w:bCs/>
          <w:color w:val="auto"/>
          <w:szCs w:val="32"/>
        </w:rPr>
      </w:pPr>
      <w:r>
        <w:rPr>
          <w:rFonts w:hint="eastAsia" w:ascii="宋体" w:hAnsi="宋体" w:cs="宋体"/>
          <w:b/>
          <w:bCs/>
          <w:color w:val="auto"/>
          <w:szCs w:val="32"/>
        </w:rPr>
        <w:t>四、</w:t>
      </w:r>
      <w:bookmarkEnd w:id="17"/>
      <w:bookmarkEnd w:id="18"/>
      <w:bookmarkEnd w:id="19"/>
      <w:bookmarkEnd w:id="20"/>
      <w:bookmarkEnd w:id="21"/>
      <w:r>
        <w:rPr>
          <w:rFonts w:hint="eastAsia" w:ascii="宋体" w:hAnsi="宋体" w:cs="宋体"/>
          <w:b/>
          <w:bCs/>
          <w:color w:val="auto"/>
          <w:szCs w:val="32"/>
        </w:rPr>
        <w:t>递交招商响应文件的截止时间及磋商时间</w:t>
      </w:r>
      <w:bookmarkEnd w:id="22"/>
    </w:p>
    <w:p>
      <w:pPr>
        <w:spacing w:line="360" w:lineRule="auto"/>
        <w:ind w:firstLine="420" w:firstLineChars="200"/>
        <w:rPr>
          <w:rFonts w:ascii="宋体" w:hAnsi="宋体" w:cs="宋体"/>
          <w:bCs/>
          <w:color w:val="auto"/>
          <w:szCs w:val="21"/>
        </w:rPr>
      </w:pPr>
      <w:r>
        <w:rPr>
          <w:rFonts w:hint="eastAsia" w:hAnsi="宋体"/>
          <w:bCs/>
          <w:color w:val="auto"/>
          <w:szCs w:val="21"/>
        </w:rPr>
        <w:t>202</w:t>
      </w:r>
      <w:r>
        <w:rPr>
          <w:rFonts w:hint="eastAsia" w:hAnsi="宋体"/>
          <w:bCs/>
          <w:color w:val="auto"/>
          <w:szCs w:val="21"/>
          <w:lang w:val="en-US" w:eastAsia="zh-CN"/>
        </w:rPr>
        <w:t>3</w:t>
      </w:r>
      <w:r>
        <w:rPr>
          <w:rFonts w:hint="eastAsia" w:hAnsi="宋体"/>
          <w:bCs/>
          <w:color w:val="auto"/>
          <w:szCs w:val="21"/>
        </w:rPr>
        <w:t>年</w:t>
      </w:r>
      <w:r>
        <w:rPr>
          <w:rFonts w:hint="eastAsia" w:hAnsi="宋体"/>
          <w:bCs/>
          <w:color w:val="auto"/>
          <w:szCs w:val="21"/>
          <w:lang w:val="en-US" w:eastAsia="zh-CN"/>
        </w:rPr>
        <w:t>08</w:t>
      </w:r>
      <w:r>
        <w:rPr>
          <w:rFonts w:hint="eastAsia" w:hAnsi="宋体"/>
          <w:bCs/>
          <w:color w:val="auto"/>
          <w:szCs w:val="21"/>
        </w:rPr>
        <w:t>月</w:t>
      </w:r>
      <w:r>
        <w:rPr>
          <w:rFonts w:hint="eastAsia" w:hAnsi="宋体"/>
          <w:bCs/>
          <w:color w:val="auto"/>
          <w:szCs w:val="21"/>
          <w:lang w:val="en-US" w:eastAsia="zh-CN"/>
        </w:rPr>
        <w:t>17</w:t>
      </w:r>
      <w:r>
        <w:rPr>
          <w:rFonts w:hint="eastAsia" w:hAnsi="宋体"/>
          <w:bCs/>
          <w:color w:val="auto"/>
          <w:szCs w:val="21"/>
        </w:rPr>
        <w:t>日</w:t>
      </w:r>
      <w:r>
        <w:rPr>
          <w:rFonts w:hAnsi="宋体"/>
          <w:bCs/>
          <w:color w:val="auto"/>
          <w:szCs w:val="21"/>
        </w:rPr>
        <w:t>09</w:t>
      </w:r>
      <w:r>
        <w:rPr>
          <w:rFonts w:hint="eastAsia" w:hAnsi="宋体"/>
          <w:bCs/>
          <w:color w:val="auto"/>
          <w:szCs w:val="21"/>
        </w:rPr>
        <w:t>:</w:t>
      </w:r>
      <w:r>
        <w:rPr>
          <w:rFonts w:hAnsi="宋体"/>
          <w:bCs/>
          <w:color w:val="auto"/>
          <w:szCs w:val="21"/>
        </w:rPr>
        <w:t>30</w:t>
      </w:r>
      <w:r>
        <w:rPr>
          <w:rFonts w:hint="eastAsia" w:hAnsi="宋体"/>
          <w:bCs/>
          <w:color w:val="auto"/>
          <w:szCs w:val="21"/>
        </w:rPr>
        <w:t>时</w:t>
      </w:r>
      <w:r>
        <w:rPr>
          <w:rFonts w:hint="eastAsia" w:ascii="宋体" w:hAnsi="宋体" w:cs="宋体"/>
          <w:bCs/>
          <w:color w:val="auto"/>
          <w:szCs w:val="21"/>
        </w:rPr>
        <w:t>（北京时间）</w:t>
      </w:r>
    </w:p>
    <w:p>
      <w:pPr>
        <w:autoSpaceDE w:val="0"/>
        <w:autoSpaceDN w:val="0"/>
        <w:adjustRightInd w:val="0"/>
        <w:spacing w:line="360" w:lineRule="auto"/>
        <w:ind w:left="632" w:hanging="632" w:hangingChars="300"/>
        <w:outlineLvl w:val="1"/>
        <w:rPr>
          <w:rFonts w:ascii="宋体" w:hAnsi="宋体" w:cs="宋体"/>
          <w:b/>
          <w:bCs/>
          <w:color w:val="auto"/>
          <w:szCs w:val="32"/>
        </w:rPr>
      </w:pPr>
      <w:bookmarkStart w:id="23" w:name="_Toc259028276"/>
      <w:bookmarkStart w:id="24" w:name="_Toc11358"/>
      <w:bookmarkStart w:id="25" w:name="_Toc15832"/>
      <w:bookmarkStart w:id="26" w:name="_Toc259028696"/>
      <w:bookmarkStart w:id="27" w:name="_Toc23418"/>
      <w:bookmarkStart w:id="28" w:name="_Toc97300610"/>
      <w:r>
        <w:rPr>
          <w:rFonts w:hint="eastAsia" w:ascii="宋体" w:hAnsi="宋体" w:cs="宋体"/>
          <w:b/>
          <w:bCs/>
          <w:color w:val="auto"/>
          <w:szCs w:val="32"/>
        </w:rPr>
        <w:t>五、</w:t>
      </w:r>
      <w:bookmarkEnd w:id="23"/>
      <w:bookmarkEnd w:id="24"/>
      <w:bookmarkEnd w:id="25"/>
      <w:bookmarkEnd w:id="26"/>
      <w:bookmarkEnd w:id="27"/>
      <w:r>
        <w:rPr>
          <w:rFonts w:hint="eastAsia" w:ascii="宋体" w:hAnsi="宋体" w:cs="宋体"/>
          <w:b/>
          <w:bCs/>
          <w:color w:val="auto"/>
          <w:szCs w:val="32"/>
        </w:rPr>
        <w:t>招商响应文件送达地点及磋商地点</w:t>
      </w:r>
      <w:bookmarkEnd w:id="28"/>
    </w:p>
    <w:p>
      <w:pPr>
        <w:spacing w:line="360" w:lineRule="auto"/>
        <w:ind w:firstLine="420" w:firstLineChars="200"/>
        <w:rPr>
          <w:rFonts w:hAnsi="宋体"/>
          <w:bCs/>
          <w:color w:val="auto"/>
          <w:szCs w:val="21"/>
        </w:rPr>
      </w:pPr>
      <w:r>
        <w:rPr>
          <w:rFonts w:hint="eastAsia" w:hAnsi="宋体"/>
          <w:bCs/>
          <w:color w:val="auto"/>
          <w:szCs w:val="21"/>
        </w:rPr>
        <w:t>湖北机场集团综合保障楼A</w:t>
      </w:r>
      <w:r>
        <w:rPr>
          <w:rFonts w:hint="eastAsia" w:hAnsi="宋体"/>
          <w:bCs/>
          <w:color w:val="auto"/>
          <w:szCs w:val="21"/>
          <w:lang w:val="en-US" w:eastAsia="zh-CN"/>
        </w:rPr>
        <w:t>208</w:t>
      </w:r>
      <w:r>
        <w:rPr>
          <w:rFonts w:hint="eastAsia" w:hAnsi="宋体"/>
          <w:bCs/>
          <w:color w:val="auto"/>
          <w:szCs w:val="21"/>
        </w:rPr>
        <w:t>会议室。</w:t>
      </w:r>
    </w:p>
    <w:p>
      <w:pPr>
        <w:spacing w:line="360" w:lineRule="auto"/>
        <w:ind w:firstLine="420" w:firstLineChars="200"/>
        <w:rPr>
          <w:rFonts w:hAnsi="宋体"/>
          <w:bCs/>
          <w:color w:val="auto"/>
          <w:szCs w:val="21"/>
        </w:rPr>
      </w:pPr>
      <w:r>
        <w:rPr>
          <w:rFonts w:hint="eastAsia" w:hAnsi="宋体"/>
          <w:bCs/>
          <w:color w:val="auto"/>
          <w:szCs w:val="21"/>
        </w:rPr>
        <w:t>备注：1</w:t>
      </w:r>
      <w:r>
        <w:rPr>
          <w:rFonts w:hint="eastAsia" w:hAnsi="宋体"/>
          <w:bCs/>
          <w:color w:val="auto"/>
          <w:szCs w:val="21"/>
          <w:lang w:val="en-US" w:eastAsia="zh-CN"/>
        </w:rPr>
        <w:t>.</w:t>
      </w:r>
      <w:r>
        <w:rPr>
          <w:rFonts w:hint="eastAsia" w:hAnsi="宋体"/>
          <w:bCs/>
          <w:color w:val="auto"/>
          <w:szCs w:val="21"/>
        </w:rPr>
        <w:t>逾期送达指定地点的或者不按照招商文件要求密封的响应文件，招商人不予受理。</w:t>
      </w:r>
    </w:p>
    <w:p>
      <w:pPr>
        <w:spacing w:line="360" w:lineRule="auto"/>
        <w:ind w:firstLine="420" w:firstLineChars="200"/>
        <w:rPr>
          <w:rFonts w:hAnsi="宋体"/>
          <w:bCs/>
          <w:color w:val="auto"/>
          <w:szCs w:val="21"/>
        </w:rPr>
      </w:pPr>
      <w:r>
        <w:rPr>
          <w:rFonts w:hint="eastAsia" w:hAnsi="宋体"/>
          <w:bCs/>
          <w:color w:val="auto"/>
          <w:szCs w:val="21"/>
        </w:rPr>
        <w:t>2</w:t>
      </w:r>
      <w:r>
        <w:rPr>
          <w:rFonts w:hint="eastAsia" w:hAnsi="宋体"/>
          <w:bCs/>
          <w:color w:val="auto"/>
          <w:szCs w:val="21"/>
          <w:lang w:val="en-US" w:eastAsia="zh-CN"/>
        </w:rPr>
        <w:t>.</w:t>
      </w:r>
      <w:r>
        <w:rPr>
          <w:rFonts w:hint="eastAsia" w:hAnsi="宋体"/>
          <w:bCs/>
          <w:color w:val="auto"/>
          <w:szCs w:val="21"/>
        </w:rPr>
        <w:t>针对有效响应人不足3 家的，经评审委员会商议一致后，对于符合招商文件要求，满足招商需求的，采取两家比选或一家直接洽商方式进行评审。对于不满足招商需求的，经评审委员会确认后，可终止招商。</w:t>
      </w:r>
    </w:p>
    <w:p>
      <w:pPr>
        <w:autoSpaceDE w:val="0"/>
        <w:autoSpaceDN w:val="0"/>
        <w:adjustRightInd w:val="0"/>
        <w:spacing w:line="360" w:lineRule="auto"/>
        <w:ind w:left="632" w:hanging="632" w:hangingChars="300"/>
        <w:outlineLvl w:val="1"/>
        <w:rPr>
          <w:rFonts w:ascii="宋体" w:hAnsi="宋体" w:cs="宋体"/>
          <w:b/>
          <w:bCs/>
          <w:color w:val="auto"/>
          <w:szCs w:val="32"/>
        </w:rPr>
      </w:pPr>
      <w:bookmarkStart w:id="29" w:name="_Toc8044"/>
      <w:bookmarkStart w:id="30" w:name="_Toc97300611"/>
      <w:bookmarkStart w:id="31" w:name="_Toc27963"/>
      <w:bookmarkStart w:id="32" w:name="_Toc25113"/>
      <w:bookmarkStart w:id="33" w:name="_Toc7227"/>
      <w:bookmarkStart w:id="34" w:name="_Toc15722"/>
      <w:r>
        <w:rPr>
          <w:rFonts w:hint="eastAsia" w:ascii="宋体" w:hAnsi="宋体" w:cs="宋体"/>
          <w:b/>
          <w:bCs/>
          <w:color w:val="auto"/>
          <w:szCs w:val="32"/>
        </w:rPr>
        <w:t>六、联系方式：</w:t>
      </w:r>
      <w:bookmarkEnd w:id="29"/>
      <w:bookmarkEnd w:id="30"/>
      <w:bookmarkEnd w:id="31"/>
      <w:bookmarkEnd w:id="32"/>
      <w:bookmarkEnd w:id="33"/>
    </w:p>
    <w:p>
      <w:pPr>
        <w:pStyle w:val="6"/>
        <w:spacing w:line="360" w:lineRule="auto"/>
        <w:rPr>
          <w:rFonts w:ascii="宋体" w:hAnsi="宋体" w:cs="宋体"/>
          <w:color w:val="auto"/>
          <w:szCs w:val="21"/>
        </w:rPr>
      </w:pPr>
      <w:r>
        <w:rPr>
          <w:rFonts w:hint="eastAsia" w:ascii="宋体" w:hAnsi="宋体" w:cs="宋体"/>
          <w:color w:val="auto"/>
          <w:szCs w:val="21"/>
        </w:rPr>
        <w:t>招商人：</w:t>
      </w:r>
      <w:r>
        <w:rPr>
          <w:rFonts w:hint="eastAsia" w:hAnsi="宋体"/>
          <w:color w:val="auto"/>
          <w:szCs w:val="21"/>
        </w:rPr>
        <w:t>湖北空港首广联合传媒有限公司</w:t>
      </w:r>
      <w:r>
        <w:rPr>
          <w:rFonts w:hint="eastAsia" w:ascii="宋体" w:hAnsi="宋体" w:cs="宋体"/>
          <w:color w:val="auto"/>
          <w:szCs w:val="21"/>
        </w:rPr>
        <w:t xml:space="preserve">    代理机构：</w:t>
      </w:r>
      <w:r>
        <w:rPr>
          <w:rFonts w:hint="eastAsia" w:hAnsi="宋体"/>
          <w:color w:val="auto"/>
          <w:szCs w:val="21"/>
        </w:rPr>
        <w:t>湖北省成套招标股份有限公司</w:t>
      </w:r>
    </w:p>
    <w:p>
      <w:pPr>
        <w:pStyle w:val="6"/>
        <w:spacing w:line="360" w:lineRule="auto"/>
        <w:jc w:val="right"/>
        <w:rPr>
          <w:rFonts w:hAnsi="宋体"/>
          <w:color w:val="auto"/>
          <w:szCs w:val="21"/>
        </w:rPr>
      </w:pPr>
      <w:r>
        <w:rPr>
          <w:rFonts w:hint="eastAsia" w:ascii="宋体" w:hAnsi="宋体" w:cs="宋体"/>
          <w:color w:val="auto"/>
          <w:szCs w:val="21"/>
        </w:rPr>
        <w:t>地  址：</w:t>
      </w:r>
      <w:r>
        <w:rPr>
          <w:rFonts w:hint="eastAsia" w:hAnsi="宋体"/>
          <w:color w:val="auto"/>
          <w:szCs w:val="21"/>
        </w:rPr>
        <w:t xml:space="preserve">武汉天河机场                    </w:t>
      </w:r>
      <w:r>
        <w:rPr>
          <w:rFonts w:hint="eastAsia" w:ascii="宋体" w:hAnsi="宋体" w:cs="宋体"/>
          <w:color w:val="auto"/>
          <w:szCs w:val="21"/>
        </w:rPr>
        <w:t>地 址：</w:t>
      </w:r>
      <w:r>
        <w:rPr>
          <w:rFonts w:hint="eastAsia" w:hAnsi="宋体"/>
          <w:color w:val="auto"/>
          <w:szCs w:val="21"/>
        </w:rPr>
        <w:t>武汉市武昌区东湖西路平安财富中心（东湖大厦正对面）B座7-10楼</w:t>
      </w:r>
    </w:p>
    <w:p>
      <w:pPr>
        <w:pStyle w:val="6"/>
        <w:spacing w:line="360" w:lineRule="auto"/>
        <w:rPr>
          <w:rFonts w:ascii="宋体" w:hAnsi="宋体" w:cs="宋体"/>
          <w:color w:val="auto"/>
          <w:szCs w:val="21"/>
        </w:rPr>
      </w:pPr>
      <w:r>
        <w:rPr>
          <w:rFonts w:hint="eastAsia" w:ascii="宋体" w:hAnsi="宋体" w:cs="宋体"/>
          <w:color w:val="auto"/>
          <w:szCs w:val="21"/>
        </w:rPr>
        <w:t>邮    编：</w:t>
      </w:r>
      <w:r>
        <w:rPr>
          <w:rFonts w:hint="eastAsia" w:hAnsi="宋体"/>
          <w:color w:val="auto"/>
          <w:szCs w:val="21"/>
        </w:rPr>
        <w:t>430302</w:t>
      </w:r>
      <w:r>
        <w:rPr>
          <w:rFonts w:hint="eastAsia" w:ascii="宋体" w:hAnsi="宋体" w:cs="宋体"/>
          <w:color w:val="auto"/>
          <w:szCs w:val="21"/>
        </w:rPr>
        <w:t xml:space="preserve">                        邮    编：</w:t>
      </w:r>
      <w:r>
        <w:rPr>
          <w:rFonts w:hint="eastAsia" w:hAnsi="宋体"/>
          <w:color w:val="auto"/>
          <w:szCs w:val="21"/>
        </w:rPr>
        <w:t>430071</w:t>
      </w:r>
    </w:p>
    <w:p>
      <w:pPr>
        <w:pStyle w:val="6"/>
        <w:spacing w:line="360" w:lineRule="auto"/>
        <w:rPr>
          <w:rFonts w:ascii="宋体" w:hAnsi="宋体" w:cs="宋体"/>
          <w:color w:val="auto"/>
          <w:szCs w:val="21"/>
        </w:rPr>
      </w:pPr>
      <w:r>
        <w:rPr>
          <w:rFonts w:hint="eastAsia" w:ascii="宋体" w:hAnsi="宋体" w:cs="宋体"/>
          <w:color w:val="auto"/>
          <w:szCs w:val="21"/>
        </w:rPr>
        <w:t>联 系 人：</w:t>
      </w:r>
      <w:r>
        <w:rPr>
          <w:rFonts w:hint="eastAsia"/>
          <w:color w:val="auto"/>
          <w:lang w:val="en-US" w:eastAsia="zh-CN"/>
        </w:rPr>
        <w:t xml:space="preserve"> 陈潇潇</w:t>
      </w:r>
      <w:r>
        <w:rPr>
          <w:rFonts w:hint="eastAsia" w:hAnsi="宋体"/>
          <w:color w:val="auto"/>
          <w:szCs w:val="21"/>
        </w:rPr>
        <w:t xml:space="preserve"> </w:t>
      </w:r>
      <w:r>
        <w:rPr>
          <w:rFonts w:hAnsi="宋体"/>
          <w:color w:val="auto"/>
          <w:szCs w:val="21"/>
        </w:rPr>
        <w:t xml:space="preserve"> </w:t>
      </w:r>
      <w:r>
        <w:rPr>
          <w:rFonts w:hint="eastAsia" w:hAnsi="宋体"/>
          <w:color w:val="auto"/>
          <w:szCs w:val="21"/>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联 系 人：</w:t>
      </w:r>
      <w:r>
        <w:rPr>
          <w:rFonts w:hint="eastAsia" w:hAnsi="宋体"/>
          <w:color w:val="auto"/>
          <w:szCs w:val="21"/>
        </w:rPr>
        <w:t>胡小康、郭亚楠</w:t>
      </w:r>
      <w:r>
        <w:rPr>
          <w:rFonts w:hint="eastAsia" w:ascii="宋体" w:hAnsi="宋体" w:cs="宋体"/>
          <w:color w:val="auto"/>
          <w:szCs w:val="21"/>
        </w:rPr>
        <w:t xml:space="preserve"> </w:t>
      </w:r>
    </w:p>
    <w:p>
      <w:pPr>
        <w:pStyle w:val="6"/>
        <w:spacing w:line="360" w:lineRule="auto"/>
        <w:rPr>
          <w:rFonts w:hint="eastAsia" w:ascii="宋体" w:hAnsi="宋体" w:eastAsia="宋体" w:cs="宋体"/>
          <w:color w:val="auto"/>
          <w:szCs w:val="21"/>
          <w:lang w:eastAsia="zh-CN"/>
        </w:rPr>
      </w:pPr>
      <w:r>
        <w:rPr>
          <w:rFonts w:hint="eastAsia" w:ascii="宋体" w:hAnsi="宋体" w:cs="宋体"/>
          <w:color w:val="auto"/>
          <w:szCs w:val="21"/>
        </w:rPr>
        <w:t>电    话：027-85819901</w:t>
      </w:r>
      <w:r>
        <w:rPr>
          <w:rFonts w:hint="eastAsia" w:ascii="宋体" w:hAnsi="宋体" w:cs="宋体"/>
          <w:color w:val="auto"/>
          <w:szCs w:val="21"/>
          <w:lang w:val="en-US" w:eastAsia="zh-CN"/>
        </w:rPr>
        <w:t xml:space="preserve">                  </w:t>
      </w:r>
      <w:r>
        <w:rPr>
          <w:rFonts w:hint="eastAsia" w:ascii="宋体" w:hAnsi="宋体" w:cs="宋体"/>
          <w:color w:val="auto"/>
          <w:szCs w:val="21"/>
        </w:rPr>
        <w:t>电    话：</w:t>
      </w:r>
      <w:r>
        <w:rPr>
          <w:rFonts w:hint="eastAsia" w:hAnsi="宋体"/>
          <w:color w:val="auto"/>
          <w:szCs w:val="21"/>
        </w:rPr>
        <w:t>027-87816666-8613</w:t>
      </w:r>
      <w:r>
        <w:rPr>
          <w:rFonts w:hint="eastAsia" w:hAnsi="宋体"/>
          <w:color w:val="auto"/>
          <w:szCs w:val="21"/>
          <w:lang w:val="en-US" w:eastAsia="zh-CN"/>
        </w:rPr>
        <w:t xml:space="preserve"> </w:t>
      </w:r>
    </w:p>
    <w:p>
      <w:pPr>
        <w:pStyle w:val="6"/>
        <w:spacing w:line="360" w:lineRule="auto"/>
        <w:rPr>
          <w:rFonts w:ascii="宋体" w:hAnsi="宋体" w:cs="宋体"/>
          <w:color w:val="auto"/>
          <w:szCs w:val="21"/>
        </w:rPr>
      </w:pPr>
      <w:r>
        <w:rPr>
          <w:rFonts w:hint="eastAsia" w:ascii="宋体" w:hAnsi="宋体" w:cs="宋体"/>
          <w:color w:val="auto"/>
          <w:szCs w:val="21"/>
        </w:rPr>
        <w:t>电子邮件：  /                          电子邮件：1042197081</w:t>
      </w:r>
      <w:r>
        <w:rPr>
          <w:rFonts w:hint="eastAsia" w:hAnsi="宋体"/>
          <w:color w:val="auto"/>
          <w:szCs w:val="21"/>
        </w:rPr>
        <w:t>@qq.com</w:t>
      </w:r>
    </w:p>
    <w:p>
      <w:pPr>
        <w:pStyle w:val="6"/>
        <w:spacing w:line="360" w:lineRule="auto"/>
        <w:rPr>
          <w:rFonts w:ascii="宋体" w:hAnsi="宋体" w:cs="宋体"/>
          <w:color w:val="auto"/>
          <w:szCs w:val="21"/>
        </w:rPr>
      </w:pPr>
      <w:r>
        <w:rPr>
          <w:rFonts w:hint="eastAsia" w:ascii="宋体" w:hAnsi="宋体" w:cs="宋体"/>
          <w:color w:val="auto"/>
          <w:szCs w:val="21"/>
        </w:rPr>
        <w:t>网    址：  /                          网    址：</w:t>
      </w:r>
      <w:r>
        <w:rPr>
          <w:color w:val="auto"/>
        </w:rPr>
        <w:fldChar w:fldCharType="begin"/>
      </w:r>
      <w:r>
        <w:rPr>
          <w:color w:val="auto"/>
        </w:rPr>
        <w:instrText xml:space="preserve"> HYPERLINK "http://www.hubeibidding.com" </w:instrText>
      </w:r>
      <w:r>
        <w:rPr>
          <w:color w:val="auto"/>
        </w:rPr>
        <w:fldChar w:fldCharType="separate"/>
      </w:r>
      <w:r>
        <w:rPr>
          <w:rStyle w:val="5"/>
          <w:rFonts w:hint="eastAsia" w:ascii="宋体" w:hAnsi="宋体" w:cs="宋体"/>
          <w:color w:val="auto"/>
          <w:szCs w:val="21"/>
        </w:rPr>
        <w:t>www.hubeibidding.com</w:t>
      </w:r>
      <w:r>
        <w:rPr>
          <w:rStyle w:val="5"/>
          <w:rFonts w:hint="eastAsia" w:ascii="宋体" w:hAnsi="宋体" w:cs="宋体"/>
          <w:color w:val="auto"/>
          <w:szCs w:val="21"/>
        </w:rPr>
        <w:fldChar w:fldCharType="end"/>
      </w:r>
      <w:r>
        <w:rPr>
          <w:rFonts w:hint="eastAsia" w:ascii="宋体" w:hAnsi="宋体" w:cs="宋体"/>
          <w:color w:val="auto"/>
          <w:szCs w:val="21"/>
        </w:rPr>
        <w:t xml:space="preserve"> </w:t>
      </w:r>
    </w:p>
    <w:p>
      <w:pPr>
        <w:pStyle w:val="6"/>
        <w:spacing w:line="360" w:lineRule="auto"/>
        <w:rPr>
          <w:rFonts w:ascii="宋体" w:hAnsi="宋体" w:cs="宋体"/>
          <w:color w:val="auto"/>
          <w:szCs w:val="21"/>
        </w:rPr>
      </w:pPr>
      <w:r>
        <w:rPr>
          <w:rFonts w:hint="eastAsia" w:ascii="宋体" w:hAnsi="宋体" w:cs="宋体"/>
          <w:color w:val="auto"/>
          <w:szCs w:val="21"/>
        </w:rPr>
        <w:t>开户银行：  /                          开户银行：中国银行武汉中南路支行</w:t>
      </w:r>
    </w:p>
    <w:p>
      <w:pPr>
        <w:tabs>
          <w:tab w:val="left" w:pos="540"/>
          <w:tab w:val="left" w:pos="840"/>
        </w:tabs>
        <w:spacing w:line="360" w:lineRule="auto"/>
        <w:rPr>
          <w:rFonts w:ascii="宋体" w:hAnsi="宋体" w:cs="宋体"/>
          <w:color w:val="auto"/>
          <w:szCs w:val="21"/>
        </w:rPr>
      </w:pPr>
      <w:r>
        <w:rPr>
          <w:rFonts w:hint="eastAsia" w:ascii="宋体" w:hAnsi="宋体" w:cs="宋体"/>
          <w:color w:val="auto"/>
          <w:szCs w:val="21"/>
        </w:rPr>
        <w:t>账    号：  /                          账    号：572976591978</w:t>
      </w:r>
    </w:p>
    <w:bookmarkEnd w:id="34"/>
    <w:p>
      <w:pPr>
        <w:numPr>
          <w:ilvl w:val="0"/>
          <w:numId w:val="1"/>
        </w:numPr>
        <w:tabs>
          <w:tab w:val="left" w:pos="540"/>
          <w:tab w:val="left" w:pos="840"/>
        </w:tabs>
        <w:spacing w:line="360" w:lineRule="auto"/>
        <w:outlineLvl w:val="1"/>
        <w:rPr>
          <w:rFonts w:hint="eastAsia" w:ascii="宋体" w:hAnsi="宋体" w:cs="宋体"/>
          <w:b/>
          <w:color w:val="auto"/>
          <w:szCs w:val="21"/>
        </w:rPr>
      </w:pPr>
      <w:bookmarkStart w:id="35" w:name="_Toc10642"/>
      <w:bookmarkStart w:id="36" w:name="_Toc97300612"/>
      <w:bookmarkStart w:id="37" w:name="_Toc12626"/>
      <w:r>
        <w:rPr>
          <w:rFonts w:hint="eastAsia" w:ascii="宋体" w:hAnsi="宋体" w:cs="宋体"/>
          <w:b/>
          <w:color w:val="auto"/>
          <w:szCs w:val="21"/>
        </w:rPr>
        <w:t>信息发布媒体</w:t>
      </w:r>
      <w:bookmarkEnd w:id="35"/>
      <w:bookmarkEnd w:id="36"/>
      <w:bookmarkEnd w:id="37"/>
    </w:p>
    <w:p>
      <w:pPr>
        <w:numPr>
          <w:ilvl w:val="0"/>
          <w:numId w:val="0"/>
        </w:numPr>
        <w:tabs>
          <w:tab w:val="left" w:pos="540"/>
          <w:tab w:val="left" w:pos="840"/>
        </w:tabs>
        <w:spacing w:line="360" w:lineRule="auto"/>
        <w:outlineLvl w:val="1"/>
        <w:rPr>
          <w:rFonts w:ascii="宋体" w:hAnsi="宋体" w:cs="宋体"/>
          <w:bCs/>
          <w:color w:val="auto"/>
          <w:szCs w:val="21"/>
          <w:highlight w:val="none"/>
        </w:rPr>
      </w:pPr>
      <w:r>
        <w:rPr>
          <w:rFonts w:hint="eastAsia" w:hAnsi="宋体"/>
          <w:bCs/>
          <w:color w:val="auto"/>
          <w:szCs w:val="21"/>
        </w:rPr>
        <w:t>《</w:t>
      </w:r>
      <w:bookmarkStart w:id="38" w:name="_GoBack"/>
      <w:r>
        <w:rPr>
          <w:rFonts w:hint="eastAsia" w:hAnsi="宋体"/>
          <w:bCs/>
          <w:color w:val="auto"/>
          <w:szCs w:val="21"/>
          <w:lang w:val="en-US" w:eastAsia="zh-CN"/>
        </w:rPr>
        <w:t>中国招标投标公共服务平台</w:t>
      </w:r>
      <w:bookmarkEnd w:id="38"/>
      <w:r>
        <w:rPr>
          <w:rFonts w:hint="eastAsia" w:hAnsi="宋体"/>
          <w:bCs/>
          <w:color w:val="auto"/>
          <w:szCs w:val="21"/>
          <w:lang w:eastAsia="zh-CN"/>
        </w:rPr>
        <w:t>》《</w:t>
      </w:r>
      <w:r>
        <w:rPr>
          <w:rFonts w:hint="eastAsia" w:hAnsi="宋体"/>
          <w:bCs/>
          <w:color w:val="auto"/>
          <w:szCs w:val="21"/>
        </w:rPr>
        <w:t>湖北机场集团有限公司</w:t>
      </w:r>
      <w:r>
        <w:rPr>
          <w:rFonts w:hint="eastAsia" w:hAnsi="宋体"/>
          <w:bCs/>
          <w:color w:val="auto"/>
          <w:szCs w:val="21"/>
          <w:highlight w:val="none"/>
        </w:rPr>
        <w:t>网</w:t>
      </w:r>
      <w:r>
        <w:rPr>
          <w:rFonts w:hint="eastAsia" w:hAnsi="宋体"/>
          <w:bCs/>
          <w:color w:val="auto"/>
          <w:szCs w:val="21"/>
          <w:highlight w:val="none"/>
          <w:lang w:eastAsia="zh-CN"/>
        </w:rPr>
        <w:t>》《</w:t>
      </w:r>
      <w:r>
        <w:rPr>
          <w:rFonts w:hint="eastAsia" w:hAnsi="宋体"/>
          <w:bCs/>
          <w:color w:val="auto"/>
          <w:szCs w:val="21"/>
        </w:rPr>
        <w:t>湖北省成套招标股份有限公司网</w:t>
      </w:r>
      <w:r>
        <w:rPr>
          <w:rFonts w:hint="eastAsia" w:hAnsi="宋体"/>
          <w:bCs/>
          <w:color w:val="auto"/>
          <w:szCs w:val="21"/>
          <w:highlight w:val="none"/>
        </w:rPr>
        <w:t>》</w:t>
      </w:r>
    </w:p>
    <w:p>
      <w:pPr>
        <w:spacing w:line="360" w:lineRule="auto"/>
        <w:jc w:val="right"/>
        <w:rPr>
          <w:rFonts w:hAnsi="宋体"/>
          <w:b/>
          <w:color w:val="auto"/>
          <w:szCs w:val="21"/>
        </w:rPr>
      </w:pPr>
      <w:r>
        <w:rPr>
          <w:rFonts w:hint="eastAsia" w:hAnsi="宋体"/>
          <w:b/>
          <w:color w:val="auto"/>
          <w:szCs w:val="21"/>
        </w:rPr>
        <w:t>湖北省成套招标股份有限公司</w:t>
      </w:r>
    </w:p>
    <w:p>
      <w:pPr>
        <w:ind w:firstLine="6114" w:firstLineChars="2900"/>
        <w:rPr>
          <w:rFonts w:hint="eastAsia"/>
        </w:rPr>
      </w:pPr>
      <w:r>
        <w:rPr>
          <w:rFonts w:hint="eastAsia" w:hAnsi="宋体"/>
          <w:b/>
          <w:color w:val="auto"/>
          <w:szCs w:val="21"/>
        </w:rPr>
        <w:t>202</w:t>
      </w:r>
      <w:r>
        <w:rPr>
          <w:rFonts w:hint="eastAsia" w:hAnsi="宋体"/>
          <w:b/>
          <w:color w:val="auto"/>
          <w:szCs w:val="21"/>
          <w:lang w:val="en-US" w:eastAsia="zh-CN"/>
        </w:rPr>
        <w:t>3</w:t>
      </w:r>
      <w:r>
        <w:rPr>
          <w:rFonts w:hint="eastAsia" w:hAnsi="宋体"/>
          <w:b/>
          <w:color w:val="auto"/>
          <w:szCs w:val="21"/>
        </w:rPr>
        <w:t>年</w:t>
      </w:r>
      <w:r>
        <w:rPr>
          <w:rFonts w:hint="eastAsia" w:hAnsi="宋体"/>
          <w:b/>
          <w:color w:val="auto"/>
          <w:szCs w:val="21"/>
          <w:lang w:val="en-US" w:eastAsia="zh-CN"/>
        </w:rPr>
        <w:t>08</w:t>
      </w:r>
      <w:r>
        <w:rPr>
          <w:rFonts w:hint="eastAsia" w:hAnsi="宋体"/>
          <w:b/>
          <w:color w:val="auto"/>
          <w:szCs w:val="21"/>
        </w:rPr>
        <w:t>月</w:t>
      </w:r>
      <w:r>
        <w:rPr>
          <w:rFonts w:hint="eastAsia" w:hAnsi="宋体"/>
          <w:b/>
          <w:color w:val="auto"/>
          <w:szCs w:val="21"/>
          <w:lang w:val="en-US" w:eastAsia="zh-CN"/>
        </w:rPr>
        <w:t>02</w:t>
      </w:r>
      <w:r>
        <w:rPr>
          <w:rFonts w:hint="eastAsia" w:hAnsi="宋体"/>
          <w:b/>
          <w:color w:val="auto"/>
          <w:szCs w:val="21"/>
        </w:rPr>
        <w:t>日</w:t>
      </w:r>
      <w:r>
        <w:rPr>
          <w:rFonts w:hint="eastAsia" w:ascii="宋体" w:hAnsi="宋体" w:cs="宋体"/>
          <w:bCs/>
          <w:color w:val="auto"/>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61B31"/>
    <w:multiLevelType w:val="singleLevel"/>
    <w:tmpl w:val="F7461B3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1A805109"/>
    <w:rsid w:val="27A031B8"/>
    <w:rsid w:val="54A63492"/>
    <w:rsid w:val="5985302C"/>
    <w:rsid w:val="62FC78B0"/>
    <w:rsid w:val="71C91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character" w:styleId="5">
    <w:name w:val="Hyperlink"/>
    <w:qFormat/>
    <w:uiPriority w:val="99"/>
    <w:rPr>
      <w:rFonts w:ascii="Tahoma" w:hAnsi="Tahoma"/>
      <w:color w:val="0000FF"/>
      <w:sz w:val="24"/>
      <w:u w:val="single"/>
    </w:rPr>
  </w:style>
  <w:style w:type="paragraph" w:customStyle="1" w:styleId="6">
    <w:name w:val="正文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1851</Words>
  <Characters>2269</Characters>
  <Lines>0</Lines>
  <Paragraphs>0</Paragraphs>
  <TotalTime>1</TotalTime>
  <ScaleCrop>false</ScaleCrop>
  <LinksUpToDate>false</LinksUpToDate>
  <CharactersWithSpaces>2531</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2023-08-01T04:28:00Z</dcterms:created>
  <dc:creator>HP</dc:creator>
  <cp:lastModifiedBy>郭亚楠</cp:lastModifiedBy>
  <dcterms:modified xsi:type="dcterms:W3CDTF">2023-08-02T02:26:48Z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B1C0A0F4AFB04A29A327F81397C45DC5</vt:lpwstr>
  </property>
</Properties>
</file>