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hint="eastAsia" w:ascii="宋体" w:hAnsi="宋体" w:eastAsia="宋体" w:cs="宋体"/>
          <w:color w:val="auto"/>
          <w:kern w:val="2"/>
          <w:sz w:val="24"/>
          <w:szCs w:val="24"/>
          <w:highlight w:val="none"/>
          <w:lang w:val="en-US" w:eastAsia="zh-CN" w:bidi="ar-SA"/>
        </w:rPr>
      </w:pPr>
      <w:bookmarkStart w:id="15" w:name="_GoBack"/>
      <w:bookmarkEnd w:id="15"/>
      <w:r>
        <w:rPr>
          <w:rFonts w:hint="eastAsia" w:ascii="宋体" w:hAnsi="宋体" w:eastAsia="宋体" w:cs="宋体"/>
          <w:b/>
          <w:bCs/>
          <w:color w:val="auto"/>
          <w:kern w:val="2"/>
          <w:sz w:val="24"/>
          <w:szCs w:val="24"/>
          <w:highlight w:val="none"/>
          <w:lang w:val="en-US" w:eastAsia="zh-CN" w:bidi="ar-SA"/>
        </w:rPr>
        <w:t>武汉天河机场T2航站楼2023年第一批商业项目（第二次）招商公告</w:t>
      </w:r>
    </w:p>
    <w:p>
      <w:pPr>
        <w:widowControl w:val="0"/>
        <w:spacing w:line="360" w:lineRule="auto"/>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湖北国华项目管理咨询有限公司（以下简称“招商代理机构”）受湖北机场集团实业发展有限公司（以下简称“招商人”）的委托，就其武汉天河机场T2航站楼2023年第一批商业项目（第二次）招商，现公开邀请潜在响应人参与招商活动。</w:t>
      </w:r>
    </w:p>
    <w:p>
      <w:pPr>
        <w:keepNext/>
        <w:keepLines/>
        <w:widowControl w:val="0"/>
        <w:numPr>
          <w:ilvl w:val="0"/>
          <w:numId w:val="1"/>
        </w:numPr>
        <w:spacing w:before="156" w:beforeLines="50" w:after="156" w:afterLines="50" w:line="360" w:lineRule="auto"/>
        <w:jc w:val="both"/>
        <w:outlineLvl w:val="1"/>
        <w:rPr>
          <w:rFonts w:hint="eastAsia" w:ascii="宋体" w:hAnsi="宋体" w:eastAsia="宋体" w:cs="宋体"/>
          <w:b/>
          <w:bCs/>
          <w:color w:val="auto"/>
          <w:kern w:val="2"/>
          <w:sz w:val="28"/>
          <w:szCs w:val="28"/>
          <w:highlight w:val="none"/>
          <w:lang w:val="en-US" w:eastAsia="zh-CN" w:bidi="ar-SA"/>
        </w:rPr>
      </w:pPr>
      <w:bookmarkStart w:id="0" w:name="_Toc7359"/>
      <w:bookmarkStart w:id="1" w:name="_Toc431970291"/>
      <w:bookmarkStart w:id="2" w:name="_Toc430855196"/>
      <w:r>
        <w:rPr>
          <w:rFonts w:hint="eastAsia" w:ascii="宋体" w:hAnsi="宋体" w:eastAsia="宋体" w:cs="宋体"/>
          <w:b/>
          <w:bCs/>
          <w:color w:val="auto"/>
          <w:kern w:val="2"/>
          <w:sz w:val="28"/>
          <w:szCs w:val="28"/>
          <w:highlight w:val="none"/>
          <w:lang w:val="en-US" w:eastAsia="zh-CN" w:bidi="ar-SA"/>
        </w:rPr>
        <w:t>项目概况</w:t>
      </w:r>
      <w:bookmarkEnd w:id="0"/>
      <w:bookmarkEnd w:id="1"/>
      <w:bookmarkEnd w:id="2"/>
    </w:p>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b/>
          <w:bCs/>
          <w:color w:val="auto"/>
          <w:kern w:val="2"/>
          <w:sz w:val="28"/>
          <w:szCs w:val="28"/>
          <w:highlight w:val="none"/>
          <w:lang w:val="en-US" w:eastAsia="zh-CN" w:bidi="ar-SA"/>
        </w:rPr>
      </w:pPr>
      <w:r>
        <w:rPr>
          <w:rFonts w:ascii="Calibri" w:hAnsi="Calibri" w:eastAsia="宋体" w:cs="Times New Roman"/>
          <w:kern w:val="0"/>
          <w:sz w:val="24"/>
          <w:szCs w:val="24"/>
          <w:bdr w:val="single" w:color="000000" w:sz="2" w:space="0"/>
          <w:lang w:val="en-US" w:eastAsia="zh-CN" w:bidi="ar"/>
        </w:rPr>
        <w:drawing>
          <wp:inline distT="0" distB="0" distL="114300" distR="114300">
            <wp:extent cx="5341620" cy="2766060"/>
            <wp:effectExtent l="0" t="0" r="11430"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41620" cy="2766060"/>
                    </a:xfrm>
                    <a:prstGeom prst="rect">
                      <a:avLst/>
                    </a:prstGeom>
                    <a:noFill/>
                    <a:ln w="9525">
                      <a:noFill/>
                    </a:ln>
                  </pic:spPr>
                </pic:pic>
              </a:graphicData>
            </a:graphic>
          </wp:inline>
        </w:drawing>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1、武汉天河机场概况</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武汉天河国际机场位于中国湖北省武汉市黄陂区，距武汉市中心25公里，为中国中部首家4F级民用国际机场 、中国八大区域性枢纽机场之一、国际定期航班机场、对外开放的一类航空口岸。2019年，武汉天河国际机场旅客吞吐量2715万人次，同比增长10.8%；货邮吞吐量24.3万吨，同比增长9.8%；运输起降架次20.3万架次，同比增长8.2%。</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2、T2航站楼简介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T2 航站楼为两层双指廊式构型，规划商业面积约为1.6万平方米。武汉机场于2017年由T2航站楼转场至T3航站楼运营，T2航站楼暂停使用后于2021年启动改造，拟于今年改造完成后重新投用，届时武汉机场将实现T2、T3航站楼双楼运行格局。</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T2航站楼改造后主要保障机场地服公司代理的</w:t>
      </w:r>
      <w:r>
        <w:rPr>
          <w:rFonts w:hint="eastAsia" w:ascii="宋体" w:hAnsi="宋体" w:eastAsia="宋体" w:cs="宋体"/>
          <w:color w:val="auto"/>
          <w:sz w:val="24"/>
          <w:highlight w:val="none"/>
          <w:lang w:val="en-US" w:eastAsia="zh-CN"/>
        </w:rPr>
        <w:t>国内</w:t>
      </w:r>
      <w:r>
        <w:rPr>
          <w:rFonts w:hint="eastAsia" w:ascii="宋体" w:hAnsi="宋体" w:eastAsia="宋体" w:cs="宋体"/>
          <w:color w:val="auto"/>
          <w:sz w:val="24"/>
          <w:highlight w:val="none"/>
        </w:rPr>
        <w:t>航班及旅客（除国、东、南航以外航司，包括海航、川航、吉祥、华夏、祥鹏航空等），预计启用首年客流量约1020万人次。</w:t>
      </w:r>
    </w:p>
    <w:p>
      <w:pPr>
        <w:numPr>
          <w:ilvl w:val="0"/>
          <w:numId w:val="2"/>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招商项目情况</w:t>
      </w:r>
    </w:p>
    <w:p>
      <w:pPr>
        <w:numPr>
          <w:ilvl w:val="-1"/>
          <w:numId w:val="0"/>
        </w:numPr>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武汉天河机场T2航站楼2023年第一批商业项目（第二次）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招商编号：ZB0102-202304-FZBFW0445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招商内容：</w:t>
      </w:r>
      <w:r>
        <w:rPr>
          <w:rFonts w:hint="eastAsia" w:ascii="宋体" w:hAnsi="宋体" w:eastAsia="宋体" w:cs="宋体"/>
          <w:color w:val="auto"/>
          <w:sz w:val="24"/>
          <w:highlight w:val="none"/>
          <w:lang w:val="en-US" w:eastAsia="zh-CN"/>
        </w:rPr>
        <w:t>本项目共分为3个子项目，包括2个餐饮项目及1个“餐饮+零售”跨界项目，共划分为3个标段</w:t>
      </w:r>
      <w:r>
        <w:rPr>
          <w:rFonts w:hint="eastAsia" w:ascii="宋体" w:hAnsi="宋体" w:eastAsia="宋体" w:cs="宋体"/>
          <w:color w:val="auto"/>
          <w:sz w:val="24"/>
          <w:highlight w:val="none"/>
        </w:rPr>
        <w:t>，每个响应人可选择一个或多个标段同时</w:t>
      </w:r>
      <w:r>
        <w:rPr>
          <w:rFonts w:hint="eastAsia" w:ascii="宋体" w:hAnsi="宋体" w:eastAsia="宋体" w:cs="宋体"/>
          <w:color w:val="auto"/>
          <w:sz w:val="24"/>
          <w:highlight w:val="none"/>
          <w:lang w:eastAsia="zh-CN"/>
        </w:rPr>
        <w:t>投报</w:t>
      </w:r>
      <w:r>
        <w:rPr>
          <w:rFonts w:hint="eastAsia" w:ascii="宋体" w:hAnsi="宋体" w:eastAsia="宋体" w:cs="宋体"/>
          <w:color w:val="auto"/>
          <w:sz w:val="24"/>
          <w:highlight w:val="none"/>
        </w:rPr>
        <w:t>，可同时中标多个标段，本次招商面积共计7951㎡，具体</w:t>
      </w:r>
      <w:r>
        <w:rPr>
          <w:rFonts w:hint="eastAsia" w:ascii="宋体" w:hAnsi="宋体" w:eastAsia="宋体" w:cs="宋体"/>
          <w:color w:val="auto"/>
          <w:sz w:val="24"/>
          <w:highlight w:val="none"/>
          <w:lang w:val="en-US" w:eastAsia="zh-CN"/>
        </w:rPr>
        <w:t>详</w:t>
      </w:r>
      <w:r>
        <w:rPr>
          <w:rFonts w:hint="eastAsia" w:ascii="宋体" w:hAnsi="宋体" w:eastAsia="宋体" w:cs="宋体"/>
          <w:color w:val="auto"/>
          <w:sz w:val="24"/>
          <w:highlight w:val="none"/>
        </w:rPr>
        <w:t>见下表：</w:t>
      </w:r>
    </w:p>
    <w:tbl>
      <w:tblPr>
        <w:tblStyle w:val="2"/>
        <w:tblW w:w="8603" w:type="dxa"/>
        <w:tblInd w:w="0" w:type="dxa"/>
        <w:tblLayout w:type="fixed"/>
        <w:tblCellMar>
          <w:top w:w="0" w:type="dxa"/>
          <w:left w:w="108" w:type="dxa"/>
          <w:bottom w:w="0" w:type="dxa"/>
          <w:right w:w="108" w:type="dxa"/>
        </w:tblCellMar>
      </w:tblPr>
      <w:tblGrid>
        <w:gridCol w:w="584"/>
        <w:gridCol w:w="1149"/>
        <w:gridCol w:w="1037"/>
        <w:gridCol w:w="1183"/>
        <w:gridCol w:w="1433"/>
        <w:gridCol w:w="1215"/>
        <w:gridCol w:w="2002"/>
      </w:tblGrid>
      <w:tr>
        <w:tblPrEx>
          <w:tblCellMar>
            <w:top w:w="0" w:type="dxa"/>
            <w:left w:w="108" w:type="dxa"/>
            <w:bottom w:w="0" w:type="dxa"/>
            <w:right w:w="108" w:type="dxa"/>
          </w:tblCellMar>
        </w:tblPrEx>
        <w:trPr>
          <w:trHeight w:val="263" w:hRule="atLeast"/>
        </w:trPr>
        <w:tc>
          <w:tcPr>
            <w:tcW w:w="5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标段</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店铺编号</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区域</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面积（㎡）</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bidi="ar"/>
              </w:rPr>
              <w:t>规划</w:t>
            </w:r>
            <w:r>
              <w:rPr>
                <w:rFonts w:hint="eastAsia" w:ascii="宋体" w:hAnsi="宋体" w:eastAsia="宋体" w:cs="宋体"/>
                <w:b/>
                <w:bCs/>
                <w:color w:val="auto"/>
                <w:kern w:val="0"/>
                <w:sz w:val="21"/>
                <w:szCs w:val="21"/>
                <w:highlight w:val="none"/>
                <w:lang w:val="en-US" w:eastAsia="zh-CN" w:bidi="ar"/>
              </w:rPr>
              <w:t>业态</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拟招商品类</w:t>
            </w: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工程条件</w:t>
            </w:r>
          </w:p>
        </w:tc>
      </w:tr>
      <w:tr>
        <w:tblPrEx>
          <w:tblCellMar>
            <w:top w:w="0" w:type="dxa"/>
            <w:left w:w="108" w:type="dxa"/>
            <w:bottom w:w="0" w:type="dxa"/>
            <w:right w:w="108" w:type="dxa"/>
          </w:tblCellMar>
        </w:tblPrEx>
        <w:trPr>
          <w:trHeight w:val="634" w:hRule="atLeast"/>
        </w:trPr>
        <w:tc>
          <w:tcPr>
            <w:tcW w:w="584"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1A2-01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一层</w:t>
            </w:r>
          </w:p>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到达厅右侧</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2610</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中式正餐</w:t>
            </w:r>
          </w:p>
        </w:tc>
        <w:tc>
          <w:tcPr>
            <w:tcW w:w="1215"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品牌餐饮</w:t>
            </w: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用电</w:t>
            </w:r>
            <w:r>
              <w:rPr>
                <w:rFonts w:hint="eastAsia" w:ascii="宋体" w:hAnsi="宋体" w:eastAsia="宋体" w:cs="宋体"/>
                <w:color w:val="auto"/>
                <w:kern w:val="0"/>
                <w:sz w:val="21"/>
                <w:szCs w:val="21"/>
                <w:highlight w:val="none"/>
                <w:lang w:val="en-US" w:eastAsia="zh-CN" w:bidi="ar"/>
              </w:rPr>
              <w:t>量</w:t>
            </w:r>
            <w:r>
              <w:rPr>
                <w:rFonts w:hint="eastAsia" w:ascii="宋体" w:hAnsi="宋体" w:eastAsia="宋体" w:cs="宋体"/>
                <w:color w:val="auto"/>
                <w:kern w:val="0"/>
                <w:sz w:val="21"/>
                <w:szCs w:val="21"/>
                <w:highlight w:val="none"/>
                <w:lang w:bidi="ar"/>
              </w:rPr>
              <w:t>3</w:t>
            </w:r>
            <w:r>
              <w:rPr>
                <w:rFonts w:hint="eastAsia" w:ascii="宋体" w:hAnsi="宋体" w:eastAsia="宋体" w:cs="宋体"/>
                <w:color w:val="auto"/>
                <w:kern w:val="0"/>
                <w:sz w:val="21"/>
                <w:szCs w:val="21"/>
                <w:highlight w:val="none"/>
                <w:lang w:val="en-US" w:eastAsia="zh-CN" w:bidi="ar"/>
              </w:rPr>
              <w:t>75</w:t>
            </w:r>
            <w:r>
              <w:rPr>
                <w:rFonts w:hint="eastAsia" w:ascii="宋体" w:hAnsi="宋体" w:eastAsia="宋体" w:cs="宋体"/>
                <w:color w:val="auto"/>
                <w:kern w:val="0"/>
                <w:sz w:val="21"/>
                <w:szCs w:val="21"/>
                <w:highlight w:val="none"/>
                <w:lang w:bidi="ar"/>
              </w:rPr>
              <w:t>KW，有上下水，可</w:t>
            </w:r>
            <w:r>
              <w:rPr>
                <w:rFonts w:hint="eastAsia" w:ascii="宋体" w:hAnsi="宋体" w:eastAsia="宋体" w:cs="宋体"/>
                <w:color w:val="auto"/>
                <w:kern w:val="0"/>
                <w:sz w:val="21"/>
                <w:szCs w:val="21"/>
                <w:highlight w:val="none"/>
                <w:lang w:val="en-US" w:eastAsia="zh-CN" w:bidi="ar"/>
              </w:rPr>
              <w:t>引入</w:t>
            </w:r>
            <w:r>
              <w:rPr>
                <w:rFonts w:hint="eastAsia" w:ascii="宋体" w:hAnsi="宋体" w:eastAsia="宋体" w:cs="宋体"/>
                <w:color w:val="auto"/>
                <w:kern w:val="0"/>
                <w:sz w:val="21"/>
                <w:szCs w:val="21"/>
                <w:highlight w:val="none"/>
                <w:lang w:bidi="ar"/>
              </w:rPr>
              <w:t>燃气</w:t>
            </w:r>
          </w:p>
        </w:tc>
      </w:tr>
      <w:tr>
        <w:tblPrEx>
          <w:tblCellMar>
            <w:top w:w="0" w:type="dxa"/>
            <w:left w:w="108" w:type="dxa"/>
            <w:bottom w:w="0" w:type="dxa"/>
            <w:right w:w="108" w:type="dxa"/>
          </w:tblCellMar>
        </w:tblPrEx>
        <w:trPr>
          <w:trHeight w:val="634" w:hRule="atLeast"/>
        </w:trPr>
        <w:tc>
          <w:tcPr>
            <w:tcW w:w="584"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2D2-01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二层</w:t>
            </w:r>
          </w:p>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出发厅右侧</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337.5</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中式自助餐/特色餐饮</w:t>
            </w:r>
          </w:p>
        </w:tc>
        <w:tc>
          <w:tcPr>
            <w:tcW w:w="1215"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用电量115KW，有上下水，可引入燃气</w:t>
            </w:r>
          </w:p>
        </w:tc>
      </w:tr>
      <w:tr>
        <w:tblPrEx>
          <w:tblCellMar>
            <w:top w:w="0" w:type="dxa"/>
            <w:left w:w="108" w:type="dxa"/>
            <w:bottom w:w="0" w:type="dxa"/>
            <w:right w:w="108" w:type="dxa"/>
          </w:tblCellMar>
        </w:tblPrEx>
        <w:trPr>
          <w:trHeight w:val="1248" w:hRule="atLeast"/>
        </w:trPr>
        <w:tc>
          <w:tcPr>
            <w:tcW w:w="58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149"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C3-03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二层出发厅夹层右侧区域</w:t>
            </w:r>
          </w:p>
        </w:tc>
        <w:tc>
          <w:tcPr>
            <w:tcW w:w="1183"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2123</w:t>
            </w:r>
          </w:p>
        </w:tc>
        <w:tc>
          <w:tcPr>
            <w:tcW w:w="1433"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跨界商业</w:t>
            </w:r>
          </w:p>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（湖北印象）</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湖北地方特色小吃、湖北地方文创展销</w:t>
            </w:r>
          </w:p>
        </w:tc>
        <w:tc>
          <w:tcPr>
            <w:tcW w:w="2002"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用电量250KW，有</w:t>
            </w:r>
            <w:r>
              <w:rPr>
                <w:rFonts w:hint="eastAsia" w:ascii="宋体" w:hAnsi="宋体" w:eastAsia="宋体" w:cs="宋体"/>
                <w:color w:val="auto"/>
                <w:kern w:val="0"/>
                <w:sz w:val="21"/>
                <w:szCs w:val="21"/>
                <w:highlight w:val="none"/>
                <w:lang w:bidi="ar"/>
              </w:rPr>
              <w:t>上下水</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不可引入燃气。</w:t>
            </w:r>
          </w:p>
        </w:tc>
      </w:tr>
      <w:tr>
        <w:tblPrEx>
          <w:tblCellMar>
            <w:top w:w="0" w:type="dxa"/>
            <w:left w:w="108" w:type="dxa"/>
            <w:bottom w:w="0" w:type="dxa"/>
            <w:right w:w="108" w:type="dxa"/>
          </w:tblCellMar>
        </w:tblPrEx>
        <w:trPr>
          <w:trHeight w:val="846" w:hRule="atLeast"/>
        </w:trPr>
        <w:tc>
          <w:tcPr>
            <w:tcW w:w="584"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1B-02</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负一层中间区域</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2114.3</w:t>
            </w:r>
          </w:p>
        </w:tc>
        <w:tc>
          <w:tcPr>
            <w:tcW w:w="1433"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美食广场</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多档口式美食广场</w:t>
            </w: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用电</w:t>
            </w:r>
            <w:r>
              <w:rPr>
                <w:rFonts w:hint="eastAsia" w:ascii="宋体" w:hAnsi="宋体" w:eastAsia="宋体" w:cs="宋体"/>
                <w:color w:val="auto"/>
                <w:kern w:val="0"/>
                <w:sz w:val="21"/>
                <w:szCs w:val="21"/>
                <w:highlight w:val="none"/>
                <w:lang w:val="en-US" w:eastAsia="zh-CN" w:bidi="ar"/>
              </w:rPr>
              <w:t>量</w:t>
            </w:r>
            <w:r>
              <w:rPr>
                <w:rFonts w:hint="eastAsia" w:ascii="宋体" w:hAnsi="宋体" w:eastAsia="宋体" w:cs="宋体"/>
                <w:color w:val="auto"/>
                <w:kern w:val="0"/>
                <w:sz w:val="21"/>
                <w:szCs w:val="21"/>
                <w:highlight w:val="none"/>
                <w:lang w:bidi="ar"/>
              </w:rPr>
              <w:t>620KW，有上下水，</w:t>
            </w:r>
            <w:r>
              <w:rPr>
                <w:rFonts w:hint="eastAsia" w:ascii="宋体" w:hAnsi="宋体" w:eastAsia="宋体" w:cs="宋体"/>
                <w:color w:val="auto"/>
                <w:kern w:val="0"/>
                <w:sz w:val="21"/>
                <w:szCs w:val="21"/>
                <w:highlight w:val="none"/>
                <w:lang w:val="en-US" w:eastAsia="zh-CN" w:bidi="ar"/>
              </w:rPr>
              <w:t>不可引入</w:t>
            </w:r>
            <w:r>
              <w:rPr>
                <w:rFonts w:hint="eastAsia" w:ascii="宋体" w:hAnsi="宋体" w:eastAsia="宋体" w:cs="宋体"/>
                <w:color w:val="auto"/>
                <w:kern w:val="0"/>
                <w:sz w:val="21"/>
                <w:szCs w:val="21"/>
                <w:highlight w:val="none"/>
                <w:lang w:bidi="ar"/>
              </w:rPr>
              <w:t>燃气</w:t>
            </w:r>
          </w:p>
        </w:tc>
      </w:tr>
      <w:tr>
        <w:tblPrEx>
          <w:tblCellMar>
            <w:top w:w="0" w:type="dxa"/>
            <w:left w:w="108" w:type="dxa"/>
            <w:bottom w:w="0" w:type="dxa"/>
            <w:right w:w="108" w:type="dxa"/>
          </w:tblCellMar>
        </w:tblPrEx>
        <w:trPr>
          <w:trHeight w:val="663" w:hRule="atLeast"/>
        </w:trPr>
        <w:tc>
          <w:tcPr>
            <w:tcW w:w="584"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1B-03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负一层右边区域</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766.2</w:t>
            </w:r>
          </w:p>
        </w:tc>
        <w:tc>
          <w:tcPr>
            <w:tcW w:w="1433"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美食广场</w:t>
            </w: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用电量200KW，可引入燃气</w:t>
            </w:r>
          </w:p>
        </w:tc>
      </w:tr>
      <w:tr>
        <w:tblPrEx>
          <w:tblCellMar>
            <w:top w:w="0" w:type="dxa"/>
            <w:left w:w="108" w:type="dxa"/>
            <w:bottom w:w="0" w:type="dxa"/>
            <w:right w:w="108" w:type="dxa"/>
          </w:tblCellMar>
        </w:tblPrEx>
        <w:trPr>
          <w:trHeight w:val="501" w:hRule="atLeast"/>
        </w:trPr>
        <w:tc>
          <w:tcPr>
            <w:tcW w:w="5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合计</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7951</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auto"/>
                <w:kern w:val="0"/>
                <w:sz w:val="21"/>
                <w:szCs w:val="21"/>
                <w:highlight w:val="none"/>
                <w:lang w:bidi="ar"/>
              </w:rPr>
            </w:pPr>
          </w:p>
        </w:tc>
      </w:tr>
    </w:tbl>
    <w:p>
      <w:pPr>
        <w:snapToGrid w:val="0"/>
        <w:spacing w:line="360" w:lineRule="auto"/>
        <w:rPr>
          <w:rFonts w:hint="eastAsia" w:ascii="宋体" w:hAnsi="宋体" w:eastAsia="宋体" w:cs="宋体"/>
          <w:color w:val="auto"/>
          <w:sz w:val="24"/>
          <w:highlight w:val="none"/>
        </w:rPr>
      </w:pPr>
    </w:p>
    <w:p>
      <w:pPr>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合同期限：</w:t>
      </w:r>
      <w:bookmarkStart w:id="3" w:name="OLE_LINK10"/>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标段1：合同期限为</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，合同执行期限自</w:t>
      </w:r>
      <w:r>
        <w:rPr>
          <w:rFonts w:hint="eastAsia" w:ascii="宋体" w:hAnsi="宋体" w:eastAsia="宋体" w:cs="宋体"/>
          <w:color w:val="auto"/>
          <w:sz w:val="24"/>
          <w:highlight w:val="none"/>
          <w:lang w:val="en-US" w:eastAsia="zh-CN"/>
        </w:rPr>
        <w:t>T2航站楼启用之日起</w:t>
      </w:r>
      <w:r>
        <w:rPr>
          <w:rFonts w:hint="eastAsia" w:ascii="宋体" w:hAnsi="宋体" w:eastAsia="宋体" w:cs="宋体"/>
          <w:color w:val="auto"/>
          <w:sz w:val="24"/>
          <w:highlight w:val="none"/>
          <w:lang w:eastAsia="zh-CN"/>
        </w:rPr>
        <w:t>开始计算。</w:t>
      </w:r>
      <w:r>
        <w:rPr>
          <w:rFonts w:hint="eastAsia" w:ascii="宋体" w:hAnsi="宋体" w:eastAsia="宋体" w:cs="宋体"/>
          <w:color w:val="auto"/>
          <w:sz w:val="24"/>
          <w:highlight w:val="none"/>
        </w:rPr>
        <w:t>装修免租期为适用场地交付之日起最多不超过6个月。其中非经营方原因导致的停工，在提供相应证明文件后，可不计入免租期，具体以招商人审批为准。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标段</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：合同期限为</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，合同执行期限自</w:t>
      </w:r>
      <w:r>
        <w:rPr>
          <w:rFonts w:hint="eastAsia" w:ascii="宋体" w:hAnsi="宋体" w:eastAsia="宋体" w:cs="宋体"/>
          <w:color w:val="auto"/>
          <w:sz w:val="24"/>
          <w:highlight w:val="none"/>
          <w:lang w:val="en-US" w:eastAsia="zh-CN"/>
        </w:rPr>
        <w:t>T2航站楼启用之日起</w:t>
      </w:r>
      <w:r>
        <w:rPr>
          <w:rFonts w:hint="eastAsia" w:ascii="宋体" w:hAnsi="宋体" w:eastAsia="宋体" w:cs="宋体"/>
          <w:color w:val="auto"/>
          <w:sz w:val="24"/>
          <w:highlight w:val="none"/>
          <w:lang w:eastAsia="zh-CN"/>
        </w:rPr>
        <w:t>开始计算。</w:t>
      </w:r>
      <w:r>
        <w:rPr>
          <w:rFonts w:hint="eastAsia" w:ascii="宋体" w:hAnsi="宋体" w:eastAsia="宋体" w:cs="宋体"/>
          <w:color w:val="auto"/>
          <w:sz w:val="24"/>
          <w:highlight w:val="none"/>
        </w:rPr>
        <w:t>装修免租期为适用场地交付之日起最多不超过</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个月。其中非经营方原因导致的停工，在提供相应证明文件后，可不计入免租期，具体以招商人审批为准。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标段3：合同期限为5年</w:t>
      </w:r>
      <w:r>
        <w:rPr>
          <w:rFonts w:hint="eastAsia" w:ascii="宋体" w:hAnsi="宋体" w:eastAsia="宋体" w:cs="宋体"/>
          <w:color w:val="auto"/>
          <w:sz w:val="24"/>
          <w:highlight w:val="none"/>
          <w:lang w:eastAsia="zh-CN"/>
        </w:rPr>
        <w:t>，合同执行期限自</w:t>
      </w:r>
      <w:r>
        <w:rPr>
          <w:rFonts w:hint="eastAsia" w:ascii="宋体" w:hAnsi="宋体" w:eastAsia="宋体" w:cs="宋体"/>
          <w:color w:val="auto"/>
          <w:sz w:val="24"/>
          <w:highlight w:val="none"/>
          <w:lang w:val="en-US" w:eastAsia="zh-CN"/>
        </w:rPr>
        <w:t>T2航站楼启用之日起</w:t>
      </w:r>
      <w:r>
        <w:rPr>
          <w:rFonts w:hint="eastAsia" w:ascii="宋体" w:hAnsi="宋体" w:eastAsia="宋体" w:cs="宋体"/>
          <w:color w:val="auto"/>
          <w:sz w:val="24"/>
          <w:highlight w:val="none"/>
          <w:lang w:eastAsia="zh-CN"/>
        </w:rPr>
        <w:t>开始计算。</w:t>
      </w:r>
      <w:r>
        <w:rPr>
          <w:rFonts w:hint="eastAsia" w:ascii="宋体" w:hAnsi="宋体" w:eastAsia="宋体" w:cs="宋体"/>
          <w:color w:val="auto"/>
          <w:sz w:val="24"/>
          <w:highlight w:val="none"/>
        </w:rPr>
        <w:t>装修免租期为适用场地交付之日起最多不超过</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个月。其中非经营方原因导致的停工，在提供相应证明文件后，可不计入免租期，具体以招商人审批为准。</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以上3个标段，</w:t>
      </w:r>
      <w:r>
        <w:rPr>
          <w:rFonts w:hint="eastAsia" w:ascii="宋体" w:hAnsi="宋体" w:eastAsia="宋体" w:cs="宋体"/>
          <w:color w:val="auto"/>
          <w:sz w:val="24"/>
          <w:highlight w:val="none"/>
          <w:lang w:eastAsia="zh-CN"/>
        </w:rPr>
        <w:t>成交响应人</w:t>
      </w:r>
      <w:r>
        <w:rPr>
          <w:rFonts w:hint="eastAsia" w:ascii="宋体" w:hAnsi="宋体" w:eastAsia="宋体" w:cs="宋体"/>
          <w:color w:val="auto"/>
          <w:sz w:val="24"/>
          <w:highlight w:val="none"/>
        </w:rPr>
        <w:t>必须在收到《中标通知书》（电子</w:t>
      </w:r>
      <w:r>
        <w:rPr>
          <w:rFonts w:hint="eastAsia" w:ascii="宋体" w:hAnsi="宋体" w:eastAsia="宋体" w:cs="宋体"/>
          <w:color w:val="auto"/>
          <w:sz w:val="24"/>
          <w:highlight w:val="none"/>
          <w:lang w:eastAsia="zh-CN"/>
        </w:rPr>
        <w:t>版</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日内与招商人完成场地交接手续。</w:t>
      </w:r>
      <w:r>
        <w:rPr>
          <w:rFonts w:hint="eastAsia" w:ascii="宋体" w:hAnsi="宋体" w:eastAsia="宋体" w:cs="宋体"/>
          <w:color w:val="auto"/>
          <w:sz w:val="24"/>
          <w:highlight w:val="none"/>
          <w:lang w:val="en-US" w:eastAsia="zh-CN"/>
        </w:rPr>
        <w:t>如因招商人原因延迟交付场地，则以实际场地交付时间为准。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如在航站楼实际启用之日前完成装修，则以航站楼实际启用之日起租；如在航站楼实际启用之日前未完成装修，则按照免租期到期之日次日起租；如在免租期内提前完成装修并开业以实际开业之日起租。</w:t>
      </w:r>
    </w:p>
    <w:bookmarkEnd w:id="3"/>
    <w:p>
      <w:pPr>
        <w:keepNext/>
        <w:keepLines/>
        <w:widowControl w:val="0"/>
        <w:spacing w:before="156" w:beforeLines="50" w:after="156" w:afterLines="50" w:line="360" w:lineRule="auto"/>
        <w:jc w:val="both"/>
        <w:outlineLvl w:val="1"/>
        <w:rPr>
          <w:rFonts w:hint="eastAsia" w:ascii="宋体" w:hAnsi="宋体" w:eastAsia="宋体" w:cs="宋体"/>
          <w:b/>
          <w:bCs/>
          <w:color w:val="auto"/>
          <w:kern w:val="2"/>
          <w:sz w:val="28"/>
          <w:szCs w:val="28"/>
          <w:highlight w:val="none"/>
          <w:lang w:val="en-US" w:eastAsia="zh-CN" w:bidi="ar-SA"/>
        </w:rPr>
      </w:pPr>
      <w:bookmarkStart w:id="4" w:name="_Toc430855197"/>
      <w:bookmarkStart w:id="5" w:name="_Toc2445"/>
      <w:bookmarkStart w:id="6" w:name="_Toc431970292"/>
      <w:r>
        <w:rPr>
          <w:rFonts w:hint="eastAsia" w:ascii="宋体" w:hAnsi="宋体" w:eastAsia="宋体" w:cs="宋体"/>
          <w:b/>
          <w:bCs/>
          <w:color w:val="auto"/>
          <w:kern w:val="2"/>
          <w:sz w:val="28"/>
          <w:szCs w:val="28"/>
          <w:highlight w:val="none"/>
          <w:lang w:val="en-US" w:eastAsia="zh-CN" w:bidi="ar-SA"/>
        </w:rPr>
        <w:t>二、响应人资格要求</w:t>
      </w:r>
      <w:bookmarkEnd w:id="4"/>
      <w:bookmarkEnd w:id="5"/>
      <w:bookmarkEnd w:id="6"/>
      <w:r>
        <w:rPr>
          <w:rFonts w:hint="eastAsia" w:ascii="宋体" w:hAnsi="宋体" w:eastAsia="宋体" w:cs="宋体"/>
          <w:b/>
          <w:bCs/>
          <w:color w:val="auto"/>
          <w:kern w:val="2"/>
          <w:sz w:val="28"/>
          <w:szCs w:val="28"/>
          <w:highlight w:val="none"/>
          <w:lang w:val="en-US" w:eastAsia="zh-CN" w:bidi="ar-SA"/>
        </w:rPr>
        <w:t xml:space="preserve">       </w:t>
      </w:r>
    </w:p>
    <w:p>
      <w:pPr>
        <w:snapToGrid w:val="0"/>
        <w:spacing w:line="360" w:lineRule="auto"/>
        <w:ind w:firstLine="480" w:firstLineChars="200"/>
        <w:rPr>
          <w:rFonts w:hint="eastAsia" w:ascii="宋体" w:hAnsi="宋体" w:eastAsia="宋体" w:cs="宋体"/>
          <w:b w:val="0"/>
          <w:bCs w:val="0"/>
          <w:color w:val="auto"/>
          <w:sz w:val="24"/>
          <w:highlight w:val="none"/>
        </w:rPr>
      </w:pPr>
      <w:bookmarkStart w:id="7" w:name="_Toc431970298"/>
      <w:bookmarkStart w:id="8" w:name="_Toc430855203"/>
      <w:r>
        <w:rPr>
          <w:rFonts w:hint="eastAsia" w:ascii="宋体" w:hAnsi="宋体" w:eastAsia="宋体" w:cs="宋体"/>
          <w:b w:val="0"/>
          <w:bCs w:val="0"/>
          <w:color w:val="auto"/>
          <w:sz w:val="24"/>
          <w:highlight w:val="none"/>
        </w:rPr>
        <w:t>（一）响应人应为符合中国法律法规及行业经营管理规定、具有行业必要从业执照或资质的境内企业法人。</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（三）符合运营投标项目所需的国家规定的相关资质条件（营业执照、食品经营许可证等，具体视项目决定）。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（四）符合招商条件的</w:t>
      </w:r>
      <w:r>
        <w:rPr>
          <w:rFonts w:hint="eastAsia" w:ascii="宋体" w:hAnsi="宋体" w:eastAsia="宋体" w:cs="宋体"/>
          <w:b w:val="0"/>
          <w:bCs w:val="0"/>
          <w:color w:val="auto"/>
          <w:sz w:val="24"/>
          <w:highlight w:val="none"/>
          <w:lang w:val="en-US" w:eastAsia="zh-CN"/>
        </w:rPr>
        <w:t>响应人</w:t>
      </w:r>
      <w:r>
        <w:rPr>
          <w:rFonts w:hint="eastAsia" w:ascii="宋体" w:hAnsi="宋体" w:eastAsia="宋体" w:cs="宋体"/>
          <w:b w:val="0"/>
          <w:bCs w:val="0"/>
          <w:color w:val="auto"/>
          <w:sz w:val="24"/>
          <w:highlight w:val="none"/>
        </w:rPr>
        <w:t>不得与招商人存在</w:t>
      </w:r>
      <w:r>
        <w:rPr>
          <w:rFonts w:hint="eastAsia" w:ascii="宋体" w:hAnsi="宋体" w:eastAsia="宋体" w:cs="宋体"/>
          <w:b w:val="0"/>
          <w:bCs w:val="0"/>
          <w:color w:val="auto"/>
          <w:sz w:val="24"/>
          <w:highlight w:val="none"/>
          <w:lang w:val="en-US" w:eastAsia="zh-CN"/>
        </w:rPr>
        <w:t>或曾经存在</w:t>
      </w:r>
      <w:r>
        <w:rPr>
          <w:rFonts w:hint="eastAsia" w:ascii="宋体" w:hAnsi="宋体" w:eastAsia="宋体" w:cs="宋体"/>
          <w:b w:val="0"/>
          <w:bCs w:val="0"/>
          <w:color w:val="auto"/>
          <w:sz w:val="24"/>
          <w:highlight w:val="none"/>
        </w:rPr>
        <w:t>法律仲裁、诉讼关系。截至招商评审上月最后一个自然日，响应人与湖北机场集团实业发展有限公司不存在欠租、欠费等违约行为。</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五</w:t>
      </w:r>
      <w:r>
        <w:rPr>
          <w:rFonts w:hint="eastAsia" w:ascii="宋体" w:hAnsi="宋体" w:eastAsia="宋体" w:cs="宋体"/>
          <w:b w:val="0"/>
          <w:bCs w:val="0"/>
          <w:color w:val="auto"/>
          <w:sz w:val="24"/>
          <w:highlight w:val="none"/>
        </w:rPr>
        <w:t>）守法经营，诚实守信。在国家企业信用信息公示系统（http://www.gsxt.gov.cn/）显示经营中无违法记录（提供网页查询截图）。</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六</w:t>
      </w:r>
      <w:r>
        <w:rPr>
          <w:rFonts w:hint="eastAsia" w:ascii="宋体" w:hAnsi="宋体" w:eastAsia="宋体" w:cs="宋体"/>
          <w:b w:val="0"/>
          <w:bCs w:val="0"/>
          <w:color w:val="auto"/>
          <w:sz w:val="24"/>
          <w:highlight w:val="none"/>
        </w:rPr>
        <w:t>）本项目不接受联合体形式参与，有控股及关联的公司只能选择一家公司报名参与，否则将被同时取消参与资格。</w:t>
      </w:r>
    </w:p>
    <w:p>
      <w:pPr>
        <w:snapToGrid w:val="0"/>
        <w:spacing w:line="360" w:lineRule="auto"/>
        <w:ind w:firstLine="480" w:firstLineChars="200"/>
        <w:rPr>
          <w:rFonts w:hint="eastAsia" w:ascii="Times New Roman" w:hAnsi="Times New Roman" w:eastAsia="宋体" w:cs="Times New Roman"/>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）响应人须针对《湖北机场集团“供应商不良行为”管理暂行办法（试行）》在响应文件中做出承诺，格式详见响应文件格式。</w:t>
      </w:r>
    </w:p>
    <w:p>
      <w:pPr>
        <w:keepNext/>
        <w:keepLines/>
        <w:widowControl w:val="0"/>
        <w:spacing w:before="156" w:beforeLines="50" w:after="156" w:afterLines="50" w:line="360" w:lineRule="auto"/>
        <w:jc w:val="both"/>
        <w:outlineLvl w:val="1"/>
        <w:rPr>
          <w:rFonts w:ascii="宋体" w:hAnsi="宋体" w:eastAsia="宋体" w:cs="宋体"/>
          <w:b/>
          <w:bCs/>
          <w:color w:val="auto"/>
          <w:kern w:val="2"/>
          <w:sz w:val="28"/>
          <w:szCs w:val="28"/>
          <w:highlight w:val="none"/>
          <w:lang w:val="en-US" w:eastAsia="zh-CN" w:bidi="ar-SA"/>
        </w:rPr>
      </w:pPr>
      <w:bookmarkStart w:id="9" w:name="_Toc5395"/>
      <w:r>
        <w:rPr>
          <w:rFonts w:hint="eastAsia" w:ascii="宋体" w:hAnsi="宋体" w:eastAsia="宋体" w:cs="宋体"/>
          <w:b/>
          <w:bCs/>
          <w:color w:val="auto"/>
          <w:kern w:val="2"/>
          <w:sz w:val="28"/>
          <w:szCs w:val="28"/>
          <w:highlight w:val="none"/>
          <w:lang w:val="en-US" w:eastAsia="zh-CN" w:bidi="ar-SA"/>
        </w:rPr>
        <w:t>三、报名及招商文件的领取</w:t>
      </w:r>
      <w:bookmarkEnd w:id="9"/>
    </w:p>
    <w:p>
      <w:pPr>
        <w:snapToGrid w:val="0"/>
        <w:spacing w:line="360" w:lineRule="auto"/>
        <w:ind w:firstLine="480" w:firstLineChars="200"/>
        <w:rPr>
          <w:rFonts w:hint="eastAsia" w:ascii="宋体" w:hAnsi="宋体" w:eastAsia="宋体" w:cs="宋体"/>
          <w:color w:val="auto"/>
          <w:sz w:val="24"/>
          <w:highlight w:val="none"/>
        </w:rPr>
      </w:pPr>
      <w:bookmarkStart w:id="10" w:name="_Toc431970297"/>
      <w:bookmarkStart w:id="11" w:name="_Toc430855202"/>
      <w:r>
        <w:rPr>
          <w:rFonts w:hint="eastAsia" w:ascii="宋体" w:hAnsi="宋体" w:eastAsia="宋体" w:cs="宋体"/>
          <w:color w:val="auto"/>
          <w:sz w:val="24"/>
          <w:highlight w:val="none"/>
        </w:rPr>
        <w:t>1.拟参加本项目的响应人须在阳光招采电子招标投标交易平台（以下简称“电子交易平台”）（网址：http://www.yangguangzhaocai.com/）点击“进入新平台”—“新用户注册”免费注册（具体操作详见电子交易平台---进入新平台---帮助中心---投标人注册、投标人线上支付下载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2.在新平台完成注册后，请于即日起至</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7月13</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00时止（北京时间），通过互联网访问电子交易平台，点击“进入新平台”—“投标人”登录，在“公告信息—采购公告”菜单付费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3.本项目不是全流程电子标，投标人无需办理CA数字证书；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5.注册进度查询、密码修改问题咨询电话：027-87272708；</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对本项目的具体业务问题，请向采购代理机构项目经理进行咨询。</w:t>
      </w:r>
    </w:p>
    <w:p>
      <w:pPr>
        <w:keepNext/>
        <w:keepLines/>
        <w:widowControl w:val="0"/>
        <w:spacing w:before="156" w:beforeLines="50" w:after="156" w:afterLines="50" w:line="360" w:lineRule="auto"/>
        <w:jc w:val="both"/>
        <w:outlineLvl w:val="1"/>
        <w:rPr>
          <w:rFonts w:ascii="宋体" w:hAnsi="宋体" w:eastAsia="宋体" w:cs="宋体"/>
          <w:b/>
          <w:bCs/>
          <w:color w:val="auto"/>
          <w:kern w:val="2"/>
          <w:sz w:val="28"/>
          <w:szCs w:val="28"/>
          <w:highlight w:val="none"/>
          <w:lang w:val="en-US" w:eastAsia="zh-CN" w:bidi="ar-SA"/>
        </w:rPr>
      </w:pPr>
      <w:bookmarkStart w:id="12" w:name="_Toc24225"/>
      <w:r>
        <w:rPr>
          <w:rFonts w:hint="eastAsia" w:ascii="宋体" w:hAnsi="宋体" w:eastAsia="宋体" w:cs="宋体"/>
          <w:b/>
          <w:bCs/>
          <w:color w:val="auto"/>
          <w:kern w:val="2"/>
          <w:sz w:val="28"/>
          <w:szCs w:val="28"/>
          <w:highlight w:val="none"/>
          <w:lang w:val="en-US" w:eastAsia="zh-CN" w:bidi="ar-SA"/>
        </w:rPr>
        <w:t>四、递交响应文件及磋商</w:t>
      </w:r>
      <w:bookmarkEnd w:id="10"/>
      <w:bookmarkEnd w:id="11"/>
      <w:r>
        <w:rPr>
          <w:rFonts w:hint="eastAsia" w:ascii="宋体" w:hAnsi="宋体" w:eastAsia="宋体" w:cs="宋体"/>
          <w:b/>
          <w:bCs/>
          <w:color w:val="auto"/>
          <w:kern w:val="2"/>
          <w:sz w:val="28"/>
          <w:szCs w:val="28"/>
          <w:highlight w:val="none"/>
          <w:lang w:val="en-US" w:eastAsia="zh-CN" w:bidi="ar-SA"/>
        </w:rPr>
        <w:t>时间、地点</w:t>
      </w:r>
      <w:bookmarkEnd w:id="12"/>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1、递交响应文件截止时间：</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分整</w:t>
      </w:r>
      <w:r>
        <w:rPr>
          <w:rFonts w:hint="eastAsia" w:ascii="宋体" w:hAnsi="宋体" w:eastAsia="宋体" w:cs="宋体"/>
          <w:color w:val="auto"/>
          <w:sz w:val="24"/>
          <w:highlight w:val="none"/>
          <w:lang w:eastAsia="zh-CN"/>
        </w:rPr>
        <w:t>。</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2、递交响应文件地点及磋商地点：武汉天河机场综合保障楼A208。</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p>
    <w:p>
      <w:pPr>
        <w:keepNext/>
        <w:keepLines/>
        <w:widowControl w:val="0"/>
        <w:spacing w:before="156" w:beforeLines="50" w:after="156" w:afterLines="50" w:line="360" w:lineRule="auto"/>
        <w:jc w:val="both"/>
        <w:outlineLvl w:val="1"/>
        <w:rPr>
          <w:rFonts w:ascii="宋体" w:hAnsi="宋体" w:eastAsia="宋体" w:cs="宋体"/>
          <w:b/>
          <w:bCs/>
          <w:color w:val="auto"/>
          <w:kern w:val="2"/>
          <w:sz w:val="28"/>
          <w:szCs w:val="28"/>
          <w:highlight w:val="none"/>
          <w:lang w:val="en-US" w:eastAsia="zh-CN" w:bidi="ar-SA"/>
        </w:rPr>
      </w:pPr>
      <w:bookmarkStart w:id="13" w:name="_Toc22468"/>
      <w:r>
        <w:rPr>
          <w:rFonts w:hint="eastAsia" w:ascii="宋体" w:hAnsi="宋体" w:eastAsia="宋体" w:cs="宋体"/>
          <w:b/>
          <w:bCs/>
          <w:color w:val="auto"/>
          <w:kern w:val="2"/>
          <w:sz w:val="28"/>
          <w:szCs w:val="28"/>
          <w:highlight w:val="none"/>
          <w:lang w:val="en-US" w:eastAsia="zh-CN" w:bidi="ar-SA"/>
        </w:rPr>
        <w:t>五、发布公告的媒介</w:t>
      </w:r>
      <w:bookmarkEnd w:id="13"/>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本次招商公告同时在中国招标投标公共服务平台(网址：http://www.cebpubservice.com/) 、湖北机场集团有限公司（www.whairport.com）媒体上发布，其它任何网站不得转载。如有发现，我公司将追究非法转载单位的责任。</w:t>
      </w:r>
    </w:p>
    <w:p>
      <w:pPr>
        <w:keepNext/>
        <w:keepLines/>
        <w:widowControl w:val="0"/>
        <w:spacing w:before="156" w:beforeLines="50" w:after="156" w:afterLines="50" w:line="360" w:lineRule="auto"/>
        <w:jc w:val="both"/>
        <w:outlineLvl w:val="1"/>
        <w:rPr>
          <w:rFonts w:hint="eastAsia" w:ascii="宋体" w:hAnsi="宋体" w:eastAsia="宋体" w:cs="宋体"/>
          <w:b/>
          <w:bCs/>
          <w:color w:val="auto"/>
          <w:kern w:val="2"/>
          <w:sz w:val="28"/>
          <w:szCs w:val="28"/>
          <w:highlight w:val="none"/>
          <w:lang w:val="en-US" w:eastAsia="zh-CN" w:bidi="ar-SA"/>
        </w:rPr>
      </w:pPr>
      <w:bookmarkStart w:id="14" w:name="_Toc23652"/>
      <w:r>
        <w:rPr>
          <w:rFonts w:hint="eastAsia" w:ascii="宋体" w:hAnsi="宋体" w:eastAsia="宋体" w:cs="宋体"/>
          <w:b/>
          <w:bCs/>
          <w:color w:val="auto"/>
          <w:kern w:val="2"/>
          <w:sz w:val="28"/>
          <w:szCs w:val="28"/>
          <w:highlight w:val="none"/>
          <w:lang w:val="en-US" w:eastAsia="zh-CN" w:bidi="ar-SA"/>
        </w:rPr>
        <w:t>六、联系方式</w:t>
      </w:r>
      <w:bookmarkEnd w:id="7"/>
      <w:bookmarkEnd w:id="8"/>
      <w:bookmarkEnd w:id="14"/>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招商代理机构：湖北国华项目管理咨询有限公司</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联系地址：武昌区中北路109号中铁1818中心10楼</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 系 人：李贝</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话：027-87272701     </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招商人：湖北机场集团实业发展有限公司</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联系地址：武汉市黄陂区天河机场内</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刘经理</w:t>
      </w:r>
      <w:r>
        <w:rPr>
          <w:rFonts w:hint="eastAsia" w:ascii="宋体" w:hAnsi="宋体" w:eastAsia="宋体" w:cs="宋体"/>
          <w:color w:val="auto"/>
          <w:sz w:val="24"/>
          <w:highlight w:val="none"/>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027-85819983</w:t>
      </w:r>
      <w:r>
        <w:rPr>
          <w:rFonts w:hint="eastAsia" w:ascii="宋体" w:hAnsi="宋体" w:eastAsia="宋体" w:cs="宋体"/>
          <w:color w:val="auto"/>
          <w:sz w:val="24"/>
          <w:highlight w:val="none"/>
        </w:rPr>
        <w:t xml:space="preserve"> </w:t>
      </w:r>
    </w:p>
    <w:p>
      <w:pPr>
        <w:jc w:val="right"/>
      </w:pPr>
      <w:r>
        <w:rPr>
          <w:rFonts w:hint="eastAsia" w:ascii="宋体" w:hAnsi="宋体" w:eastAsia="宋体" w:cs="宋体"/>
          <w:color w:val="auto"/>
          <w:sz w:val="24"/>
          <w:highlight w:val="none"/>
        </w:rPr>
        <w:t xml:space="preserve">  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6月30</w:t>
      </w:r>
      <w:r>
        <w:rPr>
          <w:rFonts w:hint="eastAsia" w:ascii="宋体" w:hAnsi="宋体" w:eastAsia="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2E7FF"/>
    <w:multiLevelType w:val="singleLevel"/>
    <w:tmpl w:val="98E2E7FF"/>
    <w:lvl w:ilvl="0" w:tentative="0">
      <w:start w:val="1"/>
      <w:numFmt w:val="chineseCounting"/>
      <w:suff w:val="nothing"/>
      <w:lvlText w:val="%1、"/>
      <w:lvlJc w:val="left"/>
      <w:rPr>
        <w:rFonts w:hint="eastAsia"/>
      </w:rPr>
    </w:lvl>
  </w:abstractNum>
  <w:abstractNum w:abstractNumId="1">
    <w:nsid w:val="6D6E3E91"/>
    <w:multiLevelType w:val="singleLevel"/>
    <w:tmpl w:val="6D6E3E9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37410A91"/>
    <w:rsid w:val="05CB04ED"/>
    <w:rsid w:val="37410A91"/>
    <w:rsid w:val="5439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2544</Words>
  <Characters>2907</Characters>
  <Lines>0</Lines>
  <Paragraphs>0</Paragraphs>
  <TotalTime>0</TotalTime>
  <ScaleCrop>false</ScaleCrop>
  <LinksUpToDate>false</LinksUpToDate>
  <CharactersWithSpaces>2954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2023-06-30T03:05:00Z</dcterms:created>
  <dc:creator>李贝</dc:creator>
  <cp:lastModifiedBy>李贝</cp:lastModifiedBy>
  <dcterms:modified xsi:type="dcterms:W3CDTF">2023-06-30T03:06:36Z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843B678E887B41B2832F6D7263AE997B_11</vt:lpwstr>
  </property>
</Properties>
</file>