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40"/>
          <w:highlight w:val="none"/>
          <w:lang w:eastAsia="zh-CN"/>
        </w:rPr>
      </w:pPr>
      <w:bookmarkStart w:id="0" w:name="_Toc3458"/>
      <w:r>
        <w:rPr>
          <w:rFonts w:hint="eastAsia" w:ascii="宋体" w:hAnsi="宋体" w:eastAsia="宋体" w:cs="宋体"/>
          <w:b/>
          <w:bCs/>
          <w:color w:val="auto"/>
          <w:sz w:val="32"/>
          <w:szCs w:val="28"/>
          <w:highlight w:val="none"/>
          <w:lang w:eastAsia="zh-CN"/>
        </w:rPr>
        <w:t>武汉天河机</w:t>
      </w:r>
      <w:r>
        <w:rPr>
          <w:rFonts w:hint="eastAsia" w:ascii="宋体" w:hAnsi="宋体" w:eastAsia="宋体" w:cs="宋体"/>
          <w:b/>
          <w:bCs/>
          <w:sz w:val="32"/>
          <w:szCs w:val="40"/>
          <w:highlight w:val="none"/>
          <w:lang w:eastAsia="zh-CN"/>
        </w:rPr>
        <w:t>场T3航站楼二层混流层电竞展台招商项目</w:t>
      </w:r>
    </w:p>
    <w:p>
      <w:pPr>
        <w:bidi w:val="0"/>
        <w:jc w:val="center"/>
        <w:rPr>
          <w:rFonts w:hint="eastAsia" w:ascii="宋体" w:hAnsi="宋体" w:eastAsia="宋体" w:cs="宋体"/>
          <w:b/>
          <w:bCs/>
          <w:sz w:val="32"/>
          <w:szCs w:val="40"/>
          <w:highlight w:val="none"/>
          <w:lang w:eastAsia="zh-CN"/>
        </w:rPr>
      </w:pPr>
      <w:r>
        <w:rPr>
          <w:rFonts w:hint="eastAsia" w:ascii="宋体" w:hAnsi="宋体" w:eastAsia="宋体" w:cs="宋体"/>
          <w:b/>
          <w:bCs/>
          <w:sz w:val="32"/>
          <w:szCs w:val="40"/>
          <w:highlight w:val="none"/>
          <w:lang w:eastAsia="zh-CN"/>
        </w:rPr>
        <w:t>招商</w:t>
      </w:r>
      <w:bookmarkEnd w:id="0"/>
      <w:r>
        <w:rPr>
          <w:rFonts w:hint="eastAsia" w:ascii="宋体" w:hAnsi="宋体" w:eastAsia="宋体" w:cs="宋体"/>
          <w:b/>
          <w:bCs/>
          <w:sz w:val="32"/>
          <w:szCs w:val="40"/>
          <w:highlight w:val="none"/>
          <w:lang w:val="en-US" w:eastAsia="zh-CN"/>
        </w:rPr>
        <w:t>公告</w:t>
      </w:r>
    </w:p>
    <w:p>
      <w:pPr>
        <w:pStyle w:val="2"/>
        <w:numPr>
          <w:ilvl w:val="0"/>
          <w:numId w:val="0"/>
        </w:numPr>
        <w:spacing w:line="360" w:lineRule="auto"/>
        <w:ind w:leftChars="0" w:firstLine="480" w:firstLineChars="200"/>
        <w:rPr>
          <w:rFonts w:hint="eastAsia" w:ascii="宋体" w:hAnsi="宋体" w:eastAsia="宋体" w:cs="宋体"/>
          <w:color w:val="auto"/>
          <w:highlight w:val="none"/>
        </w:rPr>
      </w:pPr>
      <w:bookmarkStart w:id="1" w:name="_Hlt3694260"/>
      <w:bookmarkEnd w:id="1"/>
      <w:bookmarkStart w:id="2" w:name="_Hlt3692889"/>
      <w:bookmarkEnd w:id="2"/>
      <w:bookmarkStart w:id="3" w:name="_Hlt9415333"/>
      <w:bookmarkEnd w:id="3"/>
      <w:bookmarkStart w:id="4" w:name="_Hlt4486101"/>
      <w:bookmarkEnd w:id="4"/>
      <w:bookmarkStart w:id="5" w:name="_Hlt536244962"/>
      <w:bookmarkEnd w:id="5"/>
      <w:bookmarkStart w:id="6" w:name="_Hlt758651"/>
      <w:bookmarkEnd w:id="6"/>
      <w:bookmarkStart w:id="7" w:name="_Hlt3694304"/>
      <w:bookmarkEnd w:id="7"/>
      <w:r>
        <w:rPr>
          <w:rFonts w:hint="eastAsia" w:ascii="宋体" w:hAnsi="宋体" w:eastAsia="宋体" w:cs="宋体"/>
          <w:color w:val="auto"/>
          <w:highlight w:val="none"/>
          <w:lang w:eastAsia="zh-CN"/>
        </w:rPr>
        <w:t>国信国际工程咨询集团股份有限公司</w:t>
      </w:r>
      <w:r>
        <w:rPr>
          <w:rFonts w:hint="eastAsia" w:ascii="宋体" w:hAnsi="宋体" w:eastAsia="宋体" w:cs="宋体"/>
          <w:color w:val="auto"/>
          <w:highlight w:val="none"/>
        </w:rPr>
        <w:t>（以下简称“代理机构”）受</w:t>
      </w:r>
      <w:r>
        <w:rPr>
          <w:rFonts w:hint="eastAsia" w:ascii="宋体" w:hAnsi="宋体" w:eastAsia="宋体" w:cs="宋体"/>
          <w:color w:val="auto"/>
          <w:highlight w:val="none"/>
          <w:lang w:eastAsia="zh-CN"/>
        </w:rPr>
        <w:t>湖北空港首广联合传媒有限公司</w:t>
      </w:r>
      <w:r>
        <w:rPr>
          <w:rFonts w:hint="eastAsia" w:ascii="宋体" w:hAnsi="宋体" w:eastAsia="宋体" w:cs="宋体"/>
          <w:color w:val="auto"/>
          <w:highlight w:val="none"/>
        </w:rPr>
        <w:t>（以下简称“</w:t>
      </w:r>
      <w:r>
        <w:rPr>
          <w:rFonts w:hint="eastAsia" w:ascii="宋体" w:hAnsi="宋体" w:eastAsia="宋体" w:cs="宋体"/>
          <w:color w:val="auto"/>
          <w:highlight w:val="none"/>
          <w:lang w:eastAsia="zh-CN"/>
        </w:rPr>
        <w:t>招商</w:t>
      </w:r>
      <w:r>
        <w:rPr>
          <w:rFonts w:hint="eastAsia" w:ascii="宋体" w:hAnsi="宋体" w:eastAsia="宋体" w:cs="宋体"/>
          <w:color w:val="auto"/>
          <w:highlight w:val="none"/>
        </w:rPr>
        <w:t>人”）的委托，就其</w:t>
      </w:r>
      <w:r>
        <w:rPr>
          <w:rFonts w:hint="eastAsia" w:ascii="宋体" w:hAnsi="宋体" w:eastAsia="宋体" w:cs="宋体"/>
          <w:color w:val="auto"/>
          <w:highlight w:val="none"/>
          <w:lang w:eastAsia="zh-CN"/>
        </w:rPr>
        <w:t>武汉天河机场T3航站楼二层混流层电竞展台招商项目</w:t>
      </w:r>
      <w:r>
        <w:rPr>
          <w:rFonts w:hint="eastAsia" w:ascii="宋体" w:hAnsi="宋体" w:eastAsia="宋体" w:cs="宋体"/>
          <w:color w:val="auto"/>
          <w:highlight w:val="none"/>
        </w:rPr>
        <w:t>，现公开邀请潜在响应人参与</w:t>
      </w:r>
      <w:r>
        <w:rPr>
          <w:rFonts w:hint="eastAsia" w:ascii="宋体" w:hAnsi="宋体" w:eastAsia="宋体" w:cs="宋体"/>
          <w:color w:val="auto"/>
          <w:highlight w:val="none"/>
          <w:lang w:eastAsia="zh-CN"/>
        </w:rPr>
        <w:t>招商</w:t>
      </w:r>
      <w:r>
        <w:rPr>
          <w:rFonts w:hint="eastAsia" w:ascii="宋体" w:hAnsi="宋体" w:eastAsia="宋体" w:cs="宋体"/>
          <w:color w:val="auto"/>
          <w:highlight w:val="none"/>
        </w:rPr>
        <w:t>活动。</w:t>
      </w:r>
    </w:p>
    <w:p>
      <w:pPr>
        <w:pStyle w:val="4"/>
        <w:numPr>
          <w:ilvl w:val="1"/>
          <w:numId w:val="0"/>
        </w:numPr>
        <w:spacing w:before="156" w:beforeLines="50" w:after="156" w:afterLines="50" w:line="360" w:lineRule="auto"/>
        <w:ind w:leftChars="0"/>
        <w:rPr>
          <w:rFonts w:hint="eastAsia" w:ascii="宋体" w:hAnsi="宋体" w:eastAsia="宋体" w:cs="宋体"/>
          <w:b/>
          <w:color w:val="auto"/>
          <w:sz w:val="28"/>
          <w:szCs w:val="28"/>
          <w:highlight w:val="none"/>
        </w:rPr>
      </w:pPr>
      <w:bookmarkStart w:id="8" w:name="_Toc2636"/>
      <w:bookmarkStart w:id="9" w:name="_Toc431970291"/>
      <w:bookmarkStart w:id="10" w:name="_Toc430855196"/>
      <w:r>
        <w:rPr>
          <w:rFonts w:hint="eastAsia" w:ascii="宋体" w:hAnsi="宋体" w:eastAsia="宋体" w:cs="宋体"/>
          <w:b/>
          <w:color w:val="auto"/>
          <w:sz w:val="28"/>
          <w:szCs w:val="28"/>
          <w:highlight w:val="none"/>
        </w:rPr>
        <w:t>一、项目概况</w:t>
      </w:r>
      <w:bookmarkEnd w:id="8"/>
      <w:bookmarkEnd w:id="9"/>
      <w:bookmarkEnd w:id="10"/>
    </w:p>
    <w:p>
      <w:pPr>
        <w:numPr>
          <w:ilvl w:val="0"/>
          <w:numId w:val="0"/>
        </w:numPr>
        <w:snapToGrid w:val="0"/>
        <w:spacing w:line="360" w:lineRule="auto"/>
        <w:ind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1、项目名称：</w:t>
      </w:r>
      <w:r>
        <w:rPr>
          <w:rFonts w:hint="eastAsia" w:ascii="宋体" w:hAnsi="宋体" w:eastAsia="宋体" w:cs="宋体"/>
          <w:color w:val="auto"/>
          <w:sz w:val="24"/>
          <w:highlight w:val="none"/>
          <w:lang w:eastAsia="zh-CN"/>
        </w:rPr>
        <w:t>武汉天河机场T3航站楼二层混流层电竞展台招商项目</w:t>
      </w:r>
    </w:p>
    <w:p>
      <w:pPr>
        <w:numPr>
          <w:ilvl w:val="0"/>
          <w:numId w:val="0"/>
        </w:numPr>
        <w:snapToGrid w:val="0"/>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编号：GXCZ-A1-22130044</w:t>
      </w:r>
    </w:p>
    <w:p>
      <w:pPr>
        <w:numPr>
          <w:ilvl w:val="0"/>
          <w:numId w:val="0"/>
        </w:numPr>
        <w:snapToGrid w:val="0"/>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val="en-US" w:eastAsia="zh-CN"/>
        </w:rPr>
        <w:t>对T3航站楼二层混流层电竞展台进行招商，具体</w:t>
      </w:r>
      <w:r>
        <w:rPr>
          <w:rFonts w:hint="eastAsia" w:ascii="宋体" w:hAnsi="宋体" w:eastAsia="宋体" w:cs="宋体"/>
          <w:color w:val="auto"/>
          <w:sz w:val="24"/>
          <w:highlight w:val="none"/>
        </w:rPr>
        <w:t>招商工</w:t>
      </w:r>
      <w:r>
        <w:rPr>
          <w:rFonts w:hint="eastAsia" w:ascii="宋体" w:hAnsi="宋体" w:eastAsia="宋体" w:cs="宋体"/>
          <w:color w:val="auto"/>
          <w:sz w:val="24"/>
          <w:highlight w:val="none"/>
          <w:lang w:val="en-US" w:eastAsia="zh-CN"/>
        </w:rPr>
        <w:t>作</w:t>
      </w:r>
      <w:r>
        <w:rPr>
          <w:rFonts w:hint="eastAsia" w:ascii="宋体" w:hAnsi="宋体" w:eastAsia="宋体" w:cs="宋体"/>
          <w:color w:val="auto"/>
          <w:sz w:val="24"/>
          <w:highlight w:val="none"/>
        </w:rPr>
        <w:t>方案如下</w:t>
      </w:r>
      <w:r>
        <w:rPr>
          <w:rFonts w:hint="eastAsia" w:ascii="宋体" w:hAnsi="宋体" w:eastAsia="宋体" w:cs="宋体"/>
          <w:color w:val="auto"/>
          <w:sz w:val="24"/>
          <w:highlight w:val="none"/>
          <w:lang w:eastAsia="zh-CN"/>
        </w:rPr>
        <w:t>。</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124"/>
        <w:gridCol w:w="920"/>
        <w:gridCol w:w="1686"/>
        <w:gridCol w:w="161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523" w:type="pct"/>
            <w:noWrap w:val="0"/>
            <w:vAlign w:val="center"/>
          </w:tcPr>
          <w:p>
            <w:pPr>
              <w:widowControl/>
              <w:numPr>
                <w:ilvl w:val="0"/>
                <w:numId w:val="0"/>
              </w:numPr>
              <w:ind w:leftChars="0"/>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名称</w:t>
            </w:r>
          </w:p>
        </w:tc>
        <w:tc>
          <w:tcPr>
            <w:tcW w:w="1248" w:type="pct"/>
            <w:noWrap w:val="0"/>
            <w:vAlign w:val="center"/>
          </w:tcPr>
          <w:p>
            <w:pPr>
              <w:widowControl/>
              <w:numPr>
                <w:ilvl w:val="0"/>
                <w:numId w:val="0"/>
              </w:numPr>
              <w:ind w:left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区域</w:t>
            </w:r>
          </w:p>
        </w:tc>
        <w:tc>
          <w:tcPr>
            <w:tcW w:w="542" w:type="pct"/>
            <w:noWrap w:val="0"/>
            <w:vAlign w:val="center"/>
          </w:tcPr>
          <w:p>
            <w:pPr>
              <w:widowControl/>
              <w:numPr>
                <w:ilvl w:val="0"/>
                <w:numId w:val="0"/>
              </w:numPr>
              <w:ind w:left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媒体类型</w:t>
            </w:r>
          </w:p>
        </w:tc>
        <w:tc>
          <w:tcPr>
            <w:tcW w:w="979" w:type="pct"/>
            <w:noWrap w:val="0"/>
            <w:vAlign w:val="center"/>
          </w:tcPr>
          <w:p>
            <w:pPr>
              <w:widowControl/>
              <w:numPr>
                <w:ilvl w:val="0"/>
                <w:numId w:val="0"/>
              </w:numPr>
              <w:ind w:left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媒体编号</w:t>
            </w:r>
          </w:p>
        </w:tc>
        <w:tc>
          <w:tcPr>
            <w:tcW w:w="947" w:type="pct"/>
            <w:noWrap w:val="0"/>
            <w:vAlign w:val="center"/>
          </w:tcPr>
          <w:p>
            <w:pPr>
              <w:widowControl/>
              <w:numPr>
                <w:ilvl w:val="0"/>
                <w:numId w:val="0"/>
              </w:numPr>
              <w:ind w:leftChars="0"/>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媒体尺寸</w:t>
            </w:r>
          </w:p>
          <w:p>
            <w:pPr>
              <w:widowControl/>
              <w:numPr>
                <w:ilvl w:val="0"/>
                <w:numId w:val="0"/>
              </w:numPr>
              <w:ind w:leftChars="0"/>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（长X宽）</w:t>
            </w:r>
          </w:p>
        </w:tc>
        <w:tc>
          <w:tcPr>
            <w:tcW w:w="757" w:type="pct"/>
            <w:noWrap w:val="0"/>
            <w:vAlign w:val="center"/>
          </w:tcPr>
          <w:p>
            <w:pPr>
              <w:widowControl/>
              <w:numPr>
                <w:ilvl w:val="0"/>
                <w:numId w:val="0"/>
              </w:numPr>
              <w:ind w:left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媒体数量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3" w:type="pct"/>
            <w:vMerge w:val="restart"/>
            <w:noWrap w:val="0"/>
            <w:vAlign w:val="center"/>
          </w:tcPr>
          <w:p>
            <w:pPr>
              <w:widowControl/>
              <w:numPr>
                <w:ilvl w:val="0"/>
                <w:numId w:val="0"/>
              </w:numPr>
              <w:ind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二层混流层电竞展台</w:t>
            </w:r>
          </w:p>
        </w:tc>
        <w:tc>
          <w:tcPr>
            <w:tcW w:w="1248" w:type="pct"/>
            <w:noWrap w:val="0"/>
            <w:vAlign w:val="center"/>
          </w:tcPr>
          <w:p>
            <w:pPr>
              <w:widowControl/>
              <w:numPr>
                <w:ilvl w:val="0"/>
                <w:numId w:val="0"/>
              </w:numPr>
              <w:ind w:left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二层混流区28号登机口处</w:t>
            </w:r>
          </w:p>
        </w:tc>
        <w:tc>
          <w:tcPr>
            <w:tcW w:w="542" w:type="pct"/>
            <w:vMerge w:val="restart"/>
            <w:noWrap w:val="0"/>
            <w:vAlign w:val="center"/>
          </w:tcPr>
          <w:p>
            <w:pPr>
              <w:widowControl/>
              <w:numPr>
                <w:ilvl w:val="0"/>
                <w:numId w:val="0"/>
              </w:numPr>
              <w:ind w:lef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互动媒体</w:t>
            </w:r>
          </w:p>
        </w:tc>
        <w:tc>
          <w:tcPr>
            <w:tcW w:w="979" w:type="pct"/>
            <w:noWrap w:val="0"/>
            <w:vAlign w:val="center"/>
          </w:tcPr>
          <w:p>
            <w:pPr>
              <w:widowControl/>
              <w:numPr>
                <w:ilvl w:val="0"/>
                <w:numId w:val="0"/>
              </w:numPr>
              <w:ind w:left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HBWUH-32N-N001</w:t>
            </w:r>
          </w:p>
        </w:tc>
        <w:tc>
          <w:tcPr>
            <w:tcW w:w="947" w:type="pct"/>
            <w:noWrap w:val="0"/>
            <w:vAlign w:val="center"/>
          </w:tcPr>
          <w:p>
            <w:pPr>
              <w:numPr>
                <w:ilvl w:val="0"/>
                <w:numId w:val="0"/>
              </w:numPr>
              <w:ind w:lef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8M*6M</w:t>
            </w:r>
          </w:p>
        </w:tc>
        <w:tc>
          <w:tcPr>
            <w:tcW w:w="757" w:type="pct"/>
            <w:vMerge w:val="restart"/>
            <w:noWrap w:val="0"/>
            <w:vAlign w:val="center"/>
          </w:tcPr>
          <w:p>
            <w:pPr>
              <w:numPr>
                <w:ilvl w:val="0"/>
                <w:numId w:val="0"/>
              </w:numPr>
              <w:ind w:lef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23" w:type="pct"/>
            <w:vMerge w:val="continue"/>
            <w:noWrap w:val="0"/>
            <w:vAlign w:val="center"/>
          </w:tcPr>
          <w:p>
            <w:pPr>
              <w:widowControl/>
              <w:jc w:val="center"/>
              <w:rPr>
                <w:rFonts w:hint="eastAsia" w:ascii="宋体" w:hAnsi="宋体" w:eastAsia="宋体" w:cs="宋体"/>
                <w:color w:val="auto"/>
                <w:kern w:val="0"/>
                <w:sz w:val="21"/>
                <w:szCs w:val="21"/>
                <w:highlight w:val="none"/>
                <w:lang w:val="en-US" w:eastAsia="zh-CN"/>
              </w:rPr>
            </w:pPr>
          </w:p>
        </w:tc>
        <w:tc>
          <w:tcPr>
            <w:tcW w:w="1248" w:type="pct"/>
            <w:noWrap w:val="0"/>
            <w:vAlign w:val="center"/>
          </w:tcPr>
          <w:p>
            <w:pPr>
              <w:widowControl/>
              <w:numPr>
                <w:ilvl w:val="0"/>
                <w:numId w:val="0"/>
              </w:numPr>
              <w:ind w:left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二层混流区东二指廊南航中转柜台附近</w:t>
            </w:r>
          </w:p>
        </w:tc>
        <w:tc>
          <w:tcPr>
            <w:tcW w:w="542" w:type="pct"/>
            <w:vMerge w:val="continue"/>
            <w:noWrap w:val="0"/>
            <w:vAlign w:val="center"/>
          </w:tcPr>
          <w:p>
            <w:pPr>
              <w:widowControl/>
              <w:jc w:val="center"/>
              <w:rPr>
                <w:rFonts w:hint="eastAsia" w:ascii="宋体" w:hAnsi="宋体" w:eastAsia="宋体" w:cs="宋体"/>
                <w:color w:val="auto"/>
                <w:kern w:val="0"/>
                <w:sz w:val="21"/>
                <w:szCs w:val="21"/>
                <w:highlight w:val="none"/>
                <w:lang w:bidi="ar"/>
              </w:rPr>
            </w:pPr>
          </w:p>
        </w:tc>
        <w:tc>
          <w:tcPr>
            <w:tcW w:w="979" w:type="pct"/>
            <w:noWrap w:val="0"/>
            <w:vAlign w:val="center"/>
          </w:tcPr>
          <w:p>
            <w:pPr>
              <w:widowControl/>
              <w:numPr>
                <w:ilvl w:val="0"/>
                <w:numId w:val="0"/>
              </w:numPr>
              <w:ind w:left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HBWUH-32N-N002</w:t>
            </w:r>
          </w:p>
        </w:tc>
        <w:tc>
          <w:tcPr>
            <w:tcW w:w="947" w:type="pct"/>
            <w:noWrap w:val="0"/>
            <w:vAlign w:val="center"/>
          </w:tcPr>
          <w:p>
            <w:pPr>
              <w:numPr>
                <w:ilvl w:val="0"/>
                <w:numId w:val="0"/>
              </w:numPr>
              <w:ind w:lef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8M*6M</w:t>
            </w:r>
          </w:p>
        </w:tc>
        <w:tc>
          <w:tcPr>
            <w:tcW w:w="757" w:type="pct"/>
            <w:vMerge w:val="continue"/>
            <w:noWrap w:val="0"/>
            <w:vAlign w:val="center"/>
          </w:tcPr>
          <w:p>
            <w:pPr>
              <w:jc w:val="center"/>
              <w:rPr>
                <w:rFonts w:hint="eastAsia" w:ascii="宋体" w:hAnsi="宋体" w:cs="宋体"/>
                <w:color w:val="auto"/>
                <w:kern w:val="0"/>
                <w:sz w:val="21"/>
                <w:szCs w:val="21"/>
                <w:highlight w:val="none"/>
                <w:lang w:val="en-US" w:eastAsia="zh-CN"/>
              </w:rPr>
            </w:pPr>
          </w:p>
        </w:tc>
      </w:tr>
    </w:tbl>
    <w:p>
      <w:pPr>
        <w:widowControl w:val="0"/>
        <w:numPr>
          <w:ilvl w:val="0"/>
          <w:numId w:val="0"/>
        </w:numPr>
        <w:spacing w:line="360" w:lineRule="auto"/>
        <w:ind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二层混流层电竞展台</w:t>
      </w:r>
    </w:p>
    <w:p>
      <w:pPr>
        <w:widowControl w:val="0"/>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武汉机场T3航站楼户内互动体验类媒体，分别位于二层混流区28号登机口处及二层混流区东二指廊中转柜台附近。媒体编号为HBWUH-32N-N001、HBWUH-32N-N002，媒体尺寸为</w:t>
      </w:r>
      <w:r>
        <w:rPr>
          <w:rFonts w:hint="eastAsia" w:ascii="宋体" w:hAnsi="宋体" w:cs="宋体"/>
          <w:color w:val="auto"/>
          <w:kern w:val="0"/>
          <w:sz w:val="21"/>
          <w:szCs w:val="21"/>
          <w:highlight w:val="none"/>
          <w:lang w:val="en-US" w:eastAsia="zh-CN"/>
        </w:rPr>
        <w:t>8MX6M，</w:t>
      </w:r>
      <w:r>
        <w:rPr>
          <w:rFonts w:hint="eastAsia" w:ascii="宋体" w:hAnsi="宋体" w:eastAsia="宋体" w:cs="宋体"/>
          <w:color w:val="auto"/>
          <w:sz w:val="24"/>
          <w:szCs w:val="24"/>
          <w:highlight w:val="none"/>
          <w:lang w:val="en-US" w:eastAsia="zh-CN"/>
        </w:rPr>
        <w:t>媒体数量为2个。（媒体尺寸及面积具体以最终建成且验收合格后为准）</w:t>
      </w:r>
    </w:p>
    <w:p>
      <w:pPr>
        <w:widowControl w:val="0"/>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要求：媒体为互动体验型媒体，以电子竞技项目为主，旅客免费体验。拟在二层混流区28号登机口附近以及东二指廊区域（临近中转服务柜台）各设置一处，设备安装采取模块化设计，电子竞技体验项目均须经过有关政府部门审批，网络传输须符合安全管理要求。</w:t>
      </w:r>
    </w:p>
    <w:p>
      <w:pPr>
        <w:widowControl w:val="0"/>
        <w:numPr>
          <w:ilvl w:val="0"/>
          <w:numId w:val="0"/>
        </w:numPr>
        <w:spacing w:line="360" w:lineRule="auto"/>
        <w:ind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其他要求：</w:t>
      </w:r>
      <w:bookmarkStart w:id="11" w:name="OLE_LINK10"/>
      <w:r>
        <w:rPr>
          <w:rFonts w:hint="eastAsia" w:ascii="宋体" w:hAnsi="宋体" w:eastAsia="宋体" w:cs="宋体"/>
          <w:color w:val="auto"/>
          <w:sz w:val="24"/>
          <w:szCs w:val="24"/>
          <w:highlight w:val="none"/>
          <w:lang w:val="en-US" w:eastAsia="zh-CN"/>
        </w:rPr>
        <w:t>本项目合同期为三年，第二年广告费较第一年递增3%，第三年广告费较第二年递增5%。由成交响应人负责建设安装，</w:t>
      </w:r>
      <w:r>
        <w:rPr>
          <w:rFonts w:hint="eastAsia" w:ascii="宋体" w:hAnsi="宋体" w:eastAsia="宋体" w:cs="宋体"/>
          <w:color w:val="auto"/>
          <w:sz w:val="24"/>
          <w:highlight w:val="none"/>
          <w:lang w:val="en-US" w:eastAsia="zh-CN"/>
        </w:rPr>
        <w:t>建设期为30天，须</w:t>
      </w:r>
      <w:r>
        <w:rPr>
          <w:rFonts w:hint="eastAsia" w:ascii="宋体" w:hAnsi="宋体" w:eastAsia="宋体" w:cs="宋体"/>
          <w:color w:val="auto"/>
          <w:sz w:val="24"/>
          <w:highlight w:val="none"/>
          <w:lang w:eastAsia="zh-CN"/>
        </w:rPr>
        <w:t>承担广告媒体的建设责任和全部费用；</w:t>
      </w:r>
    </w:p>
    <w:p>
      <w:pPr>
        <w:widowControl w:val="0"/>
        <w:numPr>
          <w:ilvl w:val="0"/>
          <w:numId w:val="0"/>
        </w:numPr>
        <w:spacing w:line="360" w:lineRule="auto"/>
        <w:ind w:leftChars="0" w:firstLine="480" w:firstLineChars="200"/>
        <w:jc w:val="both"/>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质量标准：合格。</w:t>
      </w:r>
    </w:p>
    <w:bookmarkEnd w:id="11"/>
    <w:p>
      <w:pPr>
        <w:pStyle w:val="4"/>
        <w:pageBreakBefore w:val="0"/>
        <w:widowControl w:val="0"/>
        <w:numPr>
          <w:ilvl w:val="1"/>
          <w:numId w:val="0"/>
        </w:numPr>
        <w:kinsoku/>
        <w:wordWrap/>
        <w:overflowPunct/>
        <w:topLinePunct w:val="0"/>
        <w:autoSpaceDE/>
        <w:autoSpaceDN/>
        <w:bidi w:val="0"/>
        <w:adjustRightInd/>
        <w:spacing w:before="156" w:beforeLines="50" w:after="156" w:afterLines="50" w:line="360" w:lineRule="auto"/>
        <w:ind w:leftChars="0"/>
        <w:textAlignment w:val="auto"/>
        <w:rPr>
          <w:rFonts w:hint="eastAsia" w:ascii="宋体" w:hAnsi="宋体" w:eastAsia="宋体" w:cs="宋体"/>
          <w:b/>
          <w:color w:val="auto"/>
          <w:sz w:val="28"/>
          <w:szCs w:val="28"/>
          <w:highlight w:val="none"/>
        </w:rPr>
      </w:pPr>
      <w:bookmarkStart w:id="12" w:name="_Toc6778"/>
      <w:bookmarkStart w:id="13" w:name="_Toc431970292"/>
      <w:bookmarkStart w:id="14" w:name="_Toc430855197"/>
      <w:r>
        <w:rPr>
          <w:rFonts w:hint="eastAsia" w:ascii="宋体" w:hAnsi="宋体" w:eastAsia="宋体" w:cs="宋体"/>
          <w:b/>
          <w:color w:val="auto"/>
          <w:sz w:val="28"/>
          <w:szCs w:val="28"/>
          <w:highlight w:val="none"/>
        </w:rPr>
        <w:t>二、响应人资格要求</w:t>
      </w:r>
      <w:bookmarkEnd w:id="12"/>
      <w:bookmarkEnd w:id="13"/>
      <w:bookmarkEnd w:id="14"/>
    </w:p>
    <w:p>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highlight w:val="none"/>
          <w:lang w:val="en-US" w:eastAsia="zh-CN"/>
        </w:rPr>
      </w:pPr>
      <w:bookmarkStart w:id="15" w:name="_Toc430855203"/>
      <w:bookmarkStart w:id="16" w:name="_Toc431970298"/>
      <w:r>
        <w:rPr>
          <w:rFonts w:hint="eastAsia" w:ascii="宋体" w:hAnsi="宋体" w:eastAsia="宋体" w:cs="宋体"/>
          <w:color w:val="auto"/>
          <w:kern w:val="0"/>
          <w:sz w:val="24"/>
          <w:highlight w:val="none"/>
          <w:lang w:val="en-US" w:eastAsia="zh-CN"/>
        </w:rPr>
        <w:t>1.招商响应人须具备市场监督管理部门核发的有效营业执照，具有独立法人资格。</w:t>
      </w:r>
    </w:p>
    <w:p>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2.如符合招商条件的T3航站楼现有商业项目经营商户或曾经经营商户参与本次招商，不得与招商人存在法律仲裁、诉讼关系。</w:t>
      </w:r>
      <w:r>
        <w:rPr>
          <w:rFonts w:hint="eastAsia" w:ascii="宋体" w:hAnsi="宋体" w:eastAsia="宋体" w:cs="宋体"/>
          <w:color w:val="auto"/>
          <w:kern w:val="0"/>
          <w:sz w:val="24"/>
          <w:highlight w:val="none"/>
        </w:rPr>
        <w:t>洽商响应人及相关公司与洽商人存在合同纠纷或截止至</w:t>
      </w:r>
      <w:r>
        <w:rPr>
          <w:rFonts w:hint="eastAsia" w:ascii="宋体" w:hAnsi="宋体" w:eastAsia="宋体" w:cs="宋体"/>
          <w:color w:val="auto"/>
          <w:kern w:val="0"/>
          <w:sz w:val="24"/>
          <w:highlight w:val="none"/>
          <w:lang w:val="en-US" w:eastAsia="zh-CN"/>
        </w:rPr>
        <w:t>招商日存在计提欠款事宜的</w:t>
      </w:r>
      <w:r>
        <w:rPr>
          <w:rFonts w:hint="eastAsia" w:ascii="宋体" w:hAnsi="宋体" w:eastAsia="宋体" w:cs="宋体"/>
          <w:color w:val="auto"/>
          <w:kern w:val="0"/>
          <w:sz w:val="24"/>
          <w:highlight w:val="none"/>
        </w:rPr>
        <w:t>，不得参与本项目的洽商活动，否则皆为无效响应。</w:t>
      </w:r>
      <w:bookmarkStart w:id="23" w:name="_GoBack"/>
      <w:bookmarkEnd w:id="23"/>
    </w:p>
    <w:p>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w:t>
      </w:r>
      <w:r>
        <w:rPr>
          <w:rFonts w:hint="eastAsia" w:ascii="宋体" w:hAnsi="宋体" w:eastAsia="宋体" w:cs="宋体"/>
          <w:color w:val="auto"/>
          <w:kern w:val="0"/>
          <w:sz w:val="24"/>
          <w:highlight w:val="none"/>
          <w:lang w:val="en-US" w:eastAsia="zh-CN"/>
        </w:rPr>
        <w:t>及相关文件</w:t>
      </w:r>
      <w:r>
        <w:rPr>
          <w:rFonts w:hint="eastAsia" w:ascii="宋体" w:hAnsi="宋体" w:eastAsia="宋体" w:cs="宋体"/>
          <w:color w:val="auto"/>
          <w:kern w:val="0"/>
          <w:sz w:val="24"/>
          <w:highlight w:val="none"/>
        </w:rPr>
        <w:t>。</w:t>
      </w:r>
    </w:p>
    <w:p>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本项目不接受联合体形式参与，有控股及关联的公司只能选择一家公司报名参与，否则将被同时取消参与资格。</w:t>
      </w:r>
    </w:p>
    <w:p>
      <w:pPr>
        <w:pStyle w:val="4"/>
        <w:numPr>
          <w:ilvl w:val="1"/>
          <w:numId w:val="0"/>
        </w:numPr>
        <w:spacing w:before="156" w:beforeLines="50" w:after="156" w:afterLines="50" w:line="360" w:lineRule="auto"/>
        <w:ind w:leftChars="0"/>
        <w:rPr>
          <w:rFonts w:hint="eastAsia" w:ascii="宋体" w:hAnsi="宋体" w:eastAsia="宋体" w:cs="宋体"/>
          <w:b/>
          <w:color w:val="auto"/>
          <w:sz w:val="28"/>
          <w:szCs w:val="28"/>
          <w:highlight w:val="none"/>
        </w:rPr>
      </w:pPr>
      <w:bookmarkStart w:id="17" w:name="_Toc13632"/>
      <w:r>
        <w:rPr>
          <w:rFonts w:hint="eastAsia" w:ascii="宋体" w:hAnsi="宋体" w:eastAsia="宋体" w:cs="宋体"/>
          <w:b/>
          <w:color w:val="auto"/>
          <w:sz w:val="28"/>
          <w:szCs w:val="28"/>
          <w:highlight w:val="none"/>
        </w:rPr>
        <w:t>三、报名及</w:t>
      </w:r>
      <w:r>
        <w:rPr>
          <w:rFonts w:hint="eastAsia" w:ascii="宋体" w:hAnsi="宋体" w:eastAsia="宋体" w:cs="宋体"/>
          <w:b/>
          <w:color w:val="auto"/>
          <w:sz w:val="28"/>
          <w:szCs w:val="28"/>
          <w:highlight w:val="none"/>
          <w:lang w:eastAsia="zh-CN"/>
        </w:rPr>
        <w:t>招商</w:t>
      </w:r>
      <w:r>
        <w:rPr>
          <w:rFonts w:hint="eastAsia" w:ascii="宋体" w:hAnsi="宋体" w:eastAsia="宋体" w:cs="宋体"/>
          <w:b/>
          <w:color w:val="auto"/>
          <w:sz w:val="28"/>
          <w:szCs w:val="28"/>
          <w:highlight w:val="none"/>
        </w:rPr>
        <w:t>文件的领取</w:t>
      </w:r>
      <w:bookmarkEnd w:id="17"/>
    </w:p>
    <w:p>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1、凡有意参与</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的响应人携带有效的法定代表人身份证明或法定代表人授权委托书及身份证原件，于202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日起至202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日止，每天上午8：30-12：00时、下午14：00-17：00时（节假日除外）到</w:t>
      </w:r>
      <w:r>
        <w:rPr>
          <w:rFonts w:hint="eastAsia" w:ascii="宋体" w:hAnsi="宋体" w:eastAsia="宋体" w:cs="宋体"/>
          <w:color w:val="auto"/>
          <w:sz w:val="24"/>
          <w:highlight w:val="none"/>
          <w:lang w:eastAsia="zh-CN"/>
        </w:rPr>
        <w:t>国信国际工程咨询集团股份有限公司</w:t>
      </w:r>
      <w:r>
        <w:rPr>
          <w:rFonts w:hint="eastAsia" w:ascii="宋体" w:hAnsi="宋体" w:eastAsia="宋体" w:cs="宋体"/>
          <w:color w:val="auto"/>
          <w:sz w:val="24"/>
          <w:highlight w:val="none"/>
          <w:lang w:val="en-US" w:eastAsia="zh-CN"/>
        </w:rPr>
        <w:t>湖北分公司</w:t>
      </w:r>
      <w:r>
        <w:rPr>
          <w:rFonts w:hint="eastAsia" w:ascii="宋体" w:hAnsi="宋体" w:eastAsia="宋体" w:cs="宋体"/>
          <w:color w:val="auto"/>
          <w:sz w:val="24"/>
          <w:highlight w:val="none"/>
        </w:rPr>
        <w:t>（武汉市洪山区徐东大街97号龙潭大厦A座16楼国信国际工程咨询集团股份有限公司湖北分公司）购买</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文件。</w:t>
      </w:r>
    </w:p>
    <w:p>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本项目可</w:t>
      </w:r>
      <w:r>
        <w:rPr>
          <w:rFonts w:hint="eastAsia" w:ascii="宋体" w:hAnsi="宋体" w:eastAsia="宋体" w:cs="宋体"/>
          <w:color w:val="auto"/>
          <w:sz w:val="24"/>
          <w:highlight w:val="none"/>
          <w:lang w:val="en-US" w:eastAsia="zh-CN"/>
        </w:rPr>
        <w:t>线上</w:t>
      </w:r>
      <w:r>
        <w:rPr>
          <w:rFonts w:hint="eastAsia" w:ascii="宋体" w:hAnsi="宋体" w:eastAsia="宋体" w:cs="宋体"/>
          <w:color w:val="auto"/>
          <w:sz w:val="24"/>
          <w:highlight w:val="none"/>
          <w:lang w:eastAsia="zh-CN"/>
        </w:rPr>
        <w:t>获取文件</w:t>
      </w:r>
      <w:r>
        <w:rPr>
          <w:rFonts w:hint="eastAsia" w:ascii="宋体" w:hAnsi="宋体" w:eastAsia="宋体" w:cs="宋体"/>
          <w:color w:val="auto"/>
          <w:sz w:val="24"/>
          <w:highlight w:val="none"/>
        </w:rPr>
        <w:t>，供应商可将上述资料扫描件发送至</w:t>
      </w:r>
      <w:r>
        <w:rPr>
          <w:rFonts w:hint="eastAsia" w:ascii="宋体" w:hAnsi="宋体" w:eastAsia="宋体" w:cs="宋体"/>
          <w:color w:val="auto"/>
          <w:sz w:val="24"/>
          <w:highlight w:val="none"/>
          <w:lang w:val="en-US" w:eastAsia="zh-CN"/>
        </w:rPr>
        <w:t>857942758</w:t>
      </w:r>
      <w:r>
        <w:rPr>
          <w:rFonts w:hint="eastAsia" w:ascii="宋体" w:hAnsi="宋体" w:eastAsia="宋体" w:cs="宋体"/>
          <w:color w:val="auto"/>
          <w:sz w:val="24"/>
          <w:highlight w:val="none"/>
        </w:rPr>
        <w:t>@qq.com</w:t>
      </w:r>
      <w:r>
        <w:rPr>
          <w:rFonts w:hint="eastAsia" w:ascii="宋体" w:hAnsi="宋体" w:eastAsia="宋体" w:cs="宋体"/>
          <w:color w:val="auto"/>
          <w:sz w:val="24"/>
          <w:highlight w:val="none"/>
          <w:lang w:val="en-US" w:eastAsia="zh-CN"/>
        </w:rPr>
        <w:t>邮箱确认</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代理机构确认后</w:t>
      </w:r>
      <w:r>
        <w:rPr>
          <w:rFonts w:hint="eastAsia" w:ascii="宋体" w:hAnsi="宋体" w:eastAsia="宋体" w:cs="宋体"/>
          <w:color w:val="auto"/>
          <w:sz w:val="24"/>
          <w:highlight w:val="none"/>
        </w:rPr>
        <w:t>供应商将文件款汇至代理机构账户，汇款时备注项目名称、项目编号，汇款成功后代理机构发出文件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汇款户名：</w:t>
      </w:r>
      <w:r>
        <w:rPr>
          <w:rFonts w:hint="eastAsia" w:ascii="宋体" w:hAnsi="宋体" w:eastAsia="宋体" w:cs="宋体"/>
          <w:color w:val="auto"/>
          <w:sz w:val="24"/>
          <w:highlight w:val="none"/>
          <w:lang w:val="en-US" w:eastAsia="zh-CN"/>
        </w:rPr>
        <w:t>国信国际工程咨询集团股份有限公司湖北分公司</w:t>
      </w:r>
      <w:r>
        <w:rPr>
          <w:rFonts w:hint="eastAsia" w:ascii="宋体" w:hAnsi="宋体" w:eastAsia="宋体" w:cs="宋体"/>
          <w:color w:val="auto"/>
          <w:sz w:val="24"/>
          <w:highlight w:val="none"/>
        </w:rPr>
        <w:t>，账号：416040100100173343，开户银行：</w:t>
      </w:r>
      <w:r>
        <w:rPr>
          <w:rFonts w:hint="eastAsia" w:ascii="宋体" w:hAnsi="宋体" w:eastAsia="宋体" w:cs="宋体"/>
          <w:color w:val="auto"/>
          <w:sz w:val="24"/>
          <w:highlight w:val="none"/>
          <w:lang w:val="en-US" w:eastAsia="zh-CN"/>
        </w:rPr>
        <w:t>兴业银行武汉水果湖支行。</w:t>
      </w:r>
    </w:p>
    <w:p>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注：各潜在供应商需先进入http://user.gxzb.com.cn/ztb/unit/login/register.jsp国信招标集团单位入库在线申请，首次注册填写信息时需完善项目编号，提交之后联系027-87238091进行确认，确认完成之后方可进行报名。</w:t>
      </w:r>
    </w:p>
    <w:p>
      <w:pPr>
        <w:numPr>
          <w:ilvl w:val="0"/>
          <w:numId w:val="0"/>
        </w:numPr>
        <w:snapToGrid w:val="0"/>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文件售价人民币500元</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，售后不退。</w:t>
      </w:r>
    </w:p>
    <w:p>
      <w:pPr>
        <w:pStyle w:val="4"/>
        <w:numPr>
          <w:ilvl w:val="1"/>
          <w:numId w:val="0"/>
        </w:numPr>
        <w:spacing w:before="156" w:beforeLines="50" w:after="156" w:afterLines="50" w:line="360" w:lineRule="auto"/>
        <w:ind w:leftChars="0"/>
        <w:rPr>
          <w:rFonts w:hint="eastAsia" w:ascii="宋体" w:hAnsi="宋体" w:eastAsia="宋体" w:cs="宋体"/>
          <w:b/>
          <w:color w:val="auto"/>
          <w:sz w:val="28"/>
          <w:szCs w:val="28"/>
          <w:highlight w:val="none"/>
        </w:rPr>
      </w:pPr>
      <w:bookmarkStart w:id="18" w:name="_Toc431970297"/>
      <w:bookmarkStart w:id="19" w:name="_Toc430855202"/>
      <w:bookmarkStart w:id="20" w:name="_Toc9776"/>
      <w:r>
        <w:rPr>
          <w:rFonts w:hint="eastAsia" w:ascii="宋体" w:hAnsi="宋体" w:eastAsia="宋体" w:cs="宋体"/>
          <w:b/>
          <w:color w:val="auto"/>
          <w:sz w:val="28"/>
          <w:szCs w:val="28"/>
          <w:highlight w:val="none"/>
        </w:rPr>
        <w:t>四、递交响应文件及磋商</w:t>
      </w:r>
      <w:bookmarkEnd w:id="18"/>
      <w:bookmarkEnd w:id="19"/>
      <w:r>
        <w:rPr>
          <w:rFonts w:hint="eastAsia" w:ascii="宋体" w:hAnsi="宋体" w:eastAsia="宋体" w:cs="宋体"/>
          <w:b/>
          <w:color w:val="auto"/>
          <w:sz w:val="28"/>
          <w:szCs w:val="28"/>
          <w:highlight w:val="none"/>
        </w:rPr>
        <w:t>时间、地点</w:t>
      </w:r>
      <w:bookmarkEnd w:id="20"/>
    </w:p>
    <w:p>
      <w:pPr>
        <w:numPr>
          <w:ilvl w:val="0"/>
          <w:numId w:val="0"/>
        </w:numPr>
        <w:snapToGrid w:val="0"/>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1、递交响应文件截止时间：202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时30分整。</w:t>
      </w:r>
    </w:p>
    <w:p>
      <w:pPr>
        <w:numPr>
          <w:ilvl w:val="0"/>
          <w:numId w:val="0"/>
        </w:numPr>
        <w:snapToGrid w:val="0"/>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2、递交响应文件地点及磋商地点：湖北机场集团有限公司综合办公楼A609招投标室。</w:t>
      </w:r>
    </w:p>
    <w:p>
      <w:pPr>
        <w:numPr>
          <w:ilvl w:val="0"/>
          <w:numId w:val="0"/>
        </w:numPr>
        <w:snapToGrid w:val="0"/>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3、逾期送达指定地点的或者不按照</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文件要求密封的响应文件，</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人和代理机构不予受理。</w:t>
      </w:r>
    </w:p>
    <w:p>
      <w:pPr>
        <w:numPr>
          <w:ilvl w:val="0"/>
          <w:numId w:val="0"/>
        </w:numPr>
        <w:snapToGrid w:val="0"/>
        <w:spacing w:line="360" w:lineRule="auto"/>
        <w:ind w:lef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备注：有效响应运营商不足三家的，经评审委员会商议一致后，对于符合</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文件要求，满足</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需求的，可继续采取两家比选或一家直接洽商方式进行评审。对于不满足</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需求的，经评审委员会确认后，可终止</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w:t>
      </w:r>
    </w:p>
    <w:p>
      <w:pPr>
        <w:pStyle w:val="4"/>
        <w:numPr>
          <w:ilvl w:val="1"/>
          <w:numId w:val="0"/>
        </w:numPr>
        <w:spacing w:before="156" w:beforeLines="50" w:after="156" w:afterLines="50" w:line="360" w:lineRule="auto"/>
        <w:ind w:leftChars="0"/>
        <w:rPr>
          <w:rFonts w:hint="eastAsia" w:ascii="宋体" w:hAnsi="宋体" w:eastAsia="宋体" w:cs="宋体"/>
          <w:b/>
          <w:color w:val="auto"/>
          <w:sz w:val="28"/>
          <w:szCs w:val="28"/>
          <w:highlight w:val="none"/>
        </w:rPr>
      </w:pPr>
      <w:bookmarkStart w:id="21" w:name="_Toc26120"/>
      <w:r>
        <w:rPr>
          <w:rFonts w:hint="eastAsia" w:ascii="宋体" w:hAnsi="宋体" w:eastAsia="宋体" w:cs="宋体"/>
          <w:b/>
          <w:color w:val="auto"/>
          <w:sz w:val="28"/>
          <w:szCs w:val="28"/>
          <w:highlight w:val="none"/>
        </w:rPr>
        <w:t>五、发布公告的媒介</w:t>
      </w:r>
      <w:bookmarkEnd w:id="21"/>
    </w:p>
    <w:p>
      <w:pPr>
        <w:numPr>
          <w:ilvl w:val="0"/>
          <w:numId w:val="0"/>
        </w:numPr>
        <w:snapToGrid w:val="0"/>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公告同时在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《湖北机场集团有限公司内外网》、《北京首都机场广告有限公司外网》媒体上发布，其它任何网站不得转载。如有发现，我公司将追究非法转载单位的责任。</w:t>
      </w:r>
    </w:p>
    <w:p>
      <w:pPr>
        <w:pStyle w:val="4"/>
        <w:numPr>
          <w:ilvl w:val="1"/>
          <w:numId w:val="0"/>
        </w:numPr>
        <w:spacing w:before="156" w:beforeLines="50" w:after="156" w:afterLines="50" w:line="360" w:lineRule="auto"/>
        <w:ind w:leftChars="0"/>
        <w:rPr>
          <w:rFonts w:hint="eastAsia" w:ascii="宋体" w:hAnsi="宋体" w:eastAsia="宋体" w:cs="宋体"/>
          <w:b/>
          <w:color w:val="auto"/>
          <w:sz w:val="28"/>
          <w:szCs w:val="28"/>
          <w:highlight w:val="none"/>
        </w:rPr>
      </w:pPr>
      <w:bookmarkStart w:id="22" w:name="_Toc11065"/>
      <w:r>
        <w:rPr>
          <w:rFonts w:hint="eastAsia" w:ascii="宋体" w:hAnsi="宋体" w:eastAsia="宋体" w:cs="宋体"/>
          <w:b/>
          <w:color w:val="auto"/>
          <w:sz w:val="28"/>
          <w:szCs w:val="28"/>
          <w:highlight w:val="none"/>
        </w:rPr>
        <w:t>六、联系方式</w:t>
      </w:r>
      <w:bookmarkEnd w:id="15"/>
      <w:bookmarkEnd w:id="16"/>
      <w:bookmarkEnd w:id="2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湖北空港首广联合传媒有限公司</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联系地址：武汉市天河街天河机场综合业务楼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 xml:space="preserve">王勇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话：027-85818411</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代理机构：</w:t>
      </w:r>
      <w:r>
        <w:rPr>
          <w:rFonts w:hint="eastAsia" w:ascii="宋体" w:hAnsi="宋体" w:eastAsia="宋体" w:cs="宋体"/>
          <w:color w:val="auto"/>
          <w:sz w:val="24"/>
          <w:highlight w:val="none"/>
          <w:lang w:eastAsia="zh-CN"/>
        </w:rPr>
        <w:t>国信国际工程咨询集团股份有限公司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联系地址：武汉市洪山区徐东大街97号龙潭SOMO A座16楼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人：王承丹、赵金媛、戴唯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话：027-87238091</w:t>
      </w:r>
    </w:p>
    <w:p>
      <w:pPr>
        <w:numPr>
          <w:ilvl w:val="0"/>
          <w:numId w:val="0"/>
        </w:numPr>
        <w:ind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numPr>
          <w:ilvl w:val="0"/>
          <w:numId w:val="0"/>
        </w:numPr>
        <w:ind w:leftChars="0"/>
        <w:jc w:val="right"/>
        <w:rPr>
          <w:highlight w:val="none"/>
        </w:rPr>
      </w:pPr>
      <w:r>
        <w:rPr>
          <w:rFonts w:hint="eastAsia" w:ascii="宋体" w:hAnsi="宋体" w:eastAsia="宋体" w:cs="宋体"/>
          <w:color w:val="auto"/>
          <w:sz w:val="24"/>
          <w:highlight w:val="none"/>
        </w:rPr>
        <w:t xml:space="preserve"> 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9C45B"/>
    <w:multiLevelType w:val="multilevel"/>
    <w:tmpl w:val="9F09C45B"/>
    <w:lvl w:ilvl="0" w:tentative="0">
      <w:start w:val="1"/>
      <w:numFmt w:val="none"/>
      <w:pStyle w:val="3"/>
      <w:suff w:val="nothing"/>
      <w:lvlText w:val="%1"/>
      <w:lvlJc w:val="left"/>
      <w:pPr>
        <w:ind w:left="0" w:firstLine="0"/>
      </w:pPr>
      <w:rPr>
        <w:rFonts w:hint="default"/>
      </w:rPr>
    </w:lvl>
    <w:lvl w:ilvl="1" w:tentative="0">
      <w:start w:val="1"/>
      <w:numFmt w:val="decimal"/>
      <w:pStyle w:val="4"/>
      <w:lvlText w:val="%2."/>
      <w:lvlJc w:val="left"/>
      <w:pPr>
        <w:tabs>
          <w:tab w:val="left" w:pos="720"/>
        </w:tabs>
        <w:ind w:left="720" w:hanging="720"/>
      </w:pPr>
      <w:rPr>
        <w:rFonts w:hint="default"/>
      </w:rPr>
    </w:lvl>
    <w:lvl w:ilvl="2" w:tentative="0">
      <w:start w:val="1"/>
      <w:numFmt w:val="lowerLetter"/>
      <w:pStyle w:val="6"/>
      <w:lvlText w:val="(%3)"/>
      <w:lvlJc w:val="left"/>
      <w:pPr>
        <w:tabs>
          <w:tab w:val="left" w:pos="1080"/>
        </w:tabs>
        <w:ind w:left="720" w:hanging="360"/>
      </w:pPr>
      <w:rPr>
        <w:rFonts w:hint="default"/>
      </w:rPr>
    </w:lvl>
    <w:lvl w:ilvl="3" w:tentative="0">
      <w:start w:val="1"/>
      <w:numFmt w:val="lowerRoman"/>
      <w:pStyle w:val="14"/>
      <w:lvlText w:val="(%4)"/>
      <w:lvlJc w:val="left"/>
      <w:pPr>
        <w:tabs>
          <w:tab w:val="left" w:pos="1800"/>
        </w:tabs>
        <w:ind w:left="1080" w:hanging="360"/>
      </w:pPr>
      <w:rPr>
        <w:rFonts w:hint="default"/>
      </w:rPr>
    </w:lvl>
    <w:lvl w:ilvl="4" w:tentative="0">
      <w:start w:val="1"/>
      <w:numFmt w:val="lowerLetter"/>
      <w:pStyle w:val="15"/>
      <w:lvlText w:val="%5."/>
      <w:lvlJc w:val="left"/>
      <w:pPr>
        <w:tabs>
          <w:tab w:val="left" w:pos="1440"/>
        </w:tabs>
        <w:ind w:left="1440" w:hanging="360"/>
      </w:pPr>
      <w:rPr>
        <w:rFonts w:hint="default"/>
      </w:rPr>
    </w:lvl>
    <w:lvl w:ilvl="5" w:tentative="0">
      <w:start w:val="1"/>
      <w:numFmt w:val="lowerRoman"/>
      <w:pStyle w:val="7"/>
      <w:lvlText w:val="%6."/>
      <w:lvlJc w:val="left"/>
      <w:pPr>
        <w:tabs>
          <w:tab w:val="left" w:pos="2160"/>
        </w:tabs>
        <w:ind w:left="1800" w:hanging="360"/>
      </w:pPr>
      <w:rPr>
        <w:rFonts w:hint="default"/>
      </w:rPr>
    </w:lvl>
    <w:lvl w:ilvl="6" w:tentative="0">
      <w:start w:val="1"/>
      <w:numFmt w:val="decimal"/>
      <w:pStyle w:val="8"/>
      <w:lvlText w:val="%7."/>
      <w:lvlJc w:val="left"/>
      <w:pPr>
        <w:tabs>
          <w:tab w:val="left" w:pos="2520"/>
        </w:tabs>
        <w:ind w:left="2520" w:hanging="360"/>
      </w:pPr>
      <w:rPr>
        <w:rFonts w:hint="default"/>
      </w:rPr>
    </w:lvl>
    <w:lvl w:ilvl="7" w:tentative="0">
      <w:start w:val="1"/>
      <w:numFmt w:val="lowerLetter"/>
      <w:pStyle w:val="9"/>
      <w:lvlText w:val="%8."/>
      <w:lvlJc w:val="left"/>
      <w:pPr>
        <w:tabs>
          <w:tab w:val="left" w:pos="2880"/>
        </w:tabs>
        <w:ind w:left="2880" w:hanging="360"/>
      </w:pPr>
      <w:rPr>
        <w:rFonts w:hint="default"/>
      </w:rPr>
    </w:lvl>
    <w:lvl w:ilvl="8" w:tentative="0">
      <w:start w:val="1"/>
      <w:numFmt w:val="lowerRoman"/>
      <w:pStyle w:val="10"/>
      <w:lvlText w:val="%9."/>
      <w:lvlJc w:val="left"/>
      <w:pPr>
        <w:tabs>
          <w:tab w:val="left"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663C7"/>
    <w:rsid w:val="128F5C4D"/>
    <w:rsid w:val="19554828"/>
    <w:rsid w:val="26A73C6F"/>
    <w:rsid w:val="63D6427A"/>
    <w:rsid w:val="7A45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5"/>
    <w:semiHidden/>
    <w:unhideWhenUsed/>
    <w:qFormat/>
    <w:uiPriority w:val="0"/>
    <w:pPr>
      <w:keepNext/>
      <w:keepLines/>
      <w:numPr>
        <w:ilvl w:val="1"/>
        <w:numId w:val="1"/>
      </w:numPr>
      <w:spacing w:before="260" w:beforeLines="0" w:beforeAutospacing="0" w:after="260" w:afterLines="0" w:afterAutospacing="0" w:line="413" w:lineRule="auto"/>
      <w:ind w:left="720" w:hanging="720"/>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360"/>
      <w:outlineLvl w:val="2"/>
    </w:pPr>
    <w:rPr>
      <w:b/>
      <w:sz w:val="32"/>
    </w:rPr>
  </w:style>
  <w:style w:type="paragraph" w:styleId="7">
    <w:name w:val="heading 6"/>
    <w:basedOn w:val="1"/>
    <w:next w:val="1"/>
    <w:link w:val="13"/>
    <w:semiHidden/>
    <w:unhideWhenUsed/>
    <w:qFormat/>
    <w:uiPriority w:val="0"/>
    <w:pPr>
      <w:keepNext/>
      <w:keepLines/>
      <w:numPr>
        <w:ilvl w:val="5"/>
        <w:numId w:val="1"/>
      </w:numPr>
      <w:tabs>
        <w:tab w:val="center" w:pos="0"/>
      </w:tabs>
      <w:spacing w:before="240" w:after="64" w:line="316" w:lineRule="auto"/>
      <w:jc w:val="center"/>
      <w:outlineLvl w:val="5"/>
    </w:pPr>
    <w:rPr>
      <w:rFonts w:ascii="Arial" w:hAnsi="Arial" w:eastAsia="黑体"/>
      <w:b/>
      <w:sz w:val="24"/>
      <w:szCs w:val="20"/>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2520" w:hanging="36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2880" w:hanging="36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3240" w:hanging="360"/>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5">
    <w:name w:val="Normal Indent"/>
    <w:basedOn w:val="1"/>
    <w:qFormat/>
    <w:uiPriority w:val="0"/>
    <w:pPr>
      <w:adjustRightInd w:val="0"/>
      <w:spacing w:line="312" w:lineRule="atLeast"/>
      <w:ind w:firstLine="420"/>
      <w:textAlignment w:val="baseline"/>
    </w:pPr>
    <w:rPr>
      <w:kern w:val="0"/>
      <w:szCs w:val="20"/>
    </w:rPr>
  </w:style>
  <w:style w:type="character" w:customStyle="1" w:styleId="13">
    <w:name w:val="标题 6 Char"/>
    <w:link w:val="7"/>
    <w:qFormat/>
    <w:uiPriority w:val="0"/>
    <w:rPr>
      <w:rFonts w:ascii="Arial" w:hAnsi="Arial" w:eastAsia="黑体"/>
      <w:b/>
      <w:kern w:val="2"/>
      <w:sz w:val="24"/>
    </w:rPr>
  </w:style>
  <w:style w:type="paragraph" w:customStyle="1" w:styleId="14">
    <w:name w:val="Sub-Para 2 under X."/>
    <w:basedOn w:val="1"/>
    <w:qFormat/>
    <w:uiPriority w:val="0"/>
    <w:pPr>
      <w:numPr>
        <w:ilvl w:val="3"/>
        <w:numId w:val="1"/>
      </w:numPr>
      <w:ind w:left="1080" w:hanging="360"/>
    </w:pPr>
  </w:style>
  <w:style w:type="paragraph" w:customStyle="1" w:styleId="15">
    <w:name w:val="Sub-Para 3 under X."/>
    <w:basedOn w:val="1"/>
    <w:qFormat/>
    <w:uiPriority w:val="0"/>
    <w:pPr>
      <w:numPr>
        <w:ilvl w:val="4"/>
        <w:numId w:val="1"/>
      </w:numPr>
      <w:ind w:left="1440" w:hanging="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2022-02-25T01:38:00Z</dcterms:created>
  <dc:creator>Administrator</dc:creator>
  <cp:lastModifiedBy>四部审核</cp:lastModifiedBy>
  <dcterms:modified xsi:type="dcterms:W3CDTF">2022-03-22T04:21:21Z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435D8293DF9C4FDB8318AAFE8CCA61EF</vt:lpwstr>
  </property>
</Properties>
</file>