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Calibri" w:hAnsi="宋体"/>
          <w:b/>
          <w:bCs/>
          <w:color w:val="auto"/>
          <w:sz w:val="32"/>
          <w:szCs w:val="32"/>
          <w:highlight w:val="none"/>
          <w:u w:val="none" w:color="auto"/>
        </w:rPr>
      </w:pPr>
    </w:p>
    <w:p>
      <w:pPr>
        <w:jc w:val="center"/>
        <w:rPr>
          <w:rFonts w:hint="eastAsia" w:ascii="Calibri" w:hAnsi="宋体"/>
          <w:b/>
          <w:bCs/>
          <w:color w:val="auto"/>
          <w:sz w:val="32"/>
          <w:szCs w:val="32"/>
          <w:highlight w:val="none"/>
          <w:u w:val="none" w:color="auto"/>
          <w:lang w:val="en-US" w:eastAsia="zh-CN"/>
        </w:rPr>
      </w:pPr>
      <w:r>
        <w:rPr>
          <w:rFonts w:hint="eastAsia" w:ascii="Calibri" w:hAnsi="宋体"/>
          <w:b/>
          <w:bCs/>
          <w:color w:val="auto"/>
          <w:sz w:val="32"/>
          <w:szCs w:val="32"/>
          <w:highlight w:val="none"/>
          <w:u w:val="none" w:color="auto"/>
        </w:rPr>
        <w:t>武汉天河机场便利服务类柜台项目招商</w:t>
      </w:r>
      <w:r>
        <w:rPr>
          <w:rFonts w:hint="eastAsia" w:ascii="Calibri" w:hAnsi="宋体"/>
          <w:b/>
          <w:bCs/>
          <w:color w:val="auto"/>
          <w:sz w:val="32"/>
          <w:szCs w:val="32"/>
          <w:highlight w:val="none"/>
          <w:u w:val="none" w:color="auto"/>
          <w:lang w:val="en-US" w:eastAsia="zh-CN"/>
        </w:rPr>
        <w:t>公告</w:t>
      </w:r>
    </w:p>
    <w:p>
      <w:pPr>
        <w:jc w:val="center"/>
        <w:rPr>
          <w:rFonts w:hint="eastAsia" w:ascii="Calibri" w:hAnsi="宋体"/>
          <w:b/>
          <w:bCs/>
          <w:color w:val="auto"/>
          <w:sz w:val="32"/>
          <w:szCs w:val="32"/>
          <w:highlight w:val="none"/>
          <w:u w:val="none" w:color="auto"/>
          <w:lang w:val="en-US" w:eastAsia="zh-CN"/>
        </w:rPr>
      </w:pPr>
    </w:p>
    <w:p>
      <w:pPr>
        <w:widowControl w:val="0"/>
        <w:wordWrap/>
        <w:adjustRightInd/>
        <w:snapToGrid/>
        <w:spacing w:line="360" w:lineRule="auto"/>
        <w:ind w:right="0" w:firstLine="435"/>
        <w:jc w:val="both"/>
        <w:textAlignment w:val="auto"/>
        <w:rPr>
          <w:rFonts w:hint="eastAsia" w:ascii="宋体" w:hAnsi="宋体" w:cs="宋体"/>
          <w:color w:val="auto"/>
          <w:szCs w:val="21"/>
          <w:highlight w:val="none"/>
          <w:u w:val="none" w:color="auto"/>
        </w:rPr>
      </w:pPr>
      <w:r>
        <w:rPr>
          <w:rFonts w:hint="eastAsia" w:ascii="宋体" w:hAnsi="宋体" w:cs="宋体"/>
          <w:color w:val="auto"/>
          <w:szCs w:val="21"/>
        </w:rPr>
        <w:t>湖北省成</w:t>
      </w:r>
      <w:r>
        <w:rPr>
          <w:rFonts w:hint="eastAsia" w:ascii="宋体" w:hAnsi="宋体" w:cs="宋体"/>
          <w:b w:val="0"/>
          <w:bCs w:val="0"/>
          <w:color w:val="auto"/>
          <w:szCs w:val="21"/>
        </w:rPr>
        <w:t>套</w:t>
      </w:r>
      <w:r>
        <w:rPr>
          <w:rFonts w:hint="eastAsia" w:ascii="宋体" w:hAnsi="宋体" w:cs="宋体"/>
          <w:b w:val="0"/>
          <w:bCs w:val="0"/>
          <w:color w:val="auto"/>
          <w:szCs w:val="21"/>
          <w:u w:val="none" w:color="auto"/>
        </w:rPr>
        <w:t>招标股份有限</w:t>
      </w:r>
      <w:r>
        <w:rPr>
          <w:rFonts w:hint="eastAsia" w:ascii="宋体" w:hAnsi="宋体" w:cs="宋体"/>
          <w:b w:val="0"/>
          <w:bCs w:val="0"/>
          <w:color w:val="auto"/>
          <w:szCs w:val="21"/>
          <w:highlight w:val="none"/>
          <w:u w:val="none" w:color="auto"/>
        </w:rPr>
        <w:t>公司（以下简称“</w:t>
      </w:r>
      <w:r>
        <w:rPr>
          <w:rFonts w:hint="eastAsia" w:ascii="宋体" w:hAnsi="宋体" w:cs="宋体"/>
          <w:b w:val="0"/>
          <w:bCs w:val="0"/>
          <w:color w:val="auto"/>
          <w:szCs w:val="21"/>
          <w:highlight w:val="none"/>
          <w:u w:val="none" w:color="auto"/>
          <w:lang w:eastAsia="zh-CN"/>
        </w:rPr>
        <w:t>招商代理机构</w:t>
      </w:r>
      <w:r>
        <w:rPr>
          <w:rFonts w:hint="eastAsia" w:ascii="宋体" w:hAnsi="宋体" w:cs="宋体"/>
          <w:b w:val="0"/>
          <w:bCs w:val="0"/>
          <w:color w:val="auto"/>
          <w:szCs w:val="21"/>
          <w:highlight w:val="none"/>
          <w:u w:val="none" w:color="auto"/>
        </w:rPr>
        <w:t>”） 受</w:t>
      </w:r>
      <w:r>
        <w:rPr>
          <w:rFonts w:hint="eastAsia" w:ascii="宋体" w:hAnsi="宋体" w:cs="宋体"/>
          <w:b w:val="0"/>
          <w:bCs w:val="0"/>
          <w:color w:val="auto"/>
          <w:szCs w:val="21"/>
          <w:highlight w:val="none"/>
          <w:u w:val="none" w:color="auto"/>
          <w:lang w:eastAsia="zh-CN"/>
        </w:rPr>
        <w:t>湖北机场集团实业发展有限公司</w:t>
      </w:r>
      <w:r>
        <w:rPr>
          <w:rFonts w:hint="eastAsia" w:ascii="宋体" w:hAnsi="宋体" w:cs="宋体"/>
          <w:b w:val="0"/>
          <w:bCs w:val="0"/>
          <w:color w:val="auto"/>
          <w:szCs w:val="21"/>
          <w:highlight w:val="none"/>
          <w:u w:val="none" w:color="auto"/>
        </w:rPr>
        <w:t>（以下简称“</w:t>
      </w:r>
      <w:r>
        <w:rPr>
          <w:rFonts w:hint="eastAsia" w:ascii="宋体" w:hAnsi="宋体" w:cs="宋体"/>
          <w:b w:val="0"/>
          <w:bCs w:val="0"/>
          <w:color w:val="auto"/>
          <w:szCs w:val="21"/>
          <w:highlight w:val="none"/>
          <w:u w:val="none" w:color="auto"/>
          <w:lang w:eastAsia="zh-CN"/>
        </w:rPr>
        <w:t>招商人</w:t>
      </w:r>
      <w:r>
        <w:rPr>
          <w:rFonts w:hint="eastAsia" w:ascii="宋体" w:hAnsi="宋体" w:cs="宋体"/>
          <w:b w:val="0"/>
          <w:bCs w:val="0"/>
          <w:color w:val="auto"/>
          <w:szCs w:val="21"/>
          <w:highlight w:val="none"/>
          <w:u w:val="none" w:color="auto"/>
        </w:rPr>
        <w:t>”）的委托，对武汉天河机场便利服务类柜台项目进行</w:t>
      </w:r>
      <w:r>
        <w:rPr>
          <w:rFonts w:hint="eastAsia" w:ascii="宋体" w:hAnsi="宋体" w:cs="宋体"/>
          <w:b w:val="0"/>
          <w:bCs w:val="0"/>
          <w:color w:val="auto"/>
          <w:szCs w:val="21"/>
          <w:highlight w:val="none"/>
          <w:u w:val="none" w:color="auto"/>
          <w:lang w:val="en-US" w:eastAsia="zh-CN"/>
        </w:rPr>
        <w:t>招商</w:t>
      </w:r>
      <w:r>
        <w:rPr>
          <w:rFonts w:hint="eastAsia" w:ascii="宋体" w:hAnsi="宋体" w:cs="宋体"/>
          <w:b w:val="0"/>
          <w:bCs w:val="0"/>
          <w:color w:val="auto"/>
          <w:szCs w:val="21"/>
          <w:highlight w:val="none"/>
          <w:u w:val="none" w:color="auto"/>
        </w:rPr>
        <w:t>。资金来源：</w:t>
      </w:r>
      <w:r>
        <w:rPr>
          <w:rFonts w:hint="eastAsia" w:ascii="Calibri" w:hAnsi="宋体"/>
          <w:b w:val="0"/>
          <w:bCs w:val="0"/>
          <w:color w:val="auto"/>
          <w:szCs w:val="21"/>
          <w:highlight w:val="none"/>
          <w:u w:val="none" w:color="auto"/>
          <w:lang w:eastAsia="zh-CN"/>
        </w:rPr>
        <w:t>招商响应人</w:t>
      </w:r>
      <w:r>
        <w:rPr>
          <w:rFonts w:hint="eastAsia" w:ascii="Calibri" w:hAnsi="宋体"/>
          <w:b w:val="0"/>
          <w:bCs w:val="0"/>
          <w:color w:val="auto"/>
          <w:szCs w:val="21"/>
          <w:highlight w:val="none"/>
          <w:u w:val="none" w:color="auto"/>
        </w:rPr>
        <w:t>自筹</w:t>
      </w:r>
      <w:r>
        <w:rPr>
          <w:rFonts w:hint="eastAsia" w:ascii="宋体" w:hAnsi="宋体" w:cs="宋体"/>
          <w:b w:val="0"/>
          <w:bCs w:val="0"/>
          <w:color w:val="auto"/>
          <w:szCs w:val="21"/>
          <w:highlight w:val="none"/>
          <w:u w:val="none" w:color="auto"/>
        </w:rPr>
        <w:t>。欢迎符合资格条件的</w:t>
      </w:r>
      <w:r>
        <w:rPr>
          <w:rFonts w:hint="eastAsia" w:ascii="宋体" w:hAnsi="宋体" w:cs="宋体"/>
          <w:b w:val="0"/>
          <w:bCs w:val="0"/>
          <w:color w:val="auto"/>
          <w:szCs w:val="21"/>
          <w:highlight w:val="none"/>
          <w:u w:val="none" w:color="auto"/>
          <w:lang w:eastAsia="zh-CN"/>
        </w:rPr>
        <w:t>招商响应人</w:t>
      </w:r>
      <w:r>
        <w:rPr>
          <w:rFonts w:hint="eastAsia" w:ascii="宋体" w:hAnsi="宋体" w:cs="宋体"/>
          <w:b w:val="0"/>
          <w:bCs w:val="0"/>
          <w:color w:val="auto"/>
          <w:szCs w:val="21"/>
          <w:highlight w:val="none"/>
          <w:u w:val="none" w:color="auto"/>
        </w:rPr>
        <w:t>参加</w:t>
      </w:r>
      <w:r>
        <w:rPr>
          <w:rFonts w:hint="eastAsia" w:ascii="宋体" w:hAnsi="宋体" w:cs="宋体"/>
          <w:b w:val="0"/>
          <w:bCs w:val="0"/>
          <w:color w:val="auto"/>
          <w:szCs w:val="21"/>
          <w:highlight w:val="none"/>
          <w:u w:val="none" w:color="auto"/>
          <w:lang w:val="en-US" w:eastAsia="zh-CN"/>
        </w:rPr>
        <w:t>磋商</w:t>
      </w:r>
      <w:r>
        <w:rPr>
          <w:rFonts w:hint="eastAsia" w:ascii="宋体" w:hAnsi="宋体" w:cs="宋体"/>
          <w:b w:val="0"/>
          <w:bCs w:val="0"/>
          <w:color w:val="auto"/>
          <w:szCs w:val="21"/>
          <w:highlight w:val="none"/>
          <w:u w:val="none" w:color="auto"/>
        </w:rPr>
        <w:t>。</w:t>
      </w:r>
    </w:p>
    <w:p>
      <w:pPr>
        <w:widowControl w:val="0"/>
        <w:wordWrap/>
        <w:adjustRightInd/>
        <w:snapToGrid/>
        <w:spacing w:before="120" w:beforeLines="50" w:after="120" w:afterLines="50" w:line="360" w:lineRule="auto"/>
        <w:ind w:right="0"/>
        <w:jc w:val="both"/>
        <w:textAlignment w:val="auto"/>
        <w:outlineLvl w:val="1"/>
        <w:rPr>
          <w:rFonts w:hint="eastAsia" w:ascii="宋体" w:hAnsi="宋体" w:cs="宋体"/>
          <w:b/>
          <w:color w:val="auto"/>
          <w:szCs w:val="21"/>
          <w:highlight w:val="none"/>
          <w:u w:val="none" w:color="auto"/>
        </w:rPr>
      </w:pPr>
      <w:bookmarkStart w:id="0" w:name="_Toc365302267"/>
      <w:bookmarkStart w:id="1" w:name="_Toc380747815"/>
      <w:bookmarkStart w:id="2" w:name="_Toc6581"/>
      <w:bookmarkStart w:id="3" w:name="_Toc23331"/>
      <w:bookmarkStart w:id="4" w:name="_Toc9876"/>
      <w:bookmarkStart w:id="5" w:name="_Toc24986"/>
      <w:bookmarkStart w:id="6" w:name="_Toc19939"/>
      <w:r>
        <w:rPr>
          <w:rFonts w:hint="eastAsia" w:ascii="宋体" w:hAnsi="宋体" w:cs="宋体"/>
          <w:b/>
          <w:color w:val="auto"/>
          <w:szCs w:val="21"/>
          <w:highlight w:val="none"/>
          <w:u w:val="none" w:color="auto"/>
        </w:rPr>
        <w:t>一、项目</w:t>
      </w:r>
      <w:bookmarkEnd w:id="0"/>
      <w:bookmarkEnd w:id="1"/>
      <w:bookmarkEnd w:id="2"/>
      <w:r>
        <w:rPr>
          <w:rFonts w:hint="eastAsia" w:ascii="宋体" w:hAnsi="宋体" w:cs="宋体"/>
          <w:b/>
          <w:color w:val="auto"/>
          <w:szCs w:val="21"/>
          <w:highlight w:val="none"/>
          <w:u w:val="none" w:color="auto"/>
        </w:rPr>
        <w:t>概况</w:t>
      </w:r>
      <w:bookmarkEnd w:id="3"/>
      <w:bookmarkEnd w:id="4"/>
      <w:bookmarkEnd w:id="5"/>
      <w:bookmarkEnd w:id="6"/>
    </w:p>
    <w:p>
      <w:pPr>
        <w:widowControl w:val="0"/>
        <w:wordWrap/>
        <w:adjustRightInd/>
        <w:snapToGrid/>
        <w:spacing w:line="360" w:lineRule="auto"/>
        <w:ind w:right="0"/>
        <w:jc w:val="both"/>
        <w:textAlignment w:val="auto"/>
        <w:rPr>
          <w:rFonts w:hint="eastAsia" w:ascii="宋体" w:hAnsi="宋体" w:eastAsia="宋体"/>
          <w:b/>
          <w:szCs w:val="21"/>
          <w:lang w:eastAsia="zh-CN"/>
        </w:rPr>
      </w:pPr>
      <w:r>
        <w:rPr>
          <w:rFonts w:hint="eastAsia" w:ascii="宋体" w:hAnsi="宋体" w:cs="宋体"/>
          <w:color w:val="auto"/>
          <w:szCs w:val="21"/>
          <w:highlight w:val="none"/>
          <w:u w:val="none" w:color="auto"/>
        </w:rPr>
        <w:t>1.</w:t>
      </w:r>
      <w:r>
        <w:rPr>
          <w:rFonts w:hint="eastAsia" w:ascii="宋体" w:hAnsi="宋体" w:cs="宋体"/>
          <w:b w:val="0"/>
          <w:bCs w:val="0"/>
          <w:color w:val="auto"/>
          <w:szCs w:val="21"/>
          <w:highlight w:val="none"/>
          <w:u w:val="none" w:color="auto"/>
          <w:lang w:eastAsia="zh-CN"/>
        </w:rPr>
        <w:t>招商人</w:t>
      </w:r>
      <w:r>
        <w:rPr>
          <w:rFonts w:hint="eastAsia" w:ascii="宋体" w:hAnsi="宋体" w:cs="宋体"/>
          <w:b w:val="0"/>
          <w:bCs w:val="0"/>
          <w:color w:val="auto"/>
          <w:szCs w:val="21"/>
          <w:highlight w:val="none"/>
          <w:u w:val="none" w:color="auto"/>
        </w:rPr>
        <w:t>：</w:t>
      </w:r>
      <w:r>
        <w:rPr>
          <w:rFonts w:hint="eastAsia" w:ascii="Calibri" w:hAnsi="宋体"/>
          <w:b w:val="0"/>
          <w:bCs w:val="0"/>
          <w:color w:val="auto"/>
          <w:szCs w:val="21"/>
          <w:highlight w:val="none"/>
          <w:u w:val="none" w:color="auto"/>
          <w:lang w:eastAsia="zh-CN"/>
        </w:rPr>
        <w:t>湖北机场集团实业发展有限公司</w:t>
      </w:r>
    </w:p>
    <w:p>
      <w:pPr>
        <w:widowControl w:val="0"/>
        <w:wordWrap/>
        <w:adjustRightInd/>
        <w:snapToGrid/>
        <w:spacing w:line="360" w:lineRule="auto"/>
        <w:ind w:right="0"/>
        <w:jc w:val="both"/>
        <w:textAlignment w:val="auto"/>
        <w:rPr>
          <w:rFonts w:hint="eastAsia" w:ascii="Calibri" w:hAnsi="宋体"/>
          <w:b w:val="0"/>
          <w:bCs w:val="0"/>
          <w:color w:val="auto"/>
          <w:szCs w:val="21"/>
          <w:highlight w:val="none"/>
          <w:u w:val="none" w:color="auto"/>
        </w:rPr>
      </w:pPr>
      <w:r>
        <w:rPr>
          <w:rFonts w:hint="eastAsia" w:ascii="宋体" w:hAnsi="宋体" w:cs="宋体"/>
          <w:b w:val="0"/>
          <w:bCs w:val="0"/>
          <w:color w:val="auto"/>
          <w:szCs w:val="21"/>
          <w:highlight w:val="none"/>
          <w:u w:val="none" w:color="auto"/>
        </w:rPr>
        <w:t>2.项目名称：</w:t>
      </w:r>
      <w:r>
        <w:rPr>
          <w:rFonts w:hint="eastAsia" w:ascii="Calibri" w:hAnsi="宋体"/>
          <w:b w:val="0"/>
          <w:bCs w:val="0"/>
          <w:color w:val="auto"/>
          <w:szCs w:val="21"/>
          <w:highlight w:val="none"/>
          <w:u w:val="none" w:color="auto"/>
        </w:rPr>
        <w:t>武汉天河机场便利服务类柜台项目招商</w:t>
      </w:r>
    </w:p>
    <w:p>
      <w:pPr>
        <w:widowControl w:val="0"/>
        <w:wordWrap/>
        <w:adjustRightInd/>
        <w:snapToGrid/>
        <w:spacing w:line="360" w:lineRule="auto"/>
        <w:ind w:right="0"/>
        <w:jc w:val="both"/>
        <w:textAlignment w:val="auto"/>
        <w:rPr>
          <w:rFonts w:hint="eastAsia" w:ascii="Calibri" w:hAnsi="宋体"/>
          <w:b w:val="0"/>
          <w:bCs w:val="0"/>
          <w:color w:val="auto"/>
          <w:szCs w:val="21"/>
          <w:highlight w:val="none"/>
          <w:u w:val="none" w:color="auto"/>
        </w:rPr>
      </w:pPr>
      <w:r>
        <w:rPr>
          <w:rFonts w:hint="eastAsia" w:ascii="Calibri" w:hAnsi="宋体"/>
          <w:b w:val="0"/>
          <w:bCs w:val="0"/>
          <w:color w:val="auto"/>
          <w:szCs w:val="21"/>
          <w:highlight w:val="none"/>
          <w:u w:val="none" w:color="auto"/>
        </w:rPr>
        <w:t>3.项目编号：HBCZ-20060959-202741</w:t>
      </w:r>
      <w:r>
        <w:rPr>
          <w:rFonts w:hint="eastAsia" w:ascii="Calibri" w:hAnsi="宋体"/>
          <w:b w:val="0"/>
          <w:bCs w:val="0"/>
          <w:color w:val="auto"/>
          <w:szCs w:val="21"/>
          <w:highlight w:val="none"/>
          <w:u w:val="none" w:color="auto"/>
          <w:lang w:val="en-US" w:eastAsia="zh-CN"/>
        </w:rPr>
        <w:t xml:space="preserve"> </w:t>
      </w:r>
    </w:p>
    <w:p>
      <w:pPr>
        <w:widowControl w:val="0"/>
        <w:wordWrap/>
        <w:adjustRightInd/>
        <w:snapToGrid/>
        <w:spacing w:line="360" w:lineRule="auto"/>
        <w:ind w:right="0"/>
        <w:jc w:val="both"/>
        <w:textAlignment w:val="auto"/>
        <w:rPr>
          <w:rFonts w:hint="eastAsia" w:ascii="Calibri" w:hAnsi="宋体"/>
          <w:b w:val="0"/>
          <w:bCs w:val="0"/>
          <w:color w:val="auto"/>
          <w:szCs w:val="21"/>
          <w:highlight w:val="none"/>
          <w:u w:val="none" w:color="auto"/>
          <w:lang w:val="en-US" w:eastAsia="zh-CN"/>
        </w:rPr>
      </w:pPr>
      <w:r>
        <w:rPr>
          <w:rFonts w:hint="eastAsia" w:ascii="宋体" w:hAnsi="宋体" w:cs="宋体"/>
          <w:b w:val="0"/>
          <w:bCs w:val="0"/>
          <w:color w:val="auto"/>
          <w:szCs w:val="21"/>
          <w:highlight w:val="none"/>
          <w:u w:val="none" w:color="auto"/>
        </w:rPr>
        <w:t>4.</w:t>
      </w:r>
      <w:r>
        <w:rPr>
          <w:rFonts w:hint="eastAsia" w:ascii="宋体" w:hAnsi="宋体" w:cs="宋体"/>
          <w:b w:val="0"/>
          <w:bCs w:val="0"/>
          <w:color w:val="auto"/>
          <w:szCs w:val="21"/>
          <w:highlight w:val="none"/>
          <w:u w:val="none" w:color="auto"/>
          <w:lang w:val="en-US" w:eastAsia="zh-CN"/>
        </w:rPr>
        <w:t>招商</w:t>
      </w:r>
      <w:r>
        <w:rPr>
          <w:rFonts w:hint="eastAsia" w:ascii="宋体" w:hAnsi="宋体" w:cs="宋体"/>
          <w:b w:val="0"/>
          <w:bCs w:val="0"/>
          <w:color w:val="auto"/>
          <w:szCs w:val="21"/>
          <w:highlight w:val="none"/>
          <w:u w:val="none" w:color="auto"/>
        </w:rPr>
        <w:t>内容</w:t>
      </w:r>
      <w:r>
        <w:rPr>
          <w:rFonts w:hint="eastAsia"/>
          <w:b w:val="0"/>
          <w:bCs w:val="0"/>
          <w:color w:val="auto"/>
          <w:szCs w:val="21"/>
          <w:highlight w:val="none"/>
          <w:u w:val="none" w:color="auto"/>
        </w:rPr>
        <w:t>：本次招商项目包括</w:t>
      </w:r>
      <w:r>
        <w:rPr>
          <w:rFonts w:hint="eastAsia" w:ascii="宋体" w:hAnsi="宋体" w:eastAsia="宋体" w:cs="宋体"/>
          <w:color w:val="auto"/>
          <w:sz w:val="21"/>
          <w:szCs w:val="21"/>
        </w:rPr>
        <w:t>WIFI租赁柜台</w:t>
      </w: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lang w:val="en-US" w:eastAsia="zh-CN" w:bidi="ar-SA"/>
        </w:rPr>
        <w:t>国内/国际售票柜台，咨询、商务服务柜台</w:t>
      </w:r>
      <w:r>
        <w:rPr>
          <w:rFonts w:hint="eastAsia"/>
          <w:b w:val="0"/>
          <w:bCs w:val="0"/>
          <w:color w:val="auto"/>
          <w:szCs w:val="21"/>
          <w:highlight w:val="none"/>
          <w:u w:val="none" w:color="auto"/>
        </w:rPr>
        <w:t>，位于T3航站楼四层出发厅值机服务H岛及东、西便利服务岛区域</w:t>
      </w:r>
      <w:r>
        <w:rPr>
          <w:rFonts w:hint="eastAsia" w:ascii="宋体" w:hAnsi="宋体" w:eastAsia="宋体" w:cs="宋体"/>
          <w:color w:val="auto"/>
          <w:kern w:val="0"/>
          <w:sz w:val="21"/>
          <w:szCs w:val="21"/>
          <w:lang w:val="en-US" w:eastAsia="zh-CN"/>
        </w:rPr>
        <w:t>（所有柜台均不得经营售卡业务）</w:t>
      </w:r>
      <w:r>
        <w:rPr>
          <w:rFonts w:hint="eastAsia" w:ascii="Calibri" w:hAnsi="宋体"/>
          <w:b w:val="0"/>
          <w:bCs w:val="0"/>
          <w:color w:val="auto"/>
          <w:szCs w:val="21"/>
          <w:highlight w:val="none"/>
          <w:u w:val="none" w:color="auto"/>
          <w:lang w:val="en-US" w:eastAsia="zh-CN"/>
        </w:rPr>
        <w:t>，共分15个标段，具体内容详见第三章招商需求。</w:t>
      </w:r>
    </w:p>
    <w:tbl>
      <w:tblPr>
        <w:tblStyle w:val="7"/>
        <w:tblW w:w="8803" w:type="dxa"/>
        <w:jc w:val="center"/>
        <w:tblInd w:w="-39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363"/>
        <w:gridCol w:w="1437"/>
        <w:gridCol w:w="1338"/>
        <w:gridCol w:w="18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b/>
                <w:bCs w:val="0"/>
                <w:color w:val="auto"/>
                <w:sz w:val="21"/>
                <w:szCs w:val="21"/>
              </w:rPr>
            </w:pPr>
            <w:bookmarkStart w:id="7" w:name="_Toc26049"/>
            <w:bookmarkStart w:id="8" w:name="_Toc25557"/>
            <w:bookmarkStart w:id="9" w:name="_Toc17887"/>
            <w:bookmarkStart w:id="10" w:name="_Toc458503196"/>
            <w:bookmarkStart w:id="11" w:name="_Toc13835"/>
            <w:bookmarkStart w:id="12" w:name="_Toc27593"/>
            <w:bookmarkStart w:id="13" w:name="_Toc1298"/>
            <w:r>
              <w:rPr>
                <w:rFonts w:hint="eastAsia" w:ascii="宋体" w:hAnsi="宋体" w:eastAsia="宋体" w:cs="宋体"/>
                <w:b/>
                <w:bCs w:val="0"/>
                <w:color w:val="auto"/>
                <w:sz w:val="21"/>
                <w:szCs w:val="21"/>
              </w:rPr>
              <w:t>标段</w:t>
            </w:r>
          </w:p>
        </w:tc>
        <w:tc>
          <w:tcPr>
            <w:tcW w:w="3363" w:type="dxa"/>
            <w:tcBorders>
              <w:tl2br w:val="nil"/>
              <w:tr2bl w:val="nil"/>
            </w:tcBorders>
            <w:vAlign w:val="center"/>
          </w:tcPr>
          <w:p>
            <w:pPr>
              <w:spacing w:line="58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招商项目</w:t>
            </w:r>
          </w:p>
        </w:tc>
        <w:tc>
          <w:tcPr>
            <w:tcW w:w="1437" w:type="dxa"/>
            <w:tcBorders>
              <w:tl2br w:val="nil"/>
              <w:tr2bl w:val="nil"/>
            </w:tcBorders>
            <w:vAlign w:val="center"/>
          </w:tcPr>
          <w:p>
            <w:pPr>
              <w:spacing w:line="58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柜台编号</w:t>
            </w:r>
          </w:p>
        </w:tc>
        <w:tc>
          <w:tcPr>
            <w:tcW w:w="1338" w:type="dxa"/>
            <w:tcBorders>
              <w:tl2br w:val="nil"/>
              <w:tr2bl w:val="nil"/>
            </w:tcBorders>
            <w:vAlign w:val="center"/>
          </w:tcPr>
          <w:p>
            <w:pPr>
              <w:spacing w:line="58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数量</w:t>
            </w:r>
          </w:p>
        </w:tc>
        <w:tc>
          <w:tcPr>
            <w:tcW w:w="1866" w:type="dxa"/>
            <w:tcBorders>
              <w:tl2br w:val="nil"/>
              <w:tr2bl w:val="nil"/>
            </w:tcBorders>
            <w:vAlign w:val="center"/>
          </w:tcPr>
          <w:p>
            <w:pPr>
              <w:spacing w:line="58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区域位置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363" w:type="dxa"/>
            <w:vMerge w:val="restart"/>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WIFI租赁柜台</w:t>
            </w:r>
          </w:p>
        </w:tc>
        <w:tc>
          <w:tcPr>
            <w:tcW w:w="1437" w:type="dxa"/>
            <w:tcBorders>
              <w:tl2br w:val="nil"/>
              <w:tr2bl w:val="nil"/>
            </w:tcBorders>
            <w:vAlign w:val="center"/>
          </w:tcPr>
          <w:p>
            <w:pPr>
              <w:spacing w:line="5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38号</w:t>
            </w:r>
          </w:p>
        </w:tc>
        <w:tc>
          <w:tcPr>
            <w:tcW w:w="1338"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1节</w:t>
            </w:r>
          </w:p>
        </w:tc>
        <w:tc>
          <w:tcPr>
            <w:tcW w:w="1866" w:type="dxa"/>
            <w:vMerge w:val="restart"/>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T3四层出发厅</w:t>
            </w:r>
            <w:r>
              <w:rPr>
                <w:rFonts w:hint="eastAsia" w:ascii="宋体" w:hAnsi="宋体" w:eastAsia="宋体" w:cs="宋体"/>
                <w:color w:val="auto"/>
                <w:sz w:val="21"/>
                <w:szCs w:val="21"/>
              </w:rPr>
              <w:t>值机服务H岛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sz w:val="21"/>
                <w:szCs w:val="21"/>
              </w:rPr>
            </w:pPr>
          </w:p>
        </w:tc>
        <w:tc>
          <w:tcPr>
            <w:tcW w:w="1437" w:type="dxa"/>
            <w:tcBorders>
              <w:tl2br w:val="nil"/>
              <w:tr2bl w:val="nil"/>
            </w:tcBorders>
            <w:vAlign w:val="center"/>
          </w:tcPr>
          <w:p>
            <w:pPr>
              <w:spacing w:line="5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39号</w:t>
            </w:r>
          </w:p>
        </w:tc>
        <w:tc>
          <w:tcPr>
            <w:tcW w:w="1338"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1节</w:t>
            </w:r>
          </w:p>
        </w:tc>
        <w:tc>
          <w:tcPr>
            <w:tcW w:w="1866" w:type="dxa"/>
            <w:vMerge w:val="continue"/>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sz w:val="21"/>
                <w:szCs w:val="21"/>
              </w:rPr>
            </w:pPr>
          </w:p>
        </w:tc>
        <w:tc>
          <w:tcPr>
            <w:tcW w:w="1437" w:type="dxa"/>
            <w:tcBorders>
              <w:tl2br w:val="nil"/>
              <w:tr2bl w:val="nil"/>
            </w:tcBorders>
            <w:vAlign w:val="center"/>
          </w:tcPr>
          <w:p>
            <w:pPr>
              <w:spacing w:line="5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40号</w:t>
            </w:r>
          </w:p>
        </w:tc>
        <w:tc>
          <w:tcPr>
            <w:tcW w:w="1338" w:type="dxa"/>
            <w:tcBorders>
              <w:tl2br w:val="nil"/>
              <w:tr2bl w:val="nil"/>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1节</w:t>
            </w:r>
          </w:p>
        </w:tc>
        <w:tc>
          <w:tcPr>
            <w:tcW w:w="1866" w:type="dxa"/>
            <w:vMerge w:val="continue"/>
            <w:tcBorders>
              <w:tl2br w:val="nil"/>
              <w:tr2bl w:val="nil"/>
            </w:tcBorders>
            <w:vAlign w:val="center"/>
          </w:tcPr>
          <w:p>
            <w:pPr>
              <w:spacing w:line="580" w:lineRule="exact"/>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sz w:val="21"/>
                <w:szCs w:val="21"/>
              </w:rPr>
            </w:pPr>
          </w:p>
        </w:tc>
        <w:tc>
          <w:tcPr>
            <w:tcW w:w="1437" w:type="dxa"/>
            <w:tcBorders>
              <w:tl2br w:val="nil"/>
              <w:tr2bl w:val="nil"/>
            </w:tcBorders>
            <w:vAlign w:val="center"/>
          </w:tcPr>
          <w:p>
            <w:pPr>
              <w:spacing w:line="5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41号</w:t>
            </w:r>
          </w:p>
        </w:tc>
        <w:tc>
          <w:tcPr>
            <w:tcW w:w="1338" w:type="dxa"/>
            <w:tcBorders>
              <w:tl2br w:val="nil"/>
              <w:tr2bl w:val="nil"/>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1节</w:t>
            </w:r>
          </w:p>
        </w:tc>
        <w:tc>
          <w:tcPr>
            <w:tcW w:w="1866" w:type="dxa"/>
            <w:vMerge w:val="continue"/>
            <w:tcBorders>
              <w:tl2br w:val="nil"/>
              <w:tr2bl w:val="nil"/>
            </w:tcBorders>
            <w:vAlign w:val="center"/>
          </w:tcPr>
          <w:p>
            <w:pPr>
              <w:spacing w:line="580" w:lineRule="exact"/>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sz w:val="21"/>
                <w:szCs w:val="21"/>
              </w:rPr>
            </w:pPr>
          </w:p>
        </w:tc>
        <w:tc>
          <w:tcPr>
            <w:tcW w:w="1437" w:type="dxa"/>
            <w:tcBorders>
              <w:tl2br w:val="nil"/>
              <w:tr2bl w:val="nil"/>
            </w:tcBorders>
            <w:vAlign w:val="center"/>
          </w:tcPr>
          <w:p>
            <w:pPr>
              <w:spacing w:line="5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45号</w:t>
            </w:r>
          </w:p>
        </w:tc>
        <w:tc>
          <w:tcPr>
            <w:tcW w:w="1338"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1节</w:t>
            </w:r>
          </w:p>
        </w:tc>
        <w:tc>
          <w:tcPr>
            <w:tcW w:w="1866" w:type="dxa"/>
            <w:vMerge w:val="continue"/>
            <w:tcBorders>
              <w:tl2br w:val="nil"/>
              <w:tr2bl w:val="nil"/>
            </w:tcBorders>
            <w:vAlign w:val="center"/>
          </w:tcPr>
          <w:p>
            <w:pPr>
              <w:spacing w:line="580" w:lineRule="exact"/>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sz w:val="21"/>
                <w:szCs w:val="21"/>
              </w:rPr>
            </w:pPr>
          </w:p>
        </w:tc>
        <w:tc>
          <w:tcPr>
            <w:tcW w:w="1437" w:type="dxa"/>
            <w:tcBorders>
              <w:tl2br w:val="nil"/>
              <w:tr2bl w:val="nil"/>
            </w:tcBorders>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46号</w:t>
            </w:r>
          </w:p>
        </w:tc>
        <w:tc>
          <w:tcPr>
            <w:tcW w:w="1338" w:type="dxa"/>
            <w:tcBorders>
              <w:tl2br w:val="nil"/>
              <w:tr2bl w:val="nil"/>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1节</w:t>
            </w:r>
          </w:p>
        </w:tc>
        <w:tc>
          <w:tcPr>
            <w:tcW w:w="1866" w:type="dxa"/>
            <w:vMerge w:val="continue"/>
            <w:tcBorders>
              <w:tl2br w:val="nil"/>
              <w:tr2bl w:val="nil"/>
            </w:tcBorders>
            <w:vAlign w:val="center"/>
          </w:tcPr>
          <w:p>
            <w:pPr>
              <w:spacing w:line="580" w:lineRule="exact"/>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sz w:val="21"/>
                <w:szCs w:val="21"/>
              </w:rPr>
            </w:pPr>
          </w:p>
        </w:tc>
        <w:tc>
          <w:tcPr>
            <w:tcW w:w="1437" w:type="dxa"/>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48号</w:t>
            </w:r>
          </w:p>
        </w:tc>
        <w:tc>
          <w:tcPr>
            <w:tcW w:w="1338" w:type="dxa"/>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1节</w:t>
            </w:r>
          </w:p>
        </w:tc>
        <w:tc>
          <w:tcPr>
            <w:tcW w:w="1866" w:type="dxa"/>
            <w:vMerge w:val="continue"/>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363" w:type="dxa"/>
            <w:vMerge w:val="restart"/>
            <w:tcBorders>
              <w:tl2br w:val="nil"/>
              <w:tr2bl w:val="nil"/>
            </w:tcBorders>
            <w:vAlign w:val="center"/>
          </w:tcPr>
          <w:p>
            <w:pPr>
              <w:spacing w:line="58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国内/国际售票柜台</w:t>
            </w:r>
            <w:r>
              <w:rPr>
                <w:rFonts w:hint="eastAsia" w:ascii="宋体" w:hAnsi="宋体" w:eastAsia="宋体" w:cs="宋体"/>
                <w:color w:val="auto"/>
                <w:sz w:val="21"/>
                <w:szCs w:val="21"/>
                <w:lang w:eastAsia="zh-CN"/>
              </w:rPr>
              <w:t>，</w:t>
            </w:r>
          </w:p>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咨询、商务服务柜台</w:t>
            </w:r>
          </w:p>
        </w:tc>
        <w:tc>
          <w:tcPr>
            <w:tcW w:w="1437" w:type="dxa"/>
            <w:tcBorders>
              <w:tl2br w:val="nil"/>
              <w:tr2bl w:val="nil"/>
            </w:tcBorders>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338" w:type="dxa"/>
            <w:tcBorders>
              <w:tl2br w:val="nil"/>
              <w:tr2bl w:val="nil"/>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1节</w:t>
            </w:r>
          </w:p>
        </w:tc>
        <w:tc>
          <w:tcPr>
            <w:tcW w:w="1866" w:type="dxa"/>
            <w:vMerge w:val="restart"/>
            <w:tcBorders>
              <w:tl2br w:val="nil"/>
              <w:tr2bl w:val="nil"/>
            </w:tcBorders>
            <w:vAlign w:val="center"/>
          </w:tcPr>
          <w:p>
            <w:pPr>
              <w:spacing w:line="5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东便利服务岛（T3四层出发厅2、3号门之间）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p>
        </w:tc>
        <w:tc>
          <w:tcPr>
            <w:tcW w:w="1437"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1338"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1节</w:t>
            </w:r>
          </w:p>
        </w:tc>
        <w:tc>
          <w:tcPr>
            <w:tcW w:w="1866" w:type="dxa"/>
            <w:vMerge w:val="continue"/>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p>
        </w:tc>
        <w:tc>
          <w:tcPr>
            <w:tcW w:w="1437"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1338"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1节</w:t>
            </w:r>
          </w:p>
        </w:tc>
        <w:tc>
          <w:tcPr>
            <w:tcW w:w="1866" w:type="dxa"/>
            <w:vMerge w:val="continue"/>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11</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p>
        </w:tc>
        <w:tc>
          <w:tcPr>
            <w:tcW w:w="1437"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1338" w:type="dxa"/>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1节</w:t>
            </w:r>
          </w:p>
        </w:tc>
        <w:tc>
          <w:tcPr>
            <w:tcW w:w="1866" w:type="dxa"/>
            <w:vMerge w:val="continue"/>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12</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p>
        </w:tc>
        <w:tc>
          <w:tcPr>
            <w:tcW w:w="1437"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1338" w:type="dxa"/>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1节</w:t>
            </w:r>
          </w:p>
        </w:tc>
        <w:tc>
          <w:tcPr>
            <w:tcW w:w="1866" w:type="dxa"/>
            <w:vMerge w:val="restart"/>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西便利服务岛（T3四层出发厅3、4号门之间）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13</w:t>
            </w:r>
          </w:p>
        </w:tc>
        <w:tc>
          <w:tcPr>
            <w:tcW w:w="3363" w:type="dxa"/>
            <w:vMerge w:val="continue"/>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p>
        </w:tc>
        <w:tc>
          <w:tcPr>
            <w:tcW w:w="1437"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1338"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1节</w:t>
            </w:r>
          </w:p>
        </w:tc>
        <w:tc>
          <w:tcPr>
            <w:tcW w:w="1866" w:type="dxa"/>
            <w:vMerge w:val="continue"/>
            <w:tcBorders>
              <w:tl2br w:val="nil"/>
              <w:tr2bl w:val="nil"/>
            </w:tcBorders>
            <w:vAlign w:val="top"/>
          </w:tcPr>
          <w:p>
            <w:pPr>
              <w:spacing w:line="580" w:lineRule="exact"/>
              <w:jc w:val="center"/>
              <w:rPr>
                <w:rFonts w:hint="eastAsia" w:ascii="宋体" w:hAnsi="宋体" w:eastAsia="宋体" w:cs="宋体"/>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14</w:t>
            </w:r>
          </w:p>
        </w:tc>
        <w:tc>
          <w:tcPr>
            <w:tcW w:w="3363" w:type="dxa"/>
            <w:vMerge w:val="continue"/>
            <w:tcBorders>
              <w:tl2br w:val="nil"/>
              <w:tr2bl w:val="nil"/>
            </w:tcBorders>
            <w:vAlign w:val="top"/>
          </w:tcPr>
          <w:p>
            <w:pPr>
              <w:spacing w:line="580" w:lineRule="exact"/>
              <w:jc w:val="center"/>
              <w:rPr>
                <w:rFonts w:hint="eastAsia" w:ascii="宋体" w:hAnsi="宋体" w:eastAsia="宋体" w:cs="宋体"/>
                <w:color w:val="auto"/>
                <w:kern w:val="2"/>
                <w:sz w:val="21"/>
                <w:szCs w:val="21"/>
                <w:lang w:val="en-US" w:eastAsia="zh-CN" w:bidi="ar-SA"/>
              </w:rPr>
            </w:pPr>
          </w:p>
        </w:tc>
        <w:tc>
          <w:tcPr>
            <w:tcW w:w="1437" w:type="dxa"/>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1338"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1节</w:t>
            </w:r>
          </w:p>
        </w:tc>
        <w:tc>
          <w:tcPr>
            <w:tcW w:w="1866" w:type="dxa"/>
            <w:vMerge w:val="continue"/>
            <w:tcBorders>
              <w:tl2br w:val="nil"/>
              <w:tr2bl w:val="nil"/>
            </w:tcBorders>
            <w:vAlign w:val="top"/>
          </w:tcPr>
          <w:p>
            <w:pPr>
              <w:spacing w:line="580" w:lineRule="exact"/>
              <w:jc w:val="center"/>
              <w:rPr>
                <w:rFonts w:hint="eastAsia" w:ascii="宋体" w:hAnsi="宋体" w:eastAsia="宋体" w:cs="宋体"/>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99" w:type="dxa"/>
            <w:tcBorders>
              <w:tl2br w:val="nil"/>
              <w:tr2bl w:val="nil"/>
            </w:tcBorders>
            <w:vAlign w:val="center"/>
          </w:tcPr>
          <w:p>
            <w:pPr>
              <w:spacing w:line="5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3363" w:type="dxa"/>
            <w:vMerge w:val="continue"/>
            <w:tcBorders>
              <w:tl2br w:val="nil"/>
              <w:tr2bl w:val="nil"/>
            </w:tcBorders>
            <w:vAlign w:val="top"/>
          </w:tcPr>
          <w:p>
            <w:pPr>
              <w:spacing w:line="580" w:lineRule="exact"/>
              <w:jc w:val="center"/>
              <w:rPr>
                <w:rFonts w:hint="eastAsia" w:ascii="宋体" w:hAnsi="宋体" w:eastAsia="宋体" w:cs="宋体"/>
                <w:color w:val="auto"/>
                <w:kern w:val="2"/>
                <w:sz w:val="21"/>
                <w:szCs w:val="21"/>
                <w:lang w:val="en-US" w:eastAsia="zh-CN" w:bidi="ar-SA"/>
              </w:rPr>
            </w:pPr>
          </w:p>
        </w:tc>
        <w:tc>
          <w:tcPr>
            <w:tcW w:w="1437" w:type="dxa"/>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1338" w:type="dxa"/>
            <w:tcBorders>
              <w:tl2br w:val="nil"/>
              <w:tr2bl w:val="nil"/>
            </w:tcBorders>
            <w:vAlign w:val="center"/>
          </w:tcPr>
          <w:p>
            <w:pPr>
              <w:spacing w:line="5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1节</w:t>
            </w:r>
          </w:p>
        </w:tc>
        <w:tc>
          <w:tcPr>
            <w:tcW w:w="1866" w:type="dxa"/>
            <w:vMerge w:val="continue"/>
            <w:tcBorders>
              <w:tl2br w:val="nil"/>
              <w:tr2bl w:val="nil"/>
            </w:tcBorders>
            <w:vAlign w:val="top"/>
          </w:tcPr>
          <w:p>
            <w:pPr>
              <w:spacing w:line="580" w:lineRule="exact"/>
              <w:jc w:val="center"/>
              <w:rPr>
                <w:rFonts w:hint="eastAsia" w:ascii="宋体" w:hAnsi="宋体" w:eastAsia="宋体" w:cs="宋体"/>
                <w:color w:val="auto"/>
                <w:kern w:val="2"/>
                <w:sz w:val="21"/>
                <w:szCs w:val="21"/>
                <w:lang w:val="en-US" w:eastAsia="zh-CN" w:bidi="ar-SA"/>
              </w:rPr>
            </w:pPr>
          </w:p>
        </w:tc>
      </w:tr>
    </w:tbl>
    <w:p>
      <w:pPr>
        <w:widowControl w:val="0"/>
        <w:wordWrap/>
        <w:autoSpaceDE w:val="0"/>
        <w:autoSpaceDN w:val="0"/>
        <w:adjustRightInd/>
        <w:snapToGrid/>
        <w:spacing w:line="360" w:lineRule="auto"/>
        <w:ind w:right="0"/>
        <w:jc w:val="both"/>
        <w:textAlignment w:val="auto"/>
        <w:outlineLvl w:val="1"/>
        <w:rPr>
          <w:rFonts w:hint="eastAsia" w:ascii="宋体" w:hAnsi="宋体" w:cs="宋体"/>
          <w:b/>
          <w:bCs/>
          <w:color w:val="auto"/>
          <w:kern w:val="0"/>
          <w:szCs w:val="21"/>
          <w:highlight w:val="none"/>
          <w:u w:val="none" w:color="auto"/>
          <w:lang w:val="en-US" w:eastAsia="zh-CN"/>
        </w:rPr>
      </w:pPr>
      <w:bookmarkStart w:id="14" w:name="_Toc26989"/>
      <w:bookmarkStart w:id="15" w:name="_Toc7554"/>
      <w:r>
        <w:rPr>
          <w:rFonts w:hint="eastAsia" w:ascii="宋体" w:hAnsi="宋体" w:cs="宋体"/>
          <w:b/>
          <w:bCs/>
          <w:color w:val="auto"/>
          <w:kern w:val="0"/>
          <w:szCs w:val="21"/>
          <w:highlight w:val="none"/>
          <w:u w:val="none" w:color="auto"/>
          <w:lang w:val="en-US" w:eastAsia="zh-CN"/>
        </w:rPr>
        <w:t>说明：1、</w:t>
      </w:r>
      <w:bookmarkStart w:id="72" w:name="_GoBack"/>
      <w:r>
        <w:rPr>
          <w:rFonts w:hint="eastAsia" w:ascii="宋体" w:hAnsi="宋体" w:cs="宋体"/>
          <w:b/>
          <w:bCs/>
          <w:color w:val="auto"/>
          <w:kern w:val="0"/>
          <w:szCs w:val="21"/>
          <w:highlight w:val="none"/>
          <w:u w:val="none" w:color="auto"/>
          <w:lang w:val="en-US" w:eastAsia="zh-CN"/>
        </w:rPr>
        <w:t>本次招商柜台分为WIFI租赁柜台，国内/国际售票柜台，咨询、商务服务柜台三种类型；</w:t>
      </w:r>
      <w:bookmarkEnd w:id="72"/>
    </w:p>
    <w:p>
      <w:pPr>
        <w:widowControl w:val="0"/>
        <w:wordWrap/>
        <w:autoSpaceDE w:val="0"/>
        <w:autoSpaceDN w:val="0"/>
        <w:adjustRightInd/>
        <w:snapToGrid/>
        <w:spacing w:line="360" w:lineRule="auto"/>
        <w:ind w:right="0"/>
        <w:jc w:val="both"/>
        <w:textAlignment w:val="auto"/>
        <w:outlineLvl w:val="1"/>
        <w:rPr>
          <w:rFonts w:hint="eastAsia" w:ascii="宋体" w:hAnsi="宋体" w:cs="宋体"/>
          <w:b/>
          <w:bCs/>
          <w:color w:val="auto"/>
          <w:kern w:val="0"/>
          <w:szCs w:val="21"/>
          <w:highlight w:val="none"/>
          <w:u w:val="none" w:color="auto"/>
          <w:lang w:val="en-US" w:eastAsia="zh-CN"/>
        </w:rPr>
      </w:pPr>
      <w:r>
        <w:rPr>
          <w:rFonts w:hint="eastAsia" w:ascii="宋体" w:hAnsi="宋体" w:cs="宋体"/>
          <w:b/>
          <w:bCs/>
          <w:color w:val="auto"/>
          <w:kern w:val="0"/>
          <w:szCs w:val="21"/>
          <w:highlight w:val="none"/>
          <w:u w:val="none" w:color="auto"/>
          <w:lang w:val="en-US" w:eastAsia="zh-CN"/>
        </w:rPr>
        <w:t>2、多标段竞标的规定：本次招商共分为15个标段，招商响应人可以每个标段均投，也可以只投其中1个标段，本项目允许多投多中，参与多个标段竞标的响应人需要分别针对各标段单独制作响应文件；</w:t>
      </w:r>
      <w:bookmarkEnd w:id="14"/>
      <w:bookmarkEnd w:id="15"/>
    </w:p>
    <w:p>
      <w:pPr>
        <w:widowControl w:val="0"/>
        <w:numPr>
          <w:ilvl w:val="0"/>
          <w:numId w:val="1"/>
        </w:numPr>
        <w:wordWrap/>
        <w:autoSpaceDE w:val="0"/>
        <w:autoSpaceDN w:val="0"/>
        <w:adjustRightInd/>
        <w:snapToGrid/>
        <w:spacing w:line="360" w:lineRule="auto"/>
        <w:ind w:right="0"/>
        <w:jc w:val="both"/>
        <w:textAlignment w:val="auto"/>
        <w:outlineLvl w:val="1"/>
        <w:rPr>
          <w:rFonts w:hint="eastAsia" w:ascii="宋体" w:hAnsi="宋体" w:cs="宋体"/>
          <w:b/>
          <w:bCs/>
          <w:color w:val="auto"/>
          <w:kern w:val="0"/>
          <w:szCs w:val="21"/>
          <w:highlight w:val="none"/>
          <w:u w:val="none" w:color="auto"/>
          <w:lang w:val="en-US" w:eastAsia="zh-CN"/>
        </w:rPr>
      </w:pPr>
      <w:bookmarkStart w:id="16" w:name="_Toc9458"/>
      <w:bookmarkStart w:id="17" w:name="_Toc14018"/>
      <w:r>
        <w:rPr>
          <w:rFonts w:hint="eastAsia" w:ascii="宋体" w:hAnsi="宋体" w:cs="宋体"/>
          <w:b/>
          <w:bCs/>
          <w:color w:val="auto"/>
          <w:kern w:val="0"/>
          <w:szCs w:val="21"/>
          <w:highlight w:val="none"/>
          <w:u w:val="none" w:color="auto"/>
          <w:lang w:val="en-US" w:eastAsia="zh-CN"/>
        </w:rPr>
        <w:t>经营费用收取</w:t>
      </w:r>
      <w:bookmarkEnd w:id="16"/>
      <w:bookmarkEnd w:id="17"/>
    </w:p>
    <w:p>
      <w:pPr>
        <w:widowControl/>
        <w:numPr>
          <w:numId w:val="0"/>
        </w:numPr>
        <w:wordWrap/>
        <w:snapToGrid/>
        <w:spacing w:line="360" w:lineRule="auto"/>
        <w:ind w:left="0" w:leftChars="0" w:right="0" w:firstLine="0" w:firstLineChars="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WIFI租赁柜台</w:t>
      </w:r>
    </w:p>
    <w:p>
      <w:pPr>
        <w:widowControl/>
        <w:numPr>
          <w:numId w:val="0"/>
        </w:numPr>
        <w:wordWrap/>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租金收取按如下执行：</w:t>
      </w:r>
    </w:p>
    <w:p>
      <w:pPr>
        <w:wordWrap/>
        <w:snapToGrid/>
        <w:spacing w:line="360" w:lineRule="auto"/>
        <w:ind w:left="0" w:leftChars="0" w:right="0" w:firstLine="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在国际及地区旅客吞吐量恢复到2018年水平以前（2018年月均国际及地区旅客吞吐量为225017人次），自然月度租金按此公式收取：中标金额*（当年当月国际及地区旅客吞吐量/2018年月均国际及地区旅客吞吐量）；</w:t>
      </w:r>
    </w:p>
    <w:p>
      <w:pPr>
        <w:wordWrap/>
        <w:snapToGrid/>
        <w:spacing w:line="360" w:lineRule="auto"/>
        <w:ind w:left="0" w:leftChars="0" w:right="0" w:firstLine="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待国际及地区旅客吞吐量恢复到2018年水平，按中标金额收取租金。</w:t>
      </w:r>
    </w:p>
    <w:p>
      <w:pPr>
        <w:wordWrap/>
        <w:snapToGrid/>
        <w:spacing w:line="360" w:lineRule="auto"/>
        <w:ind w:left="0" w:leftChars="0" w:right="0" w:firstLine="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对于恢复到2018年客流量水平是指以武汉天河机场2018年国际及地区旅客吞吐量的月度平均值为基数，若武汉天河机场国际及地区旅客吞吐量连续两个月达到2018年月均旅客吞吐量，视为恢复2018年国际及地区旅客吞吐量水平，则从第三个月开始按中标金额收取租金。(具体以机场集团市场部公布数据为准）</w:t>
      </w:r>
    </w:p>
    <w:p>
      <w:pPr>
        <w:widowControl/>
        <w:wordWrap/>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关于租金递增：</w:t>
      </w:r>
    </w:p>
    <w:p>
      <w:pPr>
        <w:widowControl/>
        <w:wordWrap/>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待国际及地区旅客吞吐量恢复到2018年</w:t>
      </w:r>
      <w:r>
        <w:rPr>
          <w:rFonts w:hint="eastAsia" w:ascii="宋体" w:hAnsi="宋体" w:eastAsia="宋体" w:cs="宋体"/>
          <w:color w:val="auto"/>
          <w:kern w:val="2"/>
          <w:sz w:val="21"/>
          <w:szCs w:val="21"/>
          <w:lang w:val="en-US" w:eastAsia="zh-CN"/>
        </w:rPr>
        <w:t>水平的次年，</w:t>
      </w:r>
      <w:r>
        <w:rPr>
          <w:rFonts w:hint="eastAsia" w:ascii="宋体" w:hAnsi="宋体" w:eastAsia="宋体" w:cs="宋体"/>
          <w:color w:val="auto"/>
          <w:sz w:val="21"/>
          <w:szCs w:val="21"/>
          <w:highlight w:val="none"/>
          <w:lang w:val="en-US" w:eastAsia="zh-CN"/>
        </w:rPr>
        <w:t>月租金为上一个自然年度月均实际交纳租金*105%。以此类推至合同履行完毕。</w:t>
      </w:r>
    </w:p>
    <w:p>
      <w:pPr>
        <w:wordWrap/>
        <w:snapToGrid/>
        <w:spacing w:line="360" w:lineRule="auto"/>
        <w:ind w:left="0" w:leftChars="0" w:right="0" w:firstLine="0" w:firstLineChars="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（2）国内/国际售票柜台及咨询、商务服务柜台</w:t>
      </w:r>
    </w:p>
    <w:p>
      <w:pPr>
        <w:wordWrap/>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起租日期起至2021年12月31日，按中标金额收取租金；</w:t>
      </w:r>
    </w:p>
    <w:p>
      <w:pPr>
        <w:widowControl/>
        <w:wordWrap/>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2022年1月1日至2022年</w:t>
      </w:r>
      <w:r>
        <w:rPr>
          <w:rFonts w:hint="eastAsia" w:ascii="宋体" w:hAnsi="宋体" w:eastAsia="宋体" w:cs="宋体"/>
          <w:color w:val="auto"/>
          <w:kern w:val="2"/>
          <w:sz w:val="21"/>
          <w:szCs w:val="21"/>
          <w:lang w:val="en-US" w:eastAsia="zh-CN"/>
        </w:rPr>
        <w:t>12月31日，</w:t>
      </w:r>
      <w:r>
        <w:rPr>
          <w:rFonts w:hint="eastAsia" w:ascii="宋体" w:hAnsi="宋体" w:eastAsia="宋体" w:cs="宋体"/>
          <w:color w:val="auto"/>
          <w:sz w:val="21"/>
          <w:szCs w:val="21"/>
          <w:highlight w:val="none"/>
          <w:lang w:val="en-US" w:eastAsia="zh-CN"/>
        </w:rPr>
        <w:t>月租金为上一个自然年度月均实际交纳租金*105%。</w:t>
      </w:r>
      <w:r>
        <w:rPr>
          <w:rFonts w:hint="eastAsia" w:ascii="宋体" w:hAnsi="宋体" w:eastAsia="宋体" w:cs="宋体"/>
          <w:color w:val="auto"/>
          <w:kern w:val="2"/>
          <w:sz w:val="21"/>
          <w:szCs w:val="21"/>
          <w:lang w:val="en-US" w:eastAsia="zh-CN"/>
        </w:rPr>
        <w:t xml:space="preserve">以此类推至合同履行完毕。 </w:t>
      </w:r>
    </w:p>
    <w:p>
      <w:pPr>
        <w:widowControl w:val="0"/>
        <w:numPr>
          <w:numId w:val="0"/>
        </w:numPr>
        <w:wordWrap/>
        <w:autoSpaceDE w:val="0"/>
        <w:autoSpaceDN w:val="0"/>
        <w:adjustRightInd/>
        <w:snapToGrid/>
        <w:spacing w:line="360" w:lineRule="auto"/>
        <w:ind w:right="0"/>
        <w:jc w:val="both"/>
        <w:textAlignment w:val="auto"/>
        <w:outlineLvl w:val="1"/>
        <w:rPr>
          <w:rFonts w:hint="eastAsia" w:ascii="宋体" w:hAnsi="宋体" w:cs="宋体"/>
          <w:b/>
          <w:bCs/>
          <w:color w:val="auto"/>
          <w:kern w:val="0"/>
          <w:szCs w:val="21"/>
          <w:highlight w:val="none"/>
          <w:u w:val="none" w:color="auto"/>
          <w:lang w:val="en-US" w:eastAsia="zh-CN"/>
        </w:rPr>
      </w:pPr>
      <w:bookmarkStart w:id="18" w:name="_Toc12313"/>
      <w:bookmarkStart w:id="19" w:name="_Toc9696"/>
      <w:r>
        <w:rPr>
          <w:rFonts w:hint="eastAsia" w:ascii="宋体" w:hAnsi="宋体" w:cs="宋体"/>
          <w:b/>
          <w:bCs/>
          <w:color w:val="auto"/>
          <w:kern w:val="0"/>
          <w:szCs w:val="21"/>
          <w:highlight w:val="none"/>
          <w:u w:val="none" w:color="auto"/>
          <w:lang w:val="en-US" w:eastAsia="zh-CN"/>
        </w:rPr>
        <w:t>6、合同年限：自</w:t>
      </w:r>
      <w:r>
        <w:rPr>
          <w:rFonts w:hint="eastAsia" w:ascii="宋体" w:hAnsi="宋体" w:eastAsia="宋体" w:cs="宋体"/>
          <w:b/>
          <w:bCs/>
          <w:color w:val="auto"/>
          <w:kern w:val="0"/>
          <w:szCs w:val="21"/>
          <w:highlight w:val="none"/>
          <w:u w:val="none" w:color="auto"/>
          <w:lang w:val="en-US" w:eastAsia="zh-CN"/>
        </w:rPr>
        <w:t>场地移交</w:t>
      </w:r>
      <w:r>
        <w:rPr>
          <w:rFonts w:hint="eastAsia" w:ascii="宋体" w:hAnsi="宋体" w:eastAsia="宋体" w:cs="宋体"/>
          <w:b/>
          <w:bCs/>
          <w:color w:val="auto"/>
          <w:sz w:val="21"/>
          <w:szCs w:val="21"/>
          <w:highlight w:val="none"/>
          <w:lang w:val="en-US" w:eastAsia="zh-CN"/>
        </w:rPr>
        <w:t>确认书</w:t>
      </w:r>
      <w:r>
        <w:rPr>
          <w:rFonts w:hint="eastAsia" w:ascii="宋体" w:hAnsi="宋体" w:cs="宋体"/>
          <w:b/>
          <w:bCs/>
          <w:color w:val="auto"/>
          <w:kern w:val="0"/>
          <w:szCs w:val="21"/>
          <w:highlight w:val="none"/>
          <w:u w:val="none" w:color="auto"/>
          <w:lang w:val="en-US" w:eastAsia="zh-CN"/>
        </w:rPr>
        <w:t>签订之日起3年。</w:t>
      </w:r>
      <w:bookmarkEnd w:id="18"/>
      <w:bookmarkEnd w:id="19"/>
    </w:p>
    <w:p>
      <w:pPr>
        <w:widowControl w:val="0"/>
        <w:wordWrap/>
        <w:autoSpaceDE w:val="0"/>
        <w:autoSpaceDN w:val="0"/>
        <w:adjustRightInd/>
        <w:snapToGrid/>
        <w:spacing w:line="360" w:lineRule="auto"/>
        <w:ind w:left="632" w:right="0" w:hanging="632" w:hangingChars="300"/>
        <w:jc w:val="both"/>
        <w:textAlignment w:val="auto"/>
        <w:outlineLvl w:val="1"/>
        <w:rPr>
          <w:rFonts w:hint="eastAsia" w:ascii="宋体" w:hAnsi="宋体" w:cs="宋体"/>
          <w:b/>
          <w:bCs/>
          <w:color w:val="auto"/>
          <w:kern w:val="0"/>
          <w:szCs w:val="21"/>
          <w:highlight w:val="none"/>
          <w:u w:val="none" w:color="auto"/>
        </w:rPr>
      </w:pPr>
      <w:bookmarkStart w:id="20" w:name="_Toc29041"/>
      <w:bookmarkStart w:id="21" w:name="_Toc28248"/>
      <w:r>
        <w:rPr>
          <w:rFonts w:hint="eastAsia" w:ascii="宋体" w:hAnsi="宋体" w:cs="宋体"/>
          <w:b/>
          <w:bCs/>
          <w:color w:val="auto"/>
          <w:kern w:val="0"/>
          <w:szCs w:val="21"/>
          <w:highlight w:val="none"/>
          <w:u w:val="none" w:color="auto"/>
        </w:rPr>
        <w:t>二、响应资格及要求</w:t>
      </w:r>
      <w:bookmarkEnd w:id="7"/>
      <w:bookmarkEnd w:id="8"/>
      <w:bookmarkEnd w:id="9"/>
      <w:bookmarkEnd w:id="10"/>
      <w:bookmarkEnd w:id="11"/>
      <w:bookmarkEnd w:id="12"/>
      <w:bookmarkEnd w:id="13"/>
      <w:bookmarkEnd w:id="20"/>
      <w:bookmarkEnd w:id="21"/>
    </w:p>
    <w:p>
      <w:pPr>
        <w:tabs>
          <w:tab w:val="left" w:pos="142"/>
        </w:tabs>
        <w:autoSpaceDE w:val="0"/>
        <w:autoSpaceDN w:val="0"/>
        <w:adjustRightInd w:val="0"/>
        <w:spacing w:line="360" w:lineRule="auto"/>
        <w:ind w:firstLine="420" w:firstLineChars="200"/>
        <w:rPr>
          <w:rFonts w:hint="eastAsia" w:ascii="宋体" w:hAnsi="宋体" w:eastAsia="宋体" w:cs="宋体"/>
          <w:color w:val="auto"/>
          <w:kern w:val="0"/>
          <w:sz w:val="21"/>
          <w:szCs w:val="21"/>
        </w:rPr>
      </w:pPr>
      <w:bookmarkStart w:id="22" w:name="_Toc19838"/>
      <w:r>
        <w:rPr>
          <w:rFonts w:hint="eastAsia" w:ascii="宋体" w:hAnsi="宋体" w:eastAsia="宋体" w:cs="宋体"/>
          <w:kern w:val="0"/>
          <w:sz w:val="21"/>
          <w:szCs w:val="21"/>
        </w:rPr>
        <w:t>1.在中华人民共和国大陆依法注册的企业法人，有良好的业绩，依法纳税。</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提供营业执照等执照复印件及纳税凭证</w:t>
      </w:r>
      <w:r>
        <w:rPr>
          <w:rFonts w:hint="eastAsia" w:ascii="宋体" w:hAnsi="宋体" w:eastAsia="宋体" w:cs="宋体"/>
          <w:color w:val="auto"/>
          <w:kern w:val="0"/>
          <w:sz w:val="21"/>
          <w:szCs w:val="21"/>
          <w:lang w:eastAsia="zh-CN"/>
        </w:rPr>
        <w:t>）</w:t>
      </w:r>
    </w:p>
    <w:p>
      <w:pPr>
        <w:tabs>
          <w:tab w:val="left" w:pos="142"/>
        </w:tabs>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2.响应人应具备同种类业务经营或管理经验。</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提供相关证明材料</w:t>
      </w:r>
      <w:r>
        <w:rPr>
          <w:rFonts w:hint="eastAsia" w:ascii="宋体" w:hAnsi="宋体" w:eastAsia="宋体" w:cs="宋体"/>
          <w:color w:val="auto"/>
          <w:kern w:val="0"/>
          <w:sz w:val="21"/>
          <w:szCs w:val="21"/>
          <w:lang w:eastAsia="zh-CN"/>
        </w:rPr>
        <w:t>）</w:t>
      </w:r>
    </w:p>
    <w:p>
      <w:pPr>
        <w:tabs>
          <w:tab w:val="left" w:pos="142"/>
        </w:tabs>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3.公司经营行为无不良欠款记录、无重大有效投诉，未因经营行为对武汉天河机场声誉带来负面影响等。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提供承诺函、格式自拟</w:t>
      </w:r>
      <w:r>
        <w:rPr>
          <w:rFonts w:hint="eastAsia" w:ascii="宋体" w:hAnsi="宋体" w:eastAsia="宋体" w:cs="宋体"/>
          <w:color w:val="auto"/>
          <w:kern w:val="0"/>
          <w:sz w:val="21"/>
          <w:szCs w:val="21"/>
          <w:lang w:eastAsia="zh-CN"/>
        </w:rPr>
        <w:t>）</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书。</w:t>
      </w:r>
      <w:r>
        <w:rPr>
          <w:rFonts w:hint="eastAsia" w:ascii="Calibri" w:hAnsi="宋体"/>
          <w:b w:val="0"/>
          <w:bCs w:val="0"/>
          <w:color w:val="auto"/>
          <w:szCs w:val="21"/>
          <w:highlight w:val="none"/>
          <w:u w:val="none" w:color="auto"/>
          <w:lang w:eastAsia="zh-CN"/>
        </w:rPr>
        <w:t>（</w:t>
      </w:r>
      <w:r>
        <w:rPr>
          <w:rFonts w:hint="eastAsia" w:ascii="Calibri" w:hAnsi="宋体"/>
          <w:b w:val="0"/>
          <w:bCs w:val="0"/>
          <w:color w:val="auto"/>
          <w:szCs w:val="21"/>
          <w:highlight w:val="none"/>
          <w:u w:val="none" w:color="auto"/>
        </w:rPr>
        <w:t>以公告发布之后的查询结果为准</w:t>
      </w:r>
      <w:r>
        <w:rPr>
          <w:rFonts w:hint="eastAsia" w:ascii="Calibri" w:hAnsi="宋体"/>
          <w:b w:val="0"/>
          <w:bCs w:val="0"/>
          <w:color w:val="auto"/>
          <w:szCs w:val="21"/>
          <w:highlight w:val="none"/>
          <w:u w:val="none" w:color="auto"/>
          <w:lang w:eastAsia="zh-CN"/>
        </w:rPr>
        <w:t>，需提供网页查询截图</w:t>
      </w:r>
      <w:r>
        <w:rPr>
          <w:rFonts w:hint="eastAsia" w:ascii="Calibri" w:hAnsi="宋体"/>
          <w:b w:val="0"/>
          <w:bCs w:val="0"/>
          <w:color w:val="auto"/>
          <w:szCs w:val="21"/>
          <w:highlight w:val="none"/>
          <w:u w:val="none" w:color="auto"/>
          <w:lang w:val="en-US" w:eastAsia="zh-CN"/>
        </w:rPr>
        <w:t>及承诺函）</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5.本次磋商所确定的运营商必须自营，不允许以任何形式进行转包。</w:t>
      </w:r>
    </w:p>
    <w:p>
      <w:pPr>
        <w:widowControl w:val="0"/>
        <w:tabs>
          <w:tab w:val="left" w:pos="540"/>
          <w:tab w:val="left" w:pos="840"/>
        </w:tabs>
        <w:wordWrap/>
        <w:adjustRightInd/>
        <w:snapToGrid/>
        <w:spacing w:line="360" w:lineRule="auto"/>
        <w:ind w:right="0"/>
        <w:jc w:val="both"/>
        <w:textAlignment w:val="auto"/>
        <w:outlineLvl w:val="1"/>
        <w:rPr>
          <w:rFonts w:hint="eastAsia" w:ascii="宋体" w:hAnsi="宋体" w:cs="宋体"/>
          <w:b/>
          <w:color w:val="auto"/>
          <w:szCs w:val="21"/>
          <w:highlight w:val="none"/>
        </w:rPr>
      </w:pPr>
      <w:bookmarkStart w:id="23" w:name="_Toc20043"/>
      <w:bookmarkStart w:id="24" w:name="_Toc624"/>
      <w:bookmarkStart w:id="25" w:name="_Toc28975"/>
      <w:bookmarkStart w:id="26" w:name="_Toc16423"/>
      <w:r>
        <w:rPr>
          <w:rFonts w:hint="eastAsia" w:ascii="宋体" w:hAnsi="宋体" w:cs="宋体"/>
          <w:b/>
          <w:color w:val="auto"/>
          <w:szCs w:val="21"/>
          <w:highlight w:val="none"/>
        </w:rPr>
        <w:t>三、</w:t>
      </w:r>
      <w:r>
        <w:rPr>
          <w:rFonts w:hint="eastAsia" w:ascii="宋体" w:hAnsi="宋体" w:cs="宋体"/>
          <w:b/>
          <w:color w:val="auto"/>
          <w:szCs w:val="21"/>
          <w:highlight w:val="none"/>
          <w:lang w:eastAsia="zh-CN"/>
        </w:rPr>
        <w:t>招商文件</w:t>
      </w:r>
      <w:r>
        <w:rPr>
          <w:rFonts w:hint="eastAsia" w:ascii="宋体" w:hAnsi="宋体" w:cs="宋体"/>
          <w:b/>
          <w:color w:val="auto"/>
          <w:szCs w:val="21"/>
          <w:highlight w:val="none"/>
        </w:rPr>
        <w:t>的获取</w:t>
      </w:r>
      <w:bookmarkEnd w:id="22"/>
      <w:bookmarkEnd w:id="23"/>
      <w:bookmarkEnd w:id="24"/>
      <w:bookmarkEnd w:id="25"/>
      <w:bookmarkEnd w:id="26"/>
    </w:p>
    <w:p>
      <w:pPr>
        <w:widowControl w:val="0"/>
        <w:wordWrap/>
        <w:adjustRightInd/>
        <w:snapToGrid/>
        <w:spacing w:beforeLines="0" w:afterLines="0" w:line="360" w:lineRule="auto"/>
        <w:ind w:right="0" w:firstLine="420" w:firstLineChars="200"/>
        <w:jc w:val="both"/>
        <w:textAlignment w:val="auto"/>
        <w:rPr>
          <w:rFonts w:ascii="宋体" w:hAnsi="宋体" w:cs="宋体"/>
          <w:color w:val="auto"/>
          <w:sz w:val="21"/>
          <w:szCs w:val="21"/>
          <w:highlight w:val="none"/>
        </w:rPr>
      </w:pPr>
      <w:bookmarkStart w:id="27" w:name="_Toc259028695"/>
      <w:bookmarkStart w:id="28" w:name="_Toc259028275"/>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获取时间：2020年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31</w:t>
      </w:r>
      <w:r>
        <w:rPr>
          <w:rFonts w:hint="eastAsia" w:ascii="宋体" w:hAnsi="宋体" w:cs="宋体"/>
          <w:color w:val="auto"/>
          <w:sz w:val="21"/>
          <w:szCs w:val="21"/>
          <w:highlight w:val="none"/>
        </w:rPr>
        <w:t>日起至202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日，每天上午8：30～12：00、下午14：00～16：30（</w:t>
      </w:r>
      <w:r>
        <w:rPr>
          <w:rFonts w:hint="eastAsia" w:ascii="宋体" w:hAnsi="宋体" w:cs="宋体"/>
          <w:color w:val="auto"/>
          <w:sz w:val="21"/>
          <w:szCs w:val="21"/>
          <w:highlight w:val="none"/>
          <w:lang w:val="en-US" w:eastAsia="zh-CN"/>
        </w:rPr>
        <w:t>周末、</w:t>
      </w:r>
      <w:r>
        <w:rPr>
          <w:rFonts w:hint="eastAsia" w:ascii="宋体" w:hAnsi="宋体" w:cs="宋体"/>
          <w:color w:val="auto"/>
          <w:sz w:val="21"/>
          <w:szCs w:val="21"/>
          <w:highlight w:val="none"/>
        </w:rPr>
        <w:t>节假日除外）。</w:t>
      </w:r>
    </w:p>
    <w:p>
      <w:pPr>
        <w:widowControl w:val="0"/>
        <w:wordWrap/>
        <w:adjustRightInd/>
        <w:snapToGrid/>
        <w:spacing w:beforeLines="0" w:afterLines="0" w:line="360" w:lineRule="auto"/>
        <w:ind w:right="0"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获取地点：</w:t>
      </w:r>
      <w:r>
        <w:rPr>
          <w:rFonts w:hint="eastAsia" w:ascii="宋体" w:hAnsi="宋体" w:cs="宋体"/>
          <w:szCs w:val="21"/>
        </w:rPr>
        <w:t>湖北省武汉市武昌区东湖西路特2号平安财富中心（东湖大厦正对面）B座7楼湖北省成套招标股份有限公司服务大厅</w:t>
      </w:r>
      <w:r>
        <w:rPr>
          <w:rFonts w:hint="eastAsia" w:ascii="宋体" w:hAnsi="宋体" w:cs="宋体"/>
          <w:color w:val="auto"/>
          <w:sz w:val="21"/>
          <w:szCs w:val="21"/>
          <w:highlight w:val="none"/>
        </w:rPr>
        <w:t>。</w:t>
      </w:r>
    </w:p>
    <w:p>
      <w:pPr>
        <w:widowControl w:val="0"/>
        <w:wordWrap/>
        <w:adjustRightInd/>
        <w:snapToGrid/>
        <w:spacing w:beforeLines="0" w:afterLines="0" w:line="360" w:lineRule="auto"/>
        <w:ind w:right="0"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w:t>
      </w:r>
      <w:r>
        <w:rPr>
          <w:rFonts w:hint="eastAsia" w:ascii="宋体" w:hAnsi="宋体" w:cs="宋体"/>
          <w:color w:val="auto"/>
          <w:sz w:val="21"/>
          <w:szCs w:val="21"/>
          <w:highlight w:val="none"/>
          <w:lang w:val="en-US" w:eastAsia="zh-CN"/>
        </w:rPr>
        <w:t>招商</w:t>
      </w:r>
      <w:r>
        <w:rPr>
          <w:rFonts w:hint="eastAsia" w:ascii="宋体" w:hAnsi="宋体" w:cs="宋体"/>
          <w:color w:val="auto"/>
          <w:sz w:val="21"/>
          <w:szCs w:val="21"/>
          <w:highlight w:val="none"/>
        </w:rPr>
        <w:t>文件须提供的资料：</w:t>
      </w:r>
    </w:p>
    <w:p>
      <w:pPr>
        <w:widowControl w:val="0"/>
        <w:wordWrap/>
        <w:adjustRightInd/>
        <w:snapToGrid/>
        <w:spacing w:beforeLines="0" w:afterLines="0" w:line="360" w:lineRule="auto"/>
        <w:ind w:right="0" w:firstLine="420" w:firstLineChars="200"/>
        <w:jc w:val="both"/>
        <w:textAlignment w:val="auto"/>
        <w:rPr>
          <w:rFonts w:hint="eastAsia" w:ascii="宋体" w:hAnsi="宋体"/>
          <w:szCs w:val="21"/>
        </w:rPr>
      </w:pPr>
      <w:bookmarkStart w:id="29" w:name="_Toc5856"/>
      <w:bookmarkStart w:id="30" w:name="_Toc7141"/>
      <w:bookmarkStart w:id="31" w:name="_Toc16383"/>
      <w:r>
        <w:rPr>
          <w:rFonts w:hint="eastAsia" w:ascii="宋体" w:hAnsi="宋体"/>
          <w:szCs w:val="21"/>
        </w:rPr>
        <w:t>1)法定代表人自己领取的，须提供法定代表人身份证明及法定代表人身份证（扫描件）；</w:t>
      </w:r>
    </w:p>
    <w:p>
      <w:pPr>
        <w:widowControl w:val="0"/>
        <w:wordWrap/>
        <w:adjustRightInd/>
        <w:snapToGrid/>
        <w:spacing w:beforeLines="0" w:afterLines="0" w:line="360" w:lineRule="auto"/>
        <w:ind w:right="0" w:firstLine="420" w:firstLineChars="200"/>
        <w:jc w:val="both"/>
        <w:textAlignment w:val="auto"/>
        <w:rPr>
          <w:rFonts w:hint="eastAsia" w:ascii="宋体" w:hAnsi="宋体"/>
          <w:szCs w:val="21"/>
        </w:rPr>
      </w:pPr>
      <w:r>
        <w:rPr>
          <w:rFonts w:hint="eastAsia" w:ascii="宋体" w:hAnsi="宋体"/>
          <w:szCs w:val="21"/>
        </w:rPr>
        <w:t>2)法定代表人委托他人领取的，须提供法定代表人授权书及受托人身份证（扫描件）；</w:t>
      </w:r>
    </w:p>
    <w:p>
      <w:pPr>
        <w:widowControl w:val="0"/>
        <w:wordWrap/>
        <w:adjustRightInd/>
        <w:snapToGrid/>
        <w:spacing w:beforeLines="0" w:afterLines="0" w:line="360" w:lineRule="auto"/>
        <w:ind w:right="0" w:firstLine="420" w:firstLineChars="200"/>
        <w:jc w:val="both"/>
        <w:textAlignment w:val="auto"/>
        <w:rPr>
          <w:rFonts w:hint="eastAsia" w:ascii="宋体" w:hAnsi="宋体"/>
          <w:szCs w:val="21"/>
        </w:rPr>
      </w:pPr>
      <w:r>
        <w:rPr>
          <w:rFonts w:hint="eastAsia" w:ascii="宋体" w:hAnsi="宋体"/>
          <w:szCs w:val="21"/>
        </w:rPr>
        <w:t>3)开票资料：①开票单位名称、②纳税人识别号（或统一社会信用代码）、③营业执照或税务登记证地址、④单位联系电话、⑤开户行及账号。</w:t>
      </w:r>
    </w:p>
    <w:p>
      <w:pPr>
        <w:widowControl w:val="0"/>
        <w:wordWrap/>
        <w:adjustRightInd/>
        <w:snapToGrid/>
        <w:spacing w:beforeLines="0" w:afterLines="0" w:line="360" w:lineRule="auto"/>
        <w:ind w:right="0" w:firstLine="420" w:firstLineChars="200"/>
        <w:jc w:val="both"/>
        <w:textAlignment w:val="auto"/>
        <w:rPr>
          <w:rFonts w:hint="eastAsia" w:ascii="宋体" w:hAnsi="宋体"/>
          <w:szCs w:val="21"/>
        </w:rPr>
      </w:pPr>
      <w:r>
        <w:rPr>
          <w:rFonts w:hint="eastAsia" w:ascii="宋体" w:hAnsi="宋体"/>
          <w:szCs w:val="21"/>
        </w:rPr>
        <w:t>4、售价：人民币500元/</w:t>
      </w:r>
      <w:r>
        <w:rPr>
          <w:rFonts w:hint="eastAsia" w:ascii="宋体" w:hAnsi="宋体"/>
          <w:szCs w:val="21"/>
          <w:lang w:val="en-US" w:eastAsia="zh-CN"/>
        </w:rPr>
        <w:t>本</w:t>
      </w:r>
      <w:r>
        <w:rPr>
          <w:rFonts w:hint="eastAsia" w:ascii="宋体" w:hAnsi="宋体"/>
          <w:szCs w:val="21"/>
        </w:rPr>
        <w:t>，售后不退。</w:t>
      </w:r>
    </w:p>
    <w:p>
      <w:pPr>
        <w:autoSpaceDE w:val="0"/>
        <w:autoSpaceDN w:val="0"/>
        <w:adjustRightInd w:val="0"/>
        <w:spacing w:line="360" w:lineRule="auto"/>
        <w:ind w:left="632" w:hanging="632" w:hangingChars="300"/>
        <w:outlineLvl w:val="1"/>
        <w:rPr>
          <w:rFonts w:hint="eastAsia" w:ascii="宋体" w:hAnsi="宋体" w:cs="宋体"/>
          <w:b/>
          <w:bCs/>
          <w:color w:val="auto"/>
          <w:szCs w:val="32"/>
          <w:highlight w:val="none"/>
        </w:rPr>
      </w:pPr>
      <w:bookmarkStart w:id="32" w:name="_Toc2969"/>
      <w:bookmarkStart w:id="33" w:name="_Toc8717"/>
      <w:bookmarkStart w:id="34" w:name="_Toc17160"/>
      <w:r>
        <w:rPr>
          <w:rFonts w:hint="eastAsia" w:ascii="宋体" w:hAnsi="宋体" w:cs="宋体"/>
          <w:b/>
          <w:bCs/>
          <w:color w:val="auto"/>
          <w:szCs w:val="32"/>
          <w:highlight w:val="none"/>
        </w:rPr>
        <w:t>四、</w:t>
      </w:r>
      <w:bookmarkEnd w:id="27"/>
      <w:bookmarkEnd w:id="28"/>
      <w:bookmarkEnd w:id="29"/>
      <w:bookmarkEnd w:id="30"/>
      <w:bookmarkEnd w:id="31"/>
      <w:r>
        <w:rPr>
          <w:rFonts w:hint="eastAsia" w:ascii="宋体" w:hAnsi="宋体" w:cs="宋体"/>
          <w:b/>
          <w:bCs/>
          <w:color w:val="auto"/>
          <w:kern w:val="2"/>
          <w:sz w:val="21"/>
          <w:szCs w:val="32"/>
          <w:highlight w:val="none"/>
          <w:lang w:val="en-US" w:eastAsia="zh-CN" w:bidi="ar-SA"/>
        </w:rPr>
        <w:t>递交招商响应文件的截止时间</w:t>
      </w:r>
      <w:r>
        <w:rPr>
          <w:rFonts w:hint="eastAsia" w:ascii="宋体" w:hAnsi="宋体" w:cs="宋体"/>
          <w:b/>
          <w:bCs/>
          <w:color w:val="auto"/>
          <w:szCs w:val="32"/>
          <w:highlight w:val="none"/>
        </w:rPr>
        <w:t>及</w:t>
      </w:r>
      <w:r>
        <w:rPr>
          <w:rFonts w:hint="eastAsia" w:ascii="宋体" w:hAnsi="宋体" w:cs="宋体"/>
          <w:b/>
          <w:bCs/>
          <w:color w:val="auto"/>
          <w:kern w:val="2"/>
          <w:sz w:val="21"/>
          <w:szCs w:val="32"/>
          <w:highlight w:val="none"/>
          <w:lang w:val="en-US" w:eastAsia="zh-CN" w:bidi="ar-SA"/>
        </w:rPr>
        <w:t>磋商</w:t>
      </w:r>
      <w:r>
        <w:rPr>
          <w:rFonts w:hint="eastAsia" w:ascii="宋体" w:hAnsi="宋体" w:cs="宋体"/>
          <w:b/>
          <w:bCs/>
          <w:color w:val="auto"/>
          <w:szCs w:val="32"/>
          <w:highlight w:val="none"/>
        </w:rPr>
        <w:t>时间</w:t>
      </w:r>
      <w:bookmarkEnd w:id="32"/>
      <w:bookmarkEnd w:id="33"/>
      <w:bookmarkEnd w:id="34"/>
    </w:p>
    <w:p>
      <w:pPr>
        <w:spacing w:line="360" w:lineRule="auto"/>
        <w:ind w:firstLine="420" w:firstLineChars="200"/>
        <w:rPr>
          <w:rFonts w:hint="eastAsia" w:ascii="宋体" w:hAnsi="宋体" w:cs="宋体"/>
          <w:b w:val="0"/>
          <w:bCs/>
          <w:color w:val="auto"/>
          <w:szCs w:val="21"/>
          <w:highlight w:val="none"/>
        </w:rPr>
      </w:pPr>
      <w:r>
        <w:rPr>
          <w:rFonts w:hint="eastAsia" w:ascii="Calibri" w:hAnsi="宋体"/>
          <w:b w:val="0"/>
          <w:bCs/>
          <w:color w:val="auto"/>
          <w:szCs w:val="21"/>
          <w:highlight w:val="none"/>
        </w:rPr>
        <w:t>20</w:t>
      </w:r>
      <w:r>
        <w:rPr>
          <w:rFonts w:hint="eastAsia" w:ascii="Calibri" w:hAnsi="宋体"/>
          <w:b w:val="0"/>
          <w:bCs/>
          <w:color w:val="auto"/>
          <w:szCs w:val="21"/>
          <w:highlight w:val="none"/>
          <w:lang w:val="en-US" w:eastAsia="zh-CN"/>
        </w:rPr>
        <w:t>21</w:t>
      </w:r>
      <w:r>
        <w:rPr>
          <w:rFonts w:hint="eastAsia" w:ascii="Calibri" w:hAnsi="宋体"/>
          <w:b w:val="0"/>
          <w:bCs/>
          <w:color w:val="auto"/>
          <w:szCs w:val="21"/>
          <w:highlight w:val="none"/>
        </w:rPr>
        <w:t>年</w:t>
      </w:r>
      <w:r>
        <w:rPr>
          <w:rFonts w:hint="eastAsia" w:ascii="Calibri" w:hAnsi="宋体"/>
          <w:b w:val="0"/>
          <w:bCs/>
          <w:color w:val="auto"/>
          <w:szCs w:val="21"/>
          <w:highlight w:val="none"/>
          <w:lang w:val="en-US" w:eastAsia="zh-CN"/>
        </w:rPr>
        <w:t>01</w:t>
      </w:r>
      <w:r>
        <w:rPr>
          <w:rFonts w:hint="eastAsia" w:ascii="Calibri" w:hAnsi="宋体"/>
          <w:b w:val="0"/>
          <w:bCs/>
          <w:color w:val="auto"/>
          <w:szCs w:val="21"/>
          <w:highlight w:val="none"/>
        </w:rPr>
        <w:t>月</w:t>
      </w:r>
      <w:r>
        <w:rPr>
          <w:rFonts w:hint="eastAsia" w:ascii="Calibri" w:hAnsi="宋体"/>
          <w:b w:val="0"/>
          <w:bCs/>
          <w:color w:val="auto"/>
          <w:szCs w:val="21"/>
          <w:highlight w:val="none"/>
          <w:lang w:val="en-US" w:eastAsia="zh-CN"/>
        </w:rPr>
        <w:t>15</w:t>
      </w:r>
      <w:r>
        <w:rPr>
          <w:rFonts w:hint="eastAsia" w:ascii="Calibri" w:hAnsi="宋体"/>
          <w:b w:val="0"/>
          <w:bCs/>
          <w:color w:val="auto"/>
          <w:szCs w:val="21"/>
          <w:highlight w:val="none"/>
        </w:rPr>
        <w:t>日</w:t>
      </w:r>
      <w:r>
        <w:rPr>
          <w:rFonts w:hint="eastAsia" w:ascii="Calibri" w:hAnsi="宋体"/>
          <w:b w:val="0"/>
          <w:bCs/>
          <w:color w:val="auto"/>
          <w:szCs w:val="21"/>
          <w:highlight w:val="none"/>
          <w:lang w:val="en-US" w:eastAsia="zh-CN"/>
        </w:rPr>
        <w:t>09:30</w:t>
      </w:r>
      <w:r>
        <w:rPr>
          <w:rFonts w:hint="eastAsia" w:ascii="Calibri" w:hAnsi="宋体"/>
          <w:b w:val="0"/>
          <w:bCs/>
          <w:color w:val="auto"/>
          <w:szCs w:val="21"/>
          <w:highlight w:val="none"/>
        </w:rPr>
        <w:t>时</w:t>
      </w:r>
      <w:r>
        <w:rPr>
          <w:rFonts w:hint="eastAsia" w:ascii="宋体" w:hAnsi="宋体" w:cs="宋体"/>
          <w:b w:val="0"/>
          <w:bCs/>
          <w:color w:val="auto"/>
          <w:szCs w:val="21"/>
          <w:highlight w:val="none"/>
        </w:rPr>
        <w:t>（北京时间）</w:t>
      </w:r>
    </w:p>
    <w:p>
      <w:pPr>
        <w:autoSpaceDE w:val="0"/>
        <w:autoSpaceDN w:val="0"/>
        <w:adjustRightInd w:val="0"/>
        <w:spacing w:line="360" w:lineRule="auto"/>
        <w:ind w:left="632" w:hanging="632" w:hangingChars="300"/>
        <w:outlineLvl w:val="1"/>
        <w:rPr>
          <w:rFonts w:hint="eastAsia" w:ascii="宋体" w:hAnsi="宋体" w:cs="宋体"/>
          <w:b/>
          <w:bCs/>
          <w:color w:val="auto"/>
          <w:szCs w:val="32"/>
          <w:highlight w:val="none"/>
        </w:rPr>
      </w:pPr>
      <w:bookmarkStart w:id="35" w:name="_Toc259028276"/>
      <w:bookmarkStart w:id="36" w:name="_Toc15832"/>
      <w:bookmarkStart w:id="37" w:name="_Toc259028696"/>
      <w:bookmarkStart w:id="38" w:name="_Toc11358"/>
      <w:bookmarkStart w:id="39" w:name="_Toc23418"/>
      <w:bookmarkStart w:id="40" w:name="_Toc18692"/>
      <w:bookmarkStart w:id="41" w:name="_Toc19677"/>
      <w:bookmarkStart w:id="42" w:name="_Toc9129"/>
      <w:r>
        <w:rPr>
          <w:rFonts w:hint="eastAsia" w:ascii="宋体" w:hAnsi="宋体" w:cs="宋体"/>
          <w:b/>
          <w:bCs/>
          <w:color w:val="auto"/>
          <w:szCs w:val="32"/>
          <w:highlight w:val="none"/>
        </w:rPr>
        <w:t>五、</w:t>
      </w:r>
      <w:bookmarkEnd w:id="35"/>
      <w:bookmarkEnd w:id="36"/>
      <w:bookmarkEnd w:id="37"/>
      <w:bookmarkEnd w:id="38"/>
      <w:bookmarkEnd w:id="39"/>
      <w:r>
        <w:rPr>
          <w:rFonts w:hint="eastAsia" w:ascii="宋体" w:hAnsi="宋体" w:cs="宋体"/>
          <w:b/>
          <w:bCs/>
          <w:color w:val="auto"/>
          <w:szCs w:val="32"/>
          <w:highlight w:val="none"/>
        </w:rPr>
        <w:t>招商响应文件送达地点及</w:t>
      </w:r>
      <w:r>
        <w:rPr>
          <w:rFonts w:hint="eastAsia" w:ascii="宋体" w:hAnsi="宋体" w:cs="宋体"/>
          <w:b/>
          <w:bCs/>
          <w:color w:val="auto"/>
          <w:szCs w:val="32"/>
          <w:highlight w:val="none"/>
          <w:lang w:val="en-US" w:eastAsia="zh-CN"/>
        </w:rPr>
        <w:t>磋商</w:t>
      </w:r>
      <w:r>
        <w:rPr>
          <w:rFonts w:hint="eastAsia" w:ascii="宋体" w:hAnsi="宋体" w:cs="宋体"/>
          <w:b/>
          <w:bCs/>
          <w:color w:val="auto"/>
          <w:szCs w:val="32"/>
          <w:highlight w:val="none"/>
        </w:rPr>
        <w:t>地点</w:t>
      </w:r>
      <w:bookmarkEnd w:id="40"/>
      <w:bookmarkEnd w:id="41"/>
      <w:bookmarkEnd w:id="42"/>
    </w:p>
    <w:p>
      <w:pPr>
        <w:spacing w:line="360" w:lineRule="auto"/>
        <w:ind w:firstLine="0" w:firstLineChars="0"/>
        <w:rPr>
          <w:rFonts w:hint="eastAsia" w:ascii="Calibri" w:hAnsi="宋体"/>
          <w:b w:val="0"/>
          <w:bCs/>
          <w:color w:val="auto"/>
          <w:sz w:val="21"/>
          <w:szCs w:val="21"/>
          <w:highlight w:val="none"/>
          <w:lang w:val="en-US" w:eastAsia="zh-CN"/>
        </w:rPr>
      </w:pPr>
      <w:r>
        <w:rPr>
          <w:rFonts w:hint="eastAsia" w:ascii="Calibri" w:hAnsi="宋体" w:cs="Times New Roman"/>
          <w:bCs/>
          <w:color w:val="auto"/>
          <w:sz w:val="20"/>
          <w:szCs w:val="21"/>
          <w:highlight w:val="none"/>
          <w:lang w:val="en-US" w:eastAsia="zh-CN"/>
        </w:rPr>
        <w:t xml:space="preserve"> </w:t>
      </w:r>
      <w:r>
        <w:rPr>
          <w:rFonts w:hint="eastAsia" w:ascii="Calibri" w:hAnsi="宋体" w:cs="Times New Roman"/>
          <w:bCs/>
          <w:color w:val="auto"/>
          <w:sz w:val="21"/>
          <w:szCs w:val="21"/>
          <w:highlight w:val="none"/>
          <w:lang w:val="en-US" w:eastAsia="zh-CN"/>
        </w:rPr>
        <w:t xml:space="preserve">   </w:t>
      </w:r>
      <w:r>
        <w:rPr>
          <w:rFonts w:hint="eastAsia" w:ascii="Calibri" w:hAnsi="宋体" w:cs="Times New Roman"/>
          <w:bCs/>
          <w:color w:val="auto"/>
          <w:sz w:val="21"/>
          <w:szCs w:val="21"/>
          <w:highlight w:val="none"/>
          <w:lang w:eastAsia="zh-CN"/>
        </w:rPr>
        <w:t>湖北机场集团有限公司综合办公楼A609招投标室</w:t>
      </w:r>
      <w:r>
        <w:rPr>
          <w:rFonts w:hint="eastAsia" w:ascii="Calibri" w:hAnsi="宋体" w:cs="Times New Roman"/>
          <w:bCs/>
          <w:color w:val="auto"/>
          <w:sz w:val="21"/>
          <w:szCs w:val="21"/>
          <w:highlight w:val="none"/>
        </w:rPr>
        <w:t>。</w:t>
      </w:r>
    </w:p>
    <w:p>
      <w:pPr>
        <w:spacing w:line="360" w:lineRule="auto"/>
        <w:ind w:firstLine="0" w:firstLineChars="0"/>
        <w:rPr>
          <w:rFonts w:hint="eastAsia" w:ascii="Calibri" w:hAnsi="宋体"/>
          <w:b w:val="0"/>
          <w:bCs/>
          <w:color w:val="auto"/>
          <w:sz w:val="21"/>
          <w:szCs w:val="21"/>
          <w:highlight w:val="none"/>
          <w:lang w:val="en-US" w:eastAsia="zh-CN"/>
        </w:rPr>
      </w:pPr>
      <w:r>
        <w:rPr>
          <w:rFonts w:hint="eastAsia" w:ascii="Calibri" w:hAnsi="宋体"/>
          <w:b w:val="0"/>
          <w:bCs/>
          <w:color w:val="auto"/>
          <w:sz w:val="21"/>
          <w:szCs w:val="21"/>
          <w:highlight w:val="none"/>
          <w:lang w:val="en-US" w:eastAsia="zh-CN"/>
        </w:rPr>
        <w:t>备注：1、逾期送达指定地点的或者不按照招商文件要求密封的响应文件，招商人不予受理。</w:t>
      </w:r>
    </w:p>
    <w:p>
      <w:pPr>
        <w:spacing w:line="360" w:lineRule="auto"/>
        <w:ind w:firstLine="420" w:firstLineChars="200"/>
        <w:rPr>
          <w:rFonts w:hint="eastAsia" w:ascii="Calibri" w:hAnsi="宋体" w:eastAsia="宋体"/>
          <w:b w:val="0"/>
          <w:bCs/>
          <w:color w:val="auto"/>
          <w:sz w:val="21"/>
          <w:szCs w:val="21"/>
          <w:highlight w:val="none"/>
          <w:lang w:val="en-US" w:eastAsia="zh-CN"/>
        </w:rPr>
      </w:pPr>
      <w:r>
        <w:rPr>
          <w:rFonts w:hint="eastAsia" w:ascii="Calibri" w:hAnsi="宋体"/>
          <w:b w:val="0"/>
          <w:bCs/>
          <w:color w:val="auto"/>
          <w:sz w:val="21"/>
          <w:szCs w:val="21"/>
          <w:highlight w:val="none"/>
          <w:lang w:val="en-US" w:eastAsia="zh-CN"/>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hint="eastAsia" w:ascii="宋体" w:hAnsi="宋体" w:cs="宋体"/>
          <w:b/>
          <w:bCs/>
          <w:color w:val="auto"/>
          <w:szCs w:val="32"/>
          <w:highlight w:val="none"/>
        </w:rPr>
      </w:pPr>
      <w:bookmarkStart w:id="43" w:name="_Toc8044"/>
      <w:bookmarkStart w:id="44" w:name="_Toc25113"/>
      <w:bookmarkStart w:id="45" w:name="_Toc7227"/>
      <w:bookmarkStart w:id="46" w:name="_Toc27963"/>
      <w:bookmarkStart w:id="47" w:name="_Toc23102"/>
      <w:bookmarkStart w:id="48" w:name="_Toc27428"/>
      <w:bookmarkStart w:id="49" w:name="_Toc3947"/>
      <w:bookmarkStart w:id="50" w:name="_Toc15722"/>
      <w:r>
        <w:rPr>
          <w:rFonts w:hint="eastAsia" w:ascii="宋体" w:hAnsi="宋体" w:cs="宋体"/>
          <w:b/>
          <w:bCs/>
          <w:color w:val="auto"/>
          <w:szCs w:val="32"/>
          <w:highlight w:val="none"/>
        </w:rPr>
        <w:t>六、联系方式</w:t>
      </w:r>
      <w:bookmarkEnd w:id="43"/>
      <w:bookmarkEnd w:id="44"/>
      <w:bookmarkEnd w:id="45"/>
      <w:bookmarkEnd w:id="46"/>
      <w:bookmarkEnd w:id="47"/>
      <w:bookmarkEnd w:id="48"/>
      <w:bookmarkEnd w:id="49"/>
    </w:p>
    <w:p>
      <w:pPr>
        <w:widowControl w:val="0"/>
        <w:wordWrap/>
        <w:adjustRightInd/>
        <w:snapToGrid/>
        <w:spacing w:line="360" w:lineRule="auto"/>
        <w:ind w:right="0"/>
        <w:jc w:val="both"/>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招商人</w:t>
      </w:r>
      <w:r>
        <w:rPr>
          <w:rFonts w:hint="eastAsia" w:ascii="宋体" w:hAnsi="宋体" w:cs="宋体"/>
          <w:b w:val="0"/>
          <w:bCs w:val="0"/>
          <w:color w:val="auto"/>
          <w:szCs w:val="21"/>
          <w:highlight w:val="none"/>
        </w:rPr>
        <w:t>：</w:t>
      </w:r>
      <w:r>
        <w:rPr>
          <w:rFonts w:hint="eastAsia" w:ascii="Calibri" w:hAnsi="宋体"/>
          <w:b w:val="0"/>
          <w:bCs w:val="0"/>
          <w:color w:val="auto"/>
          <w:szCs w:val="21"/>
          <w:highlight w:val="none"/>
          <w:u w:val="none" w:color="auto"/>
          <w:lang w:eastAsia="zh-CN"/>
        </w:rPr>
        <w:t>湖北机场集团实业发展有限公司</w:t>
      </w:r>
      <w:r>
        <w:rPr>
          <w:rFonts w:hint="eastAsia" w:ascii="宋体" w:hAnsi="宋体" w:cs="宋体"/>
          <w:b w:val="0"/>
          <w:bCs w:val="0"/>
          <w:color w:val="auto"/>
          <w:szCs w:val="21"/>
          <w:highlight w:val="none"/>
        </w:rPr>
        <w:t xml:space="preserve">    代理机构：</w:t>
      </w:r>
      <w:r>
        <w:rPr>
          <w:rFonts w:hint="eastAsia" w:hAnsi="宋体"/>
          <w:b w:val="0"/>
          <w:bCs w:val="0"/>
          <w:color w:val="auto"/>
          <w:szCs w:val="21"/>
          <w:highlight w:val="none"/>
        </w:rPr>
        <w:t>湖北省成套招标股份有限公司</w:t>
      </w:r>
    </w:p>
    <w:p>
      <w:pPr>
        <w:pStyle w:val="8"/>
        <w:spacing w:line="360" w:lineRule="auto"/>
        <w:jc w:val="right"/>
        <w:rPr>
          <w:rFonts w:hint="eastAsia" w:hAnsi="宋体"/>
          <w:b w:val="0"/>
          <w:bCs w:val="0"/>
          <w:color w:val="auto"/>
          <w:szCs w:val="21"/>
          <w:highlight w:val="none"/>
        </w:rPr>
      </w:pPr>
      <w:r>
        <w:rPr>
          <w:rFonts w:hint="eastAsia" w:ascii="宋体" w:hAnsi="宋体" w:cs="宋体"/>
          <w:b w:val="0"/>
          <w:bCs w:val="0"/>
          <w:color w:val="auto"/>
          <w:szCs w:val="21"/>
          <w:highlight w:val="none"/>
        </w:rPr>
        <w:t>地  址：</w:t>
      </w:r>
      <w:r>
        <w:rPr>
          <w:rFonts w:hint="eastAsia" w:hAnsi="宋体"/>
          <w:b w:val="0"/>
          <w:bCs w:val="0"/>
          <w:color w:val="auto"/>
          <w:szCs w:val="21"/>
          <w:highlight w:val="none"/>
        </w:rPr>
        <w:t xml:space="preserve">武汉天河机场                    </w:t>
      </w:r>
      <w:r>
        <w:rPr>
          <w:rFonts w:hint="eastAsia" w:ascii="宋体" w:hAnsi="宋体" w:cs="宋体"/>
          <w:b w:val="0"/>
          <w:bCs w:val="0"/>
          <w:color w:val="auto"/>
          <w:szCs w:val="21"/>
          <w:highlight w:val="none"/>
        </w:rPr>
        <w:t>地 址：</w:t>
      </w:r>
      <w:r>
        <w:rPr>
          <w:rFonts w:hint="eastAsia" w:hAnsi="宋体"/>
          <w:b w:val="0"/>
          <w:bCs w:val="0"/>
          <w:color w:val="auto"/>
          <w:szCs w:val="21"/>
          <w:highlight w:val="none"/>
        </w:rPr>
        <w:t>武汉市武昌区东湖西路平安财富中心（东湖大厦正对面）B座7</w:t>
      </w:r>
      <w:r>
        <w:rPr>
          <w:rFonts w:hint="eastAsia" w:hAnsi="宋体"/>
          <w:b w:val="0"/>
          <w:bCs w:val="0"/>
          <w:color w:val="auto"/>
          <w:szCs w:val="21"/>
          <w:highlight w:val="none"/>
          <w:lang w:val="en-US" w:eastAsia="zh-CN"/>
        </w:rPr>
        <w:t>-10</w:t>
      </w:r>
      <w:r>
        <w:rPr>
          <w:rFonts w:hint="eastAsia" w:hAnsi="宋体"/>
          <w:b w:val="0"/>
          <w:bCs w:val="0"/>
          <w:color w:val="auto"/>
          <w:szCs w:val="21"/>
          <w:highlight w:val="none"/>
        </w:rPr>
        <w:t>楼</w:t>
      </w:r>
    </w:p>
    <w:p>
      <w:pPr>
        <w:pStyle w:val="8"/>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邮    编：</w:t>
      </w:r>
      <w:r>
        <w:rPr>
          <w:rFonts w:hint="eastAsia" w:hAnsi="宋体"/>
          <w:b w:val="0"/>
          <w:bCs w:val="0"/>
          <w:color w:val="auto"/>
          <w:szCs w:val="21"/>
          <w:highlight w:val="none"/>
        </w:rPr>
        <w:t>430302</w:t>
      </w:r>
      <w:r>
        <w:rPr>
          <w:rFonts w:hint="eastAsia" w:ascii="宋体" w:hAnsi="宋体" w:cs="宋体"/>
          <w:b w:val="0"/>
          <w:bCs w:val="0"/>
          <w:color w:val="auto"/>
          <w:szCs w:val="21"/>
          <w:highlight w:val="none"/>
        </w:rPr>
        <w:t xml:space="preserve">                       邮    编：</w:t>
      </w:r>
      <w:r>
        <w:rPr>
          <w:rFonts w:hint="eastAsia" w:hAnsi="宋体"/>
          <w:b w:val="0"/>
          <w:bCs w:val="0"/>
          <w:color w:val="auto"/>
          <w:szCs w:val="21"/>
          <w:highlight w:val="none"/>
        </w:rPr>
        <w:t>430071</w:t>
      </w:r>
    </w:p>
    <w:p>
      <w:pPr>
        <w:pStyle w:val="8"/>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联 系 人：</w:t>
      </w:r>
      <w:r>
        <w:rPr>
          <w:rFonts w:hint="eastAsia" w:ascii="宋体" w:hAnsi="宋体" w:cs="宋体"/>
          <w:b w:val="0"/>
          <w:bCs w:val="0"/>
          <w:color w:val="auto"/>
          <w:szCs w:val="21"/>
          <w:highlight w:val="none"/>
          <w:lang w:val="en-US" w:eastAsia="zh-CN"/>
        </w:rPr>
        <w:t>杜女士</w:t>
      </w:r>
      <w:r>
        <w:rPr>
          <w:rFonts w:hint="eastAsia" w:hAnsi="宋体"/>
          <w:b w:val="0"/>
          <w:bCs w:val="0"/>
          <w:color w:val="auto"/>
          <w:szCs w:val="21"/>
          <w:highlight w:val="none"/>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联 系 人：</w:t>
      </w:r>
      <w:r>
        <w:rPr>
          <w:rFonts w:hint="eastAsia" w:hAnsi="宋体"/>
          <w:b w:val="0"/>
          <w:bCs w:val="0"/>
          <w:color w:val="auto"/>
          <w:szCs w:val="21"/>
          <w:highlight w:val="none"/>
        </w:rPr>
        <w:t>黄向东</w:t>
      </w:r>
      <w:r>
        <w:rPr>
          <w:rFonts w:hint="eastAsia" w:hAnsi="宋体"/>
          <w:b w:val="0"/>
          <w:bCs w:val="0"/>
          <w:color w:val="auto"/>
          <w:szCs w:val="21"/>
          <w:highlight w:val="none"/>
          <w:lang w:eastAsia="zh-CN"/>
        </w:rPr>
        <w:t>、</w:t>
      </w:r>
      <w:r>
        <w:rPr>
          <w:rFonts w:hint="eastAsia" w:hAnsi="宋体"/>
          <w:b w:val="0"/>
          <w:bCs w:val="0"/>
          <w:color w:val="auto"/>
          <w:szCs w:val="21"/>
          <w:highlight w:val="none"/>
          <w:lang w:val="en-US" w:eastAsia="zh-CN"/>
        </w:rPr>
        <w:t>郭亚楠</w:t>
      </w:r>
      <w:r>
        <w:rPr>
          <w:rFonts w:hint="eastAsia" w:ascii="宋体" w:hAnsi="宋体" w:cs="宋体"/>
          <w:b w:val="0"/>
          <w:bCs w:val="0"/>
          <w:color w:val="auto"/>
          <w:szCs w:val="21"/>
          <w:highlight w:val="none"/>
        </w:rPr>
        <w:t xml:space="preserve"> </w:t>
      </w:r>
    </w:p>
    <w:p>
      <w:pPr>
        <w:pStyle w:val="8"/>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电    话：</w:t>
      </w:r>
      <w:r>
        <w:rPr>
          <w:rFonts w:hint="eastAsia" w:hAnsi="宋体"/>
          <w:b w:val="0"/>
          <w:bCs w:val="0"/>
          <w:color w:val="auto"/>
          <w:szCs w:val="21"/>
          <w:highlight w:val="none"/>
        </w:rPr>
        <w:t>027-8</w:t>
      </w:r>
      <w:r>
        <w:rPr>
          <w:rFonts w:hint="eastAsia" w:hAnsi="宋体"/>
          <w:b w:val="0"/>
          <w:bCs w:val="0"/>
          <w:color w:val="auto"/>
          <w:szCs w:val="21"/>
          <w:highlight w:val="none"/>
          <w:lang w:val="en-US" w:eastAsia="zh-CN"/>
        </w:rPr>
        <w:t>5818281</w:t>
      </w:r>
      <w:r>
        <w:rPr>
          <w:rFonts w:hint="eastAsia" w:hAnsi="宋体"/>
          <w:b w:val="0"/>
          <w:bCs w:val="0"/>
          <w:color w:val="auto"/>
          <w:szCs w:val="21"/>
          <w:highlight w:val="none"/>
        </w:rPr>
        <w:t xml:space="preserve">       </w:t>
      </w:r>
      <w:r>
        <w:rPr>
          <w:rFonts w:hint="eastAsia" w:hAnsi="宋体"/>
          <w:b w:val="0"/>
          <w:bCs w:val="0"/>
          <w:color w:val="auto"/>
          <w:szCs w:val="21"/>
          <w:highlight w:val="none"/>
          <w:lang w:val="en-US" w:eastAsia="zh-CN"/>
        </w:rPr>
        <w:t xml:space="preserve"> </w:t>
      </w:r>
      <w:r>
        <w:rPr>
          <w:rFonts w:hint="eastAsia" w:hAnsi="宋体"/>
          <w:b w:val="0"/>
          <w:bCs w:val="0"/>
          <w:color w:val="auto"/>
          <w:szCs w:val="21"/>
          <w:highlight w:val="none"/>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电    话：</w:t>
      </w:r>
      <w:r>
        <w:rPr>
          <w:rFonts w:hint="eastAsia" w:hAnsi="宋体"/>
          <w:b w:val="0"/>
          <w:bCs w:val="0"/>
          <w:color w:val="auto"/>
          <w:szCs w:val="21"/>
          <w:highlight w:val="none"/>
        </w:rPr>
        <w:t>027-87816666-86</w:t>
      </w:r>
      <w:r>
        <w:rPr>
          <w:rFonts w:hint="eastAsia" w:hAnsi="宋体"/>
          <w:b w:val="0"/>
          <w:bCs w:val="0"/>
          <w:color w:val="auto"/>
          <w:szCs w:val="21"/>
          <w:highlight w:val="none"/>
          <w:lang w:val="en-US" w:eastAsia="zh-CN"/>
        </w:rPr>
        <w:t>13、18171091831</w:t>
      </w:r>
      <w:r>
        <w:rPr>
          <w:rFonts w:hint="eastAsia" w:ascii="宋体" w:hAnsi="宋体" w:cs="宋体"/>
          <w:b w:val="0"/>
          <w:bCs w:val="0"/>
          <w:color w:val="auto"/>
          <w:szCs w:val="21"/>
          <w:highlight w:val="none"/>
        </w:rPr>
        <w:t xml:space="preserve"> </w:t>
      </w:r>
    </w:p>
    <w:p>
      <w:pPr>
        <w:pStyle w:val="8"/>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传    真：</w:t>
      </w:r>
      <w:r>
        <w:rPr>
          <w:rFonts w:hint="eastAsia" w:hAnsi="宋体"/>
          <w:b w:val="0"/>
          <w:bCs w:val="0"/>
          <w:color w:val="auto"/>
          <w:szCs w:val="21"/>
          <w:highlight w:val="none"/>
          <w:lang w:val="en-US" w:eastAsia="zh-CN"/>
        </w:rPr>
        <w:t>/</w:t>
      </w:r>
      <w:r>
        <w:rPr>
          <w:rFonts w:hint="eastAsia" w:hAnsi="宋体"/>
          <w:b w:val="0"/>
          <w:bCs w:val="0"/>
          <w:color w:val="auto"/>
          <w:szCs w:val="21"/>
          <w:highlight w:val="none"/>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传    真：</w:t>
      </w:r>
      <w:r>
        <w:rPr>
          <w:rFonts w:hint="eastAsia" w:hAnsi="宋体"/>
          <w:b w:val="0"/>
          <w:bCs w:val="0"/>
          <w:color w:val="auto"/>
          <w:szCs w:val="21"/>
          <w:highlight w:val="none"/>
        </w:rPr>
        <w:t>027-87816666-8609</w:t>
      </w:r>
    </w:p>
    <w:p>
      <w:pPr>
        <w:pStyle w:val="8"/>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电子邮件：  /                          电子邮件：</w:t>
      </w:r>
      <w:r>
        <w:rPr>
          <w:rFonts w:hint="eastAsia" w:ascii="宋体" w:hAnsi="宋体" w:cs="宋体"/>
          <w:b w:val="0"/>
          <w:bCs w:val="0"/>
          <w:color w:val="auto"/>
          <w:szCs w:val="21"/>
          <w:highlight w:val="none"/>
          <w:lang w:val="en-US" w:eastAsia="zh-CN"/>
        </w:rPr>
        <w:t>1042197081</w:t>
      </w:r>
      <w:r>
        <w:rPr>
          <w:rFonts w:hint="eastAsia" w:hAnsi="宋体"/>
          <w:b w:val="0"/>
          <w:bCs w:val="0"/>
          <w:color w:val="auto"/>
          <w:szCs w:val="21"/>
          <w:highlight w:val="none"/>
        </w:rPr>
        <w:t>@qq.com</w:t>
      </w:r>
    </w:p>
    <w:p>
      <w:pPr>
        <w:pStyle w:val="8"/>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网    址：  /                          网    址：</w:t>
      </w:r>
      <w:r>
        <w:rPr>
          <w:rFonts w:hint="eastAsia" w:ascii="宋体" w:hAnsi="宋体" w:cs="宋体"/>
          <w:b w:val="0"/>
          <w:bCs w:val="0"/>
          <w:color w:val="auto"/>
          <w:szCs w:val="21"/>
          <w:highlight w:val="none"/>
        </w:rPr>
        <w:fldChar w:fldCharType="begin"/>
      </w:r>
      <w:r>
        <w:rPr>
          <w:rFonts w:hint="eastAsia" w:ascii="宋体" w:hAnsi="宋体" w:cs="宋体"/>
          <w:b w:val="0"/>
          <w:bCs w:val="0"/>
          <w:color w:val="auto"/>
          <w:szCs w:val="21"/>
          <w:highlight w:val="none"/>
        </w:rPr>
        <w:instrText xml:space="preserve"> HYPERLINK "http://www.hubeibidding.com" </w:instrText>
      </w:r>
      <w:r>
        <w:rPr>
          <w:rFonts w:hint="eastAsia" w:ascii="宋体" w:hAnsi="宋体" w:cs="宋体"/>
          <w:b w:val="0"/>
          <w:bCs w:val="0"/>
          <w:color w:val="auto"/>
          <w:szCs w:val="21"/>
          <w:highlight w:val="none"/>
        </w:rPr>
        <w:fldChar w:fldCharType="separate"/>
      </w:r>
      <w:r>
        <w:rPr>
          <w:rStyle w:val="6"/>
          <w:rFonts w:hint="eastAsia" w:ascii="宋体" w:hAnsi="宋体" w:cs="宋体"/>
          <w:b w:val="0"/>
          <w:bCs w:val="0"/>
          <w:color w:val="auto"/>
          <w:sz w:val="21"/>
          <w:szCs w:val="21"/>
          <w:highlight w:val="none"/>
        </w:rPr>
        <w:t>www.hubeibidding.com</w:t>
      </w:r>
      <w:r>
        <w:rPr>
          <w:rFonts w:hint="eastAsia" w:ascii="宋体" w:hAnsi="宋体" w:cs="宋体"/>
          <w:b w:val="0"/>
          <w:bCs w:val="0"/>
          <w:color w:val="auto"/>
          <w:szCs w:val="21"/>
          <w:highlight w:val="none"/>
        </w:rPr>
        <w:fldChar w:fldCharType="end"/>
      </w:r>
      <w:r>
        <w:rPr>
          <w:rFonts w:hint="eastAsia" w:ascii="宋体" w:hAnsi="宋体" w:cs="宋体"/>
          <w:b w:val="0"/>
          <w:bCs w:val="0"/>
          <w:color w:val="auto"/>
          <w:szCs w:val="21"/>
          <w:highlight w:val="none"/>
        </w:rPr>
        <w:t xml:space="preserve"> </w:t>
      </w:r>
    </w:p>
    <w:p>
      <w:pPr>
        <w:pStyle w:val="8"/>
        <w:spacing w:line="360" w:lineRule="auto"/>
        <w:rPr>
          <w:rFonts w:hint="eastAsia" w:ascii="宋体" w:hAnsi="宋体" w:cs="宋体"/>
          <w:color w:val="auto"/>
          <w:szCs w:val="21"/>
          <w:highlight w:val="none"/>
        </w:rPr>
      </w:pPr>
      <w:r>
        <w:rPr>
          <w:rFonts w:hint="eastAsia" w:ascii="宋体" w:hAnsi="宋体" w:cs="宋体"/>
          <w:b w:val="0"/>
          <w:bCs w:val="0"/>
          <w:color w:val="auto"/>
          <w:szCs w:val="21"/>
          <w:highlight w:val="none"/>
        </w:rPr>
        <w:t>开户银行：  /                          开户银行：中国银行武汉中南路支</w:t>
      </w:r>
      <w:r>
        <w:rPr>
          <w:rFonts w:hint="eastAsia" w:ascii="宋体" w:hAnsi="宋体" w:cs="宋体"/>
          <w:color w:val="auto"/>
          <w:szCs w:val="21"/>
          <w:highlight w:val="none"/>
        </w:rPr>
        <w:t>行</w:t>
      </w:r>
    </w:p>
    <w:p>
      <w:pPr>
        <w:tabs>
          <w:tab w:val="left" w:pos="540"/>
          <w:tab w:val="left" w:pos="84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  /                          账    号：572976591978</w:t>
      </w:r>
    </w:p>
    <w:bookmarkEnd w:id="50"/>
    <w:p>
      <w:pPr>
        <w:pStyle w:val="2"/>
        <w:numPr>
          <w:numId w:val="0"/>
        </w:numPr>
        <w:spacing w:before="260" w:after="260" w:line="240" w:lineRule="auto"/>
        <w:ind w:leftChars="0"/>
        <w:rPr>
          <w:rFonts w:hint="eastAsia" w:ascii="宋体" w:hAnsi="宋体" w:eastAsia="宋体" w:cs="宋体"/>
          <w:sz w:val="21"/>
          <w:szCs w:val="21"/>
        </w:rPr>
      </w:pPr>
      <w:bookmarkStart w:id="51" w:name="_Toc3472"/>
      <w:bookmarkStart w:id="52" w:name="_Toc28510"/>
      <w:bookmarkStart w:id="53" w:name="_Toc1765"/>
      <w:bookmarkStart w:id="54" w:name="_Toc334539190"/>
      <w:bookmarkStart w:id="55" w:name="_Toc14406"/>
      <w:bookmarkStart w:id="56" w:name="_Toc32188"/>
      <w:r>
        <w:rPr>
          <w:rFonts w:hint="eastAsia" w:ascii="宋体" w:hAnsi="宋体" w:eastAsia="宋体" w:cs="宋体"/>
          <w:sz w:val="21"/>
          <w:szCs w:val="21"/>
          <w:lang w:val="en-US" w:eastAsia="zh-CN"/>
        </w:rPr>
        <w:t>七、</w:t>
      </w:r>
      <w:r>
        <w:rPr>
          <w:rFonts w:hint="eastAsia" w:ascii="宋体" w:hAnsi="宋体" w:eastAsia="宋体" w:cs="宋体"/>
          <w:sz w:val="21"/>
          <w:szCs w:val="21"/>
        </w:rPr>
        <w:t>汇款账户信息</w:t>
      </w:r>
      <w:bookmarkEnd w:id="51"/>
      <w:bookmarkEnd w:id="52"/>
      <w:bookmarkEnd w:id="53"/>
    </w:p>
    <w:p>
      <w:pPr>
        <w:pStyle w:val="2"/>
        <w:numPr>
          <w:numId w:val="0"/>
        </w:numPr>
        <w:spacing w:before="260" w:after="260" w:line="240" w:lineRule="auto"/>
        <w:rPr>
          <w:rFonts w:hint="eastAsia" w:ascii="宋体" w:hAnsi="宋体" w:eastAsia="宋体" w:cs="宋体"/>
          <w:b w:val="0"/>
          <w:bCs w:val="0"/>
          <w:sz w:val="21"/>
          <w:szCs w:val="21"/>
        </w:rPr>
      </w:pPr>
      <w:bookmarkStart w:id="57" w:name="_Toc13382"/>
      <w:bookmarkStart w:id="58" w:name="_Toc21484"/>
      <w:bookmarkStart w:id="59" w:name="_Toc1319"/>
      <w:r>
        <w:rPr>
          <w:rFonts w:hint="eastAsia" w:ascii="宋体" w:hAnsi="宋体" w:eastAsia="宋体" w:cs="宋体"/>
          <w:b w:val="0"/>
          <w:bCs w:val="0"/>
          <w:sz w:val="21"/>
          <w:szCs w:val="21"/>
        </w:rPr>
        <w:t>开户行：中国银行武汉中南路支行</w:t>
      </w:r>
      <w:bookmarkEnd w:id="57"/>
      <w:bookmarkEnd w:id="58"/>
      <w:bookmarkEnd w:id="59"/>
    </w:p>
    <w:p>
      <w:pPr>
        <w:pStyle w:val="2"/>
        <w:numPr>
          <w:numId w:val="0"/>
        </w:numPr>
        <w:spacing w:before="260" w:after="260" w:line="240" w:lineRule="auto"/>
        <w:rPr>
          <w:rFonts w:hint="eastAsia" w:ascii="宋体" w:hAnsi="宋体" w:eastAsia="宋体" w:cs="宋体"/>
          <w:b w:val="0"/>
          <w:bCs w:val="0"/>
          <w:sz w:val="21"/>
          <w:szCs w:val="21"/>
        </w:rPr>
      </w:pPr>
      <w:bookmarkStart w:id="60" w:name="_Toc23828"/>
      <w:bookmarkStart w:id="61" w:name="_Toc26426"/>
      <w:bookmarkStart w:id="62" w:name="_Toc23940"/>
      <w:r>
        <w:rPr>
          <w:rFonts w:hint="eastAsia" w:ascii="宋体" w:hAnsi="宋体" w:eastAsia="宋体" w:cs="宋体"/>
          <w:b w:val="0"/>
          <w:bCs w:val="0"/>
          <w:sz w:val="21"/>
          <w:szCs w:val="21"/>
        </w:rPr>
        <w:t>收款人：湖北省成套招标股份有限公司</w:t>
      </w:r>
      <w:bookmarkEnd w:id="60"/>
      <w:bookmarkEnd w:id="61"/>
      <w:bookmarkEnd w:id="62"/>
    </w:p>
    <w:p>
      <w:pPr>
        <w:pStyle w:val="2"/>
        <w:numPr>
          <w:numId w:val="0"/>
        </w:numPr>
        <w:spacing w:before="260" w:after="260" w:line="240" w:lineRule="auto"/>
        <w:rPr>
          <w:rFonts w:hint="eastAsia" w:ascii="宋体" w:hAnsi="宋体" w:eastAsia="宋体" w:cs="宋体"/>
          <w:b w:val="0"/>
          <w:bCs w:val="0"/>
          <w:sz w:val="21"/>
          <w:szCs w:val="21"/>
        </w:rPr>
      </w:pPr>
      <w:bookmarkStart w:id="63" w:name="_Toc12043"/>
      <w:bookmarkStart w:id="64" w:name="_Toc27738"/>
      <w:bookmarkStart w:id="65" w:name="_Toc6000"/>
      <w:r>
        <w:rPr>
          <w:rFonts w:hint="eastAsia" w:ascii="宋体" w:hAnsi="宋体" w:eastAsia="宋体" w:cs="宋体"/>
          <w:b w:val="0"/>
          <w:bCs w:val="0"/>
          <w:sz w:val="21"/>
          <w:szCs w:val="21"/>
        </w:rPr>
        <w:t>帐 号：5729 7659 1978</w:t>
      </w:r>
      <w:bookmarkEnd w:id="63"/>
      <w:bookmarkEnd w:id="64"/>
      <w:bookmarkEnd w:id="65"/>
      <w:r>
        <w:rPr>
          <w:rFonts w:hint="eastAsia" w:ascii="宋体" w:hAnsi="宋体" w:eastAsia="宋体" w:cs="宋体"/>
          <w:b w:val="0"/>
          <w:bCs w:val="0"/>
          <w:sz w:val="21"/>
          <w:szCs w:val="21"/>
        </w:rPr>
        <w:t xml:space="preserve"> </w:t>
      </w:r>
    </w:p>
    <w:p>
      <w:pPr>
        <w:pStyle w:val="2"/>
        <w:numPr>
          <w:numId w:val="0"/>
        </w:numPr>
        <w:spacing w:before="260" w:after="260" w:line="240" w:lineRule="auto"/>
        <w:rPr>
          <w:rFonts w:hint="eastAsia" w:ascii="宋体" w:hAnsi="宋体" w:eastAsia="宋体" w:cs="宋体"/>
          <w:b w:val="0"/>
          <w:bCs w:val="0"/>
          <w:sz w:val="21"/>
          <w:szCs w:val="21"/>
        </w:rPr>
      </w:pPr>
      <w:bookmarkStart w:id="66" w:name="_Toc10862"/>
      <w:bookmarkStart w:id="67" w:name="_Toc23056"/>
      <w:bookmarkStart w:id="68" w:name="_Toc11093"/>
      <w:r>
        <w:rPr>
          <w:rFonts w:hint="eastAsia" w:ascii="宋体" w:hAnsi="宋体" w:eastAsia="宋体" w:cs="宋体"/>
          <w:b w:val="0"/>
          <w:bCs w:val="0"/>
          <w:sz w:val="21"/>
          <w:szCs w:val="21"/>
        </w:rPr>
        <w:t>行号：840085</w:t>
      </w:r>
      <w:bookmarkEnd w:id="66"/>
      <w:bookmarkEnd w:id="67"/>
      <w:bookmarkEnd w:id="68"/>
    </w:p>
    <w:p>
      <w:pPr>
        <w:pStyle w:val="2"/>
        <w:numPr>
          <w:numId w:val="0"/>
        </w:numPr>
        <w:spacing w:before="260" w:after="260" w:line="240" w:lineRule="auto"/>
        <w:ind w:leftChars="0"/>
        <w:rPr>
          <w:rFonts w:hint="eastAsia" w:ascii="宋体" w:hAnsi="宋体" w:eastAsia="宋体" w:cs="宋体"/>
          <w:sz w:val="21"/>
          <w:szCs w:val="21"/>
        </w:rPr>
      </w:pPr>
      <w:bookmarkStart w:id="69" w:name="_Toc8480"/>
      <w:bookmarkStart w:id="70" w:name="_Toc11036"/>
      <w:bookmarkStart w:id="71" w:name="_Toc19104"/>
      <w:r>
        <w:rPr>
          <w:rFonts w:hint="eastAsia" w:ascii="宋体" w:hAnsi="宋体" w:eastAsia="宋体" w:cs="宋体"/>
          <w:sz w:val="21"/>
          <w:szCs w:val="21"/>
          <w:lang w:val="en-US" w:eastAsia="zh-CN"/>
        </w:rPr>
        <w:t>八、</w:t>
      </w:r>
      <w:r>
        <w:rPr>
          <w:rFonts w:hint="eastAsia" w:ascii="宋体" w:hAnsi="宋体" w:eastAsia="宋体" w:cs="宋体"/>
          <w:sz w:val="21"/>
          <w:szCs w:val="21"/>
        </w:rPr>
        <w:t>信息发布媒体</w:t>
      </w:r>
      <w:bookmarkEnd w:id="54"/>
      <w:r>
        <w:rPr>
          <w:rFonts w:hint="eastAsia" w:ascii="宋体" w:hAnsi="宋体" w:eastAsia="宋体" w:cs="宋体"/>
          <w:sz w:val="21"/>
          <w:szCs w:val="21"/>
        </w:rPr>
        <w:t>及发布时间</w:t>
      </w:r>
      <w:bookmarkEnd w:id="55"/>
      <w:bookmarkEnd w:id="56"/>
      <w:bookmarkEnd w:id="69"/>
      <w:bookmarkEnd w:id="70"/>
      <w:bookmarkEnd w:id="71"/>
    </w:p>
    <w:p>
      <w:pPr>
        <w:spacing w:line="360" w:lineRule="auto"/>
        <w:rPr>
          <w:rFonts w:hint="eastAsia" w:ascii="宋体" w:hAnsi="宋体" w:eastAsia="宋体" w:cs="宋体"/>
          <w:szCs w:val="21"/>
        </w:rPr>
      </w:pPr>
      <w:r>
        <w:rPr>
          <w:rFonts w:hint="eastAsia" w:ascii="宋体" w:hAnsi="宋体" w:eastAsia="宋体" w:cs="宋体"/>
          <w:szCs w:val="21"/>
        </w:rPr>
        <w:t>发布媒体：</w:t>
      </w:r>
      <w:r>
        <w:rPr>
          <w:rFonts w:hint="eastAsia" w:ascii="宋体" w:hAnsi="宋体" w:eastAsia="宋体" w:cs="宋体"/>
          <w:color w:val="auto"/>
          <w:szCs w:val="21"/>
        </w:rPr>
        <w:t>中国招标报投标公共服务平台</w:t>
      </w:r>
      <w:r>
        <w:rPr>
          <w:rFonts w:hint="eastAsia" w:ascii="宋体" w:hAnsi="宋体" w:eastAsia="宋体" w:cs="宋体"/>
          <w:color w:val="auto"/>
          <w:szCs w:val="21"/>
          <w:lang w:eastAsia="zh-CN"/>
        </w:rPr>
        <w:t>、</w:t>
      </w:r>
      <w:r>
        <w:rPr>
          <w:rFonts w:hint="eastAsia" w:ascii="宋体" w:hAnsi="宋体" w:eastAsia="宋体" w:cs="宋体"/>
          <w:color w:val="auto"/>
          <w:szCs w:val="21"/>
        </w:rPr>
        <w:t>湖北机场集团有限公司</w:t>
      </w:r>
      <w:r>
        <w:rPr>
          <w:rFonts w:hint="eastAsia" w:ascii="宋体" w:hAnsi="宋体" w:eastAsia="宋体" w:cs="宋体"/>
          <w:color w:val="auto"/>
          <w:szCs w:val="21"/>
          <w:lang w:val="en-US" w:eastAsia="zh-CN"/>
        </w:rPr>
        <w:t>网、</w:t>
      </w:r>
      <w:r>
        <w:rPr>
          <w:rFonts w:hint="eastAsia" w:ascii="宋体" w:hAnsi="宋体" w:eastAsia="宋体" w:cs="宋体"/>
          <w:color w:val="auto"/>
          <w:szCs w:val="21"/>
        </w:rPr>
        <w:t>湖北省成套招标股份有限公司</w:t>
      </w:r>
      <w:r>
        <w:rPr>
          <w:rFonts w:hint="eastAsia" w:ascii="宋体" w:hAnsi="宋体" w:eastAsia="宋体" w:cs="宋体"/>
          <w:color w:val="auto"/>
          <w:szCs w:val="21"/>
          <w:lang w:val="en-US" w:eastAsia="zh-CN"/>
        </w:rPr>
        <w:t>网</w:t>
      </w:r>
    </w:p>
    <w:p>
      <w:pPr>
        <w:wordWrap w:val="0"/>
        <w:spacing w:line="360" w:lineRule="auto"/>
        <w:rPr>
          <w:rFonts w:hint="eastAsia" w:ascii="宋体" w:hAnsi="宋体" w:eastAsia="宋体" w:cs="宋体"/>
          <w:szCs w:val="21"/>
        </w:rPr>
      </w:pPr>
      <w:r>
        <w:rPr>
          <w:rFonts w:hint="eastAsia" w:ascii="宋体" w:hAnsi="宋体" w:eastAsia="宋体" w:cs="宋体"/>
          <w:szCs w:val="21"/>
        </w:rPr>
        <w:t>发布日期：2020年</w:t>
      </w:r>
      <w:r>
        <w:rPr>
          <w:rFonts w:hint="eastAsia" w:ascii="宋体" w:hAnsi="宋体" w:eastAsia="宋体" w:cs="宋体"/>
          <w:szCs w:val="21"/>
          <w:lang w:val="en-US" w:eastAsia="zh-CN"/>
        </w:rPr>
        <w:t>12</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w:t>
      </w:r>
    </w:p>
    <w:p>
      <w:pPr>
        <w:jc w:val="center"/>
        <w:rPr>
          <w:rFonts w:hint="eastAsia" w:ascii="Calibri" w:hAnsi="宋体"/>
          <w:b/>
          <w:bCs/>
          <w:color w:val="auto"/>
          <w:sz w:val="32"/>
          <w:szCs w:val="32"/>
          <w:highlight w:val="none"/>
          <w:u w:val="none" w:color="auto"/>
          <w:lang w:val="en-US" w:eastAsia="zh-CN"/>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7050605">
    <w:nsid w:val="5FC9A56D"/>
    <w:multiLevelType w:val="singleLevel"/>
    <w:tmpl w:val="5FC9A56D"/>
    <w:lvl w:ilvl="0" w:tentative="1">
      <w:start w:val="5"/>
      <w:numFmt w:val="decimal"/>
      <w:suff w:val="nothing"/>
      <w:lvlText w:val="%1、"/>
      <w:lvlJc w:val="left"/>
    </w:lvl>
  </w:abstractNum>
  <w:num w:numId="1">
    <w:abstractNumId w:val="16070506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doNotWrapTextWithPunct/>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61C1D49"/>
    <w:rsid w:val="0FBD6CF4"/>
    <w:rsid w:val="152143B8"/>
    <w:rsid w:val="54F25FC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4">
    <w:name w:val="Default Paragraph Font"/>
    <w:unhideWhenUsed/>
    <w:uiPriority w:val="0"/>
    <w:rPr>
      <w:rFonts w:ascii="Tahoma" w:hAnsi="Tahoma"/>
      <w:sz w:val="24"/>
    </w:rPr>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snapToGrid w:val="0"/>
      <w:jc w:val="left"/>
    </w:pPr>
    <w:rPr>
      <w:sz w:val="18"/>
      <w:szCs w:val="18"/>
    </w:rPr>
  </w:style>
  <w:style w:type="character" w:styleId="5">
    <w:name w:val="page number"/>
    <w:basedOn w:val="4"/>
    <w:unhideWhenUsed/>
    <w:uiPriority w:val="99"/>
    <w:rPr/>
  </w:style>
  <w:style w:type="character" w:styleId="6">
    <w:name w:val="Hyperlink"/>
    <w:unhideWhenUsed/>
    <w:uiPriority w:val="99"/>
    <w:rPr>
      <w:rFonts w:ascii="Tahoma" w:hAnsi="Tahoma"/>
      <w:color w:val="0000FF"/>
      <w:sz w:val="24"/>
      <w:u w:val="single"/>
    </w:rPr>
  </w:style>
  <w:style w:type="paragraph" w:customStyle="1" w:styleId="8">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2020-12-30T01:49:00Z</dcterms:created>
  <cp:lastModifiedBy>NTKO</cp:lastModifiedBy>
  <dcterms:modified xsi:type="dcterms:W3CDTF">2020-12-30T03:20:40Z</dcterms:modified>
  <dc:title>武汉天河机场便利服务类柜台项目招商公告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