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lang w:val="en-US" w:eastAsia="zh-CN"/>
        </w:rPr>
      </w:pPr>
      <w:r>
        <w:rPr>
          <w:rFonts w:hint="eastAsia"/>
        </w:rPr>
        <w:t>武汉天河机场T3航站楼</w:t>
      </w:r>
      <w:r>
        <w:rPr>
          <w:rFonts w:hint="eastAsia"/>
          <w:lang w:eastAsia="zh-CN"/>
        </w:rPr>
        <w:t>儿童休闲集合区</w:t>
      </w:r>
      <w:r>
        <w:rPr>
          <w:rFonts w:hint="eastAsia"/>
        </w:rPr>
        <w:t>招商</w:t>
      </w:r>
      <w:r>
        <w:rPr>
          <w:rFonts w:hint="eastAsia"/>
          <w:lang w:val="en-US" w:eastAsia="zh-CN"/>
        </w:rPr>
        <w:t>公告</w:t>
      </w:r>
    </w:p>
    <w:p>
      <w:pPr>
        <w:pStyle w:val="5"/>
        <w:spacing w:line="360" w:lineRule="auto"/>
        <w:ind w:firstLine="480" w:firstLineChars="200"/>
        <w:rPr>
          <w:rFonts w:ascii="宋体" w:hAnsi="宋体" w:cs="宋体"/>
          <w:color w:val="auto"/>
          <w:highlight w:val="none"/>
        </w:rPr>
      </w:pPr>
      <w:r>
        <w:rPr>
          <w:rFonts w:hint="eastAsia" w:ascii="宋体" w:hAnsi="宋体" w:cs="宋体"/>
          <w:color w:val="auto"/>
          <w:highlight w:val="none"/>
        </w:rPr>
        <w:t>湖北省招标股份有限公司（以下简称“招商代理机构”）受武汉天河机场空港服务有限公司（以下简称“招商人”）的委托，就其武汉天河机场T3航站楼</w:t>
      </w:r>
      <w:r>
        <w:rPr>
          <w:rFonts w:hint="eastAsia" w:ascii="宋体" w:hAnsi="宋体" w:cs="宋体"/>
          <w:color w:val="auto"/>
          <w:highlight w:val="none"/>
          <w:lang w:eastAsia="zh-CN"/>
        </w:rPr>
        <w:t>儿童休闲集合区</w:t>
      </w:r>
      <w:r>
        <w:rPr>
          <w:rFonts w:hint="eastAsia" w:ascii="宋体" w:hAnsi="宋体" w:cs="宋体"/>
          <w:color w:val="auto"/>
          <w:highlight w:val="none"/>
        </w:rPr>
        <w:t>招商，现公开邀请潜在响应人参与</w:t>
      </w:r>
      <w:r>
        <w:rPr>
          <w:rFonts w:hint="eastAsia" w:ascii="宋体" w:hAnsi="宋体" w:cs="宋体"/>
          <w:color w:val="auto"/>
          <w:highlight w:val="none"/>
          <w:lang w:val="en-US" w:eastAsia="zh-CN"/>
        </w:rPr>
        <w:t>招商</w:t>
      </w:r>
      <w:r>
        <w:rPr>
          <w:rFonts w:hint="eastAsia" w:ascii="宋体" w:hAnsi="宋体" w:cs="宋体"/>
          <w:color w:val="auto"/>
          <w:highlight w:val="none"/>
        </w:rPr>
        <w:t>活动。</w:t>
      </w:r>
    </w:p>
    <w:p>
      <w:pPr>
        <w:pStyle w:val="2"/>
        <w:spacing w:before="156" w:beforeLines="50" w:after="156" w:afterLines="50" w:line="360" w:lineRule="auto"/>
        <w:rPr>
          <w:rFonts w:ascii="宋体" w:hAnsi="宋体" w:eastAsia="宋体" w:cs="宋体"/>
          <w:b/>
          <w:color w:val="auto"/>
          <w:sz w:val="28"/>
          <w:szCs w:val="28"/>
          <w:highlight w:val="none"/>
        </w:rPr>
      </w:pPr>
      <w:bookmarkStart w:id="0" w:name="_Toc12788"/>
      <w:bookmarkStart w:id="1" w:name="_Toc431970291"/>
      <w:bookmarkStart w:id="2" w:name="_Toc430855196"/>
      <w:r>
        <w:rPr>
          <w:rFonts w:hint="eastAsia" w:ascii="宋体" w:hAnsi="宋体" w:eastAsia="宋体" w:cs="宋体"/>
          <w:b/>
          <w:color w:val="auto"/>
          <w:sz w:val="28"/>
          <w:szCs w:val="28"/>
          <w:highlight w:val="none"/>
        </w:rPr>
        <w:t>一、项目概况</w:t>
      </w:r>
      <w:bookmarkEnd w:id="0"/>
      <w:bookmarkEnd w:id="1"/>
      <w:bookmarkEnd w:id="2"/>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1、项目名称：武汉天河机场T3航站楼</w:t>
      </w:r>
      <w:r>
        <w:rPr>
          <w:rFonts w:hint="eastAsia" w:ascii="宋体" w:hAnsi="宋体" w:cs="宋体"/>
          <w:color w:val="auto"/>
          <w:sz w:val="24"/>
          <w:highlight w:val="none"/>
          <w:lang w:eastAsia="zh-CN"/>
        </w:rPr>
        <w:t>儿童休闲集合区</w:t>
      </w:r>
      <w:r>
        <w:rPr>
          <w:rFonts w:hint="eastAsia" w:ascii="宋体" w:hAnsi="宋体" w:cs="宋体"/>
          <w:color w:val="auto"/>
          <w:sz w:val="24"/>
          <w:highlight w:val="none"/>
        </w:rPr>
        <w:t>招商</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2、招商编号：HBT-12170091-200034</w:t>
      </w:r>
      <w:r>
        <w:rPr>
          <w:rFonts w:hint="eastAsia" w:ascii="宋体" w:hAnsi="宋体" w:cs="宋体"/>
          <w:color w:val="auto"/>
          <w:sz w:val="24"/>
          <w:highlight w:val="none"/>
          <w:lang w:val="en-US" w:eastAsia="zh-CN"/>
        </w:rPr>
        <w:t xml:space="preserve"> </w:t>
      </w:r>
      <w:r>
        <w:rPr>
          <w:rFonts w:hint="eastAsia" w:ascii="宋体" w:hAnsi="宋体" w:cs="宋体"/>
          <w:color w:val="FF0000"/>
          <w:sz w:val="24"/>
          <w:highlight w:val="none"/>
          <w:lang w:val="en-US" w:eastAsia="zh-CN"/>
        </w:rPr>
        <w:t xml:space="preserve"> </w:t>
      </w:r>
    </w:p>
    <w:tbl>
      <w:tblPr>
        <w:tblStyle w:val="6"/>
        <w:tblpPr w:leftFromText="180" w:rightFromText="180" w:vertAnchor="text" w:horzAnchor="page" w:tblpX="1013" w:tblpY="1868"/>
        <w:tblOverlap w:val="never"/>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06"/>
        <w:gridCol w:w="1085"/>
        <w:gridCol w:w="1685"/>
        <w:gridCol w:w="1327"/>
        <w:gridCol w:w="1269"/>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27" w:type="dxa"/>
            <w:vAlign w:val="center"/>
          </w:tcPr>
          <w:p>
            <w:pPr>
              <w:spacing w:line="360" w:lineRule="auto"/>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标段</w:t>
            </w:r>
          </w:p>
        </w:tc>
        <w:tc>
          <w:tcPr>
            <w:tcW w:w="1106" w:type="dxa"/>
            <w:vAlign w:val="center"/>
          </w:tcPr>
          <w:p>
            <w:pPr>
              <w:spacing w:line="360" w:lineRule="auto"/>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业态</w:t>
            </w:r>
          </w:p>
        </w:tc>
        <w:tc>
          <w:tcPr>
            <w:tcW w:w="1085" w:type="dxa"/>
            <w:vAlign w:val="center"/>
          </w:tcPr>
          <w:p>
            <w:pPr>
              <w:spacing w:line="360" w:lineRule="auto"/>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品类</w:t>
            </w:r>
          </w:p>
        </w:tc>
        <w:tc>
          <w:tcPr>
            <w:tcW w:w="1685" w:type="dxa"/>
            <w:vAlign w:val="center"/>
          </w:tcPr>
          <w:p>
            <w:pPr>
              <w:spacing w:line="360" w:lineRule="auto"/>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位置</w:t>
            </w:r>
          </w:p>
        </w:tc>
        <w:tc>
          <w:tcPr>
            <w:tcW w:w="1327" w:type="dxa"/>
            <w:vAlign w:val="center"/>
          </w:tcPr>
          <w:p>
            <w:pPr>
              <w:spacing w:line="360" w:lineRule="auto"/>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店铺编号</w:t>
            </w:r>
          </w:p>
        </w:tc>
        <w:tc>
          <w:tcPr>
            <w:tcW w:w="1269" w:type="dxa"/>
            <w:vAlign w:val="center"/>
          </w:tcPr>
          <w:p>
            <w:pPr>
              <w:spacing w:line="360" w:lineRule="auto"/>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面积（㎡）</w:t>
            </w:r>
          </w:p>
        </w:tc>
        <w:tc>
          <w:tcPr>
            <w:tcW w:w="2906" w:type="dxa"/>
            <w:vAlign w:val="center"/>
          </w:tcPr>
          <w:p>
            <w:pPr>
              <w:spacing w:line="360" w:lineRule="auto"/>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27" w:type="dxa"/>
            <w:vMerge w:val="restart"/>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1106" w:type="dxa"/>
            <w:vMerge w:val="restart"/>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零售</w:t>
            </w:r>
          </w:p>
        </w:tc>
        <w:tc>
          <w:tcPr>
            <w:tcW w:w="1085" w:type="dxa"/>
            <w:vMerge w:val="restart"/>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儿童休闲集合区</w:t>
            </w:r>
          </w:p>
        </w:tc>
        <w:tc>
          <w:tcPr>
            <w:tcW w:w="1685" w:type="dxa"/>
            <w:vMerge w:val="restart"/>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东集中区</w:t>
            </w:r>
          </w:p>
        </w:tc>
        <w:tc>
          <w:tcPr>
            <w:tcW w:w="1327"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2EC-50-01</w:t>
            </w:r>
          </w:p>
        </w:tc>
        <w:tc>
          <w:tcPr>
            <w:tcW w:w="1269"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137.99</w:t>
            </w:r>
          </w:p>
        </w:tc>
        <w:tc>
          <w:tcPr>
            <w:tcW w:w="290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儿童集合店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27" w:type="dxa"/>
            <w:vMerge w:val="continue"/>
            <w:vAlign w:val="center"/>
          </w:tcPr>
          <w:p>
            <w:pPr>
              <w:spacing w:line="360" w:lineRule="auto"/>
              <w:jc w:val="center"/>
              <w:rPr>
                <w:rFonts w:hint="eastAsia" w:ascii="仿宋" w:hAnsi="仿宋" w:eastAsia="仿宋" w:cs="仿宋"/>
                <w:szCs w:val="21"/>
              </w:rPr>
            </w:pPr>
          </w:p>
        </w:tc>
        <w:tc>
          <w:tcPr>
            <w:tcW w:w="1106" w:type="dxa"/>
            <w:vMerge w:val="continue"/>
            <w:vAlign w:val="center"/>
          </w:tcPr>
          <w:p>
            <w:pPr>
              <w:spacing w:line="360" w:lineRule="auto"/>
              <w:jc w:val="center"/>
              <w:rPr>
                <w:rFonts w:hint="eastAsia" w:ascii="仿宋" w:hAnsi="仿宋" w:eastAsia="仿宋" w:cs="仿宋"/>
                <w:szCs w:val="21"/>
              </w:rPr>
            </w:pPr>
          </w:p>
        </w:tc>
        <w:tc>
          <w:tcPr>
            <w:tcW w:w="1085" w:type="dxa"/>
            <w:vMerge w:val="continue"/>
            <w:vAlign w:val="center"/>
          </w:tcPr>
          <w:p>
            <w:pPr>
              <w:spacing w:line="360" w:lineRule="auto"/>
              <w:jc w:val="center"/>
              <w:rPr>
                <w:rFonts w:hint="eastAsia" w:ascii="仿宋" w:hAnsi="仿宋" w:eastAsia="仿宋" w:cs="仿宋"/>
                <w:szCs w:val="21"/>
              </w:rPr>
            </w:pPr>
          </w:p>
        </w:tc>
        <w:tc>
          <w:tcPr>
            <w:tcW w:w="1685" w:type="dxa"/>
            <w:vMerge w:val="continue"/>
            <w:vAlign w:val="center"/>
          </w:tcPr>
          <w:p>
            <w:pPr>
              <w:spacing w:line="360" w:lineRule="auto"/>
              <w:jc w:val="center"/>
              <w:rPr>
                <w:rFonts w:hint="eastAsia" w:ascii="仿宋" w:hAnsi="仿宋" w:eastAsia="仿宋" w:cs="仿宋"/>
                <w:szCs w:val="21"/>
              </w:rPr>
            </w:pPr>
          </w:p>
        </w:tc>
        <w:tc>
          <w:tcPr>
            <w:tcW w:w="1327"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2EC-50-02</w:t>
            </w:r>
          </w:p>
        </w:tc>
        <w:tc>
          <w:tcPr>
            <w:tcW w:w="1269"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119.42</w:t>
            </w:r>
          </w:p>
        </w:tc>
        <w:tc>
          <w:tcPr>
            <w:tcW w:w="290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儿童用品品牌店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727" w:type="dxa"/>
            <w:vMerge w:val="continue"/>
            <w:vAlign w:val="center"/>
          </w:tcPr>
          <w:p>
            <w:pPr>
              <w:spacing w:line="360" w:lineRule="auto"/>
              <w:jc w:val="center"/>
              <w:rPr>
                <w:rFonts w:hint="eastAsia" w:ascii="仿宋" w:hAnsi="仿宋" w:eastAsia="仿宋" w:cs="仿宋"/>
                <w:szCs w:val="21"/>
              </w:rPr>
            </w:pPr>
          </w:p>
        </w:tc>
        <w:tc>
          <w:tcPr>
            <w:tcW w:w="1106" w:type="dxa"/>
            <w:vMerge w:val="continue"/>
            <w:vAlign w:val="center"/>
          </w:tcPr>
          <w:p>
            <w:pPr>
              <w:spacing w:line="360" w:lineRule="auto"/>
              <w:jc w:val="center"/>
              <w:rPr>
                <w:rFonts w:hint="eastAsia" w:ascii="仿宋" w:hAnsi="仿宋" w:eastAsia="仿宋" w:cs="仿宋"/>
                <w:szCs w:val="21"/>
              </w:rPr>
            </w:pPr>
          </w:p>
        </w:tc>
        <w:tc>
          <w:tcPr>
            <w:tcW w:w="1085" w:type="dxa"/>
            <w:vMerge w:val="continue"/>
            <w:vAlign w:val="center"/>
          </w:tcPr>
          <w:p>
            <w:pPr>
              <w:spacing w:line="360" w:lineRule="auto"/>
              <w:jc w:val="center"/>
              <w:rPr>
                <w:rFonts w:hint="eastAsia" w:ascii="仿宋" w:hAnsi="仿宋" w:eastAsia="仿宋" w:cs="仿宋"/>
                <w:szCs w:val="21"/>
              </w:rPr>
            </w:pPr>
          </w:p>
        </w:tc>
        <w:tc>
          <w:tcPr>
            <w:tcW w:w="1685" w:type="dxa"/>
            <w:vMerge w:val="continue"/>
            <w:vAlign w:val="center"/>
          </w:tcPr>
          <w:p>
            <w:pPr>
              <w:spacing w:line="360" w:lineRule="auto"/>
              <w:jc w:val="center"/>
              <w:rPr>
                <w:rFonts w:hint="eastAsia" w:ascii="仿宋" w:hAnsi="仿宋" w:eastAsia="仿宋" w:cs="仿宋"/>
                <w:szCs w:val="21"/>
              </w:rPr>
            </w:pPr>
          </w:p>
        </w:tc>
        <w:tc>
          <w:tcPr>
            <w:tcW w:w="1327" w:type="dxa"/>
            <w:vAlign w:val="center"/>
          </w:tcPr>
          <w:p>
            <w:pPr>
              <w:widowControl/>
              <w:jc w:val="center"/>
              <w:textAlignment w:val="center"/>
              <w:rPr>
                <w:rFonts w:hint="eastAsia" w:ascii="仿宋" w:hAnsi="仿宋" w:eastAsia="仿宋" w:cs="仿宋"/>
                <w:szCs w:val="21"/>
                <w:highlight w:val="none"/>
                <w:lang w:eastAsia="zh-CN"/>
              </w:rPr>
            </w:pPr>
            <w:r>
              <w:rPr>
                <w:rFonts w:hint="eastAsia" w:ascii="仿宋" w:hAnsi="仿宋" w:eastAsia="仿宋" w:cs="仿宋"/>
                <w:szCs w:val="21"/>
                <w:highlight w:val="none"/>
              </w:rPr>
              <w:t>2EC-4</w:t>
            </w:r>
            <w:r>
              <w:rPr>
                <w:rFonts w:hint="eastAsia" w:ascii="仿宋" w:hAnsi="仿宋" w:eastAsia="仿宋" w:cs="仿宋"/>
                <w:szCs w:val="21"/>
                <w:highlight w:val="none"/>
                <w:lang w:val="en-US" w:eastAsia="zh-CN"/>
              </w:rPr>
              <w:t>7</w:t>
            </w:r>
          </w:p>
        </w:tc>
        <w:tc>
          <w:tcPr>
            <w:tcW w:w="1269"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116.44</w:t>
            </w:r>
          </w:p>
        </w:tc>
        <w:tc>
          <w:tcPr>
            <w:tcW w:w="2906" w:type="dxa"/>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电子产品、文创产品、创意生活类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27" w:type="dxa"/>
            <w:vMerge w:val="continue"/>
            <w:vAlign w:val="center"/>
          </w:tcPr>
          <w:p>
            <w:pPr>
              <w:spacing w:line="360" w:lineRule="auto"/>
              <w:jc w:val="center"/>
              <w:rPr>
                <w:rFonts w:hint="eastAsia" w:ascii="仿宋" w:hAnsi="仿宋" w:eastAsia="仿宋" w:cs="仿宋"/>
                <w:szCs w:val="21"/>
              </w:rPr>
            </w:pPr>
          </w:p>
        </w:tc>
        <w:tc>
          <w:tcPr>
            <w:tcW w:w="1106" w:type="dxa"/>
            <w:vMerge w:val="continue"/>
            <w:vAlign w:val="center"/>
          </w:tcPr>
          <w:p>
            <w:pPr>
              <w:spacing w:line="360" w:lineRule="auto"/>
              <w:jc w:val="center"/>
              <w:rPr>
                <w:rFonts w:hint="eastAsia" w:ascii="仿宋" w:hAnsi="仿宋" w:eastAsia="仿宋" w:cs="仿宋"/>
                <w:szCs w:val="21"/>
              </w:rPr>
            </w:pPr>
          </w:p>
        </w:tc>
        <w:tc>
          <w:tcPr>
            <w:tcW w:w="1085" w:type="dxa"/>
            <w:vMerge w:val="continue"/>
            <w:vAlign w:val="center"/>
          </w:tcPr>
          <w:p>
            <w:pPr>
              <w:spacing w:line="360" w:lineRule="auto"/>
              <w:jc w:val="center"/>
              <w:rPr>
                <w:rFonts w:hint="eastAsia" w:ascii="仿宋" w:hAnsi="仿宋" w:eastAsia="仿宋" w:cs="仿宋"/>
                <w:szCs w:val="21"/>
              </w:rPr>
            </w:pPr>
          </w:p>
        </w:tc>
        <w:tc>
          <w:tcPr>
            <w:tcW w:w="1685" w:type="dxa"/>
            <w:vMerge w:val="continue"/>
            <w:vAlign w:val="center"/>
          </w:tcPr>
          <w:p>
            <w:pPr>
              <w:spacing w:line="360" w:lineRule="auto"/>
              <w:jc w:val="center"/>
              <w:rPr>
                <w:rFonts w:hint="eastAsia" w:ascii="仿宋" w:hAnsi="仿宋" w:eastAsia="仿宋" w:cs="仿宋"/>
                <w:szCs w:val="21"/>
              </w:rPr>
            </w:pPr>
          </w:p>
        </w:tc>
        <w:tc>
          <w:tcPr>
            <w:tcW w:w="1327" w:type="dxa"/>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szCs w:val="21"/>
                <w:highlight w:val="none"/>
              </w:rPr>
              <w:t>2EC-49</w:t>
            </w:r>
          </w:p>
        </w:tc>
        <w:tc>
          <w:tcPr>
            <w:tcW w:w="1269" w:type="dxa"/>
            <w:vAlign w:val="center"/>
          </w:tcPr>
          <w:p>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100</w:t>
            </w:r>
          </w:p>
        </w:tc>
        <w:tc>
          <w:tcPr>
            <w:tcW w:w="2906" w:type="dxa"/>
            <w:vAlign w:val="center"/>
          </w:tcPr>
          <w:p>
            <w:pPr>
              <w:spacing w:line="360" w:lineRule="auto"/>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电子产品、文创产品、创意生活类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727" w:type="dxa"/>
            <w:vMerge w:val="continue"/>
            <w:vAlign w:val="center"/>
          </w:tcPr>
          <w:p>
            <w:pPr>
              <w:spacing w:line="360" w:lineRule="auto"/>
              <w:jc w:val="center"/>
              <w:rPr>
                <w:rFonts w:hint="eastAsia" w:ascii="仿宋" w:hAnsi="仿宋" w:eastAsia="仿宋" w:cs="仿宋"/>
                <w:szCs w:val="21"/>
              </w:rPr>
            </w:pPr>
          </w:p>
        </w:tc>
        <w:tc>
          <w:tcPr>
            <w:tcW w:w="1106" w:type="dxa"/>
            <w:vMerge w:val="continue"/>
            <w:vAlign w:val="center"/>
          </w:tcPr>
          <w:p>
            <w:pPr>
              <w:spacing w:line="360" w:lineRule="auto"/>
              <w:jc w:val="center"/>
              <w:rPr>
                <w:rFonts w:hint="eastAsia" w:ascii="仿宋" w:hAnsi="仿宋" w:eastAsia="仿宋" w:cs="仿宋"/>
                <w:szCs w:val="21"/>
              </w:rPr>
            </w:pPr>
          </w:p>
        </w:tc>
        <w:tc>
          <w:tcPr>
            <w:tcW w:w="1085" w:type="dxa"/>
            <w:vMerge w:val="continue"/>
            <w:vAlign w:val="center"/>
          </w:tcPr>
          <w:p>
            <w:pPr>
              <w:spacing w:line="360" w:lineRule="auto"/>
              <w:jc w:val="center"/>
              <w:rPr>
                <w:rFonts w:hint="eastAsia" w:ascii="仿宋" w:hAnsi="仿宋" w:eastAsia="仿宋" w:cs="仿宋"/>
                <w:szCs w:val="21"/>
              </w:rPr>
            </w:pPr>
          </w:p>
        </w:tc>
        <w:tc>
          <w:tcPr>
            <w:tcW w:w="1685" w:type="dxa"/>
            <w:vMerge w:val="restart"/>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 xml:space="preserve">东集中区   </w:t>
            </w:r>
          </w:p>
          <w:p>
            <w:pPr>
              <w:spacing w:line="360" w:lineRule="auto"/>
              <w:jc w:val="center"/>
              <w:rPr>
                <w:rFonts w:hint="eastAsia" w:ascii="仿宋" w:hAnsi="仿宋" w:eastAsia="仿宋" w:cs="仿宋"/>
                <w:szCs w:val="21"/>
              </w:rPr>
            </w:pPr>
            <w:r>
              <w:rPr>
                <w:rFonts w:hint="eastAsia" w:ascii="仿宋" w:hAnsi="仿宋" w:eastAsia="仿宋" w:cs="仿宋"/>
                <w:szCs w:val="21"/>
              </w:rPr>
              <w:t>（敞开式商业）</w:t>
            </w:r>
          </w:p>
        </w:tc>
        <w:tc>
          <w:tcPr>
            <w:tcW w:w="1327"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2EC-53</w:t>
            </w:r>
          </w:p>
        </w:tc>
        <w:tc>
          <w:tcPr>
            <w:tcW w:w="1269"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14.54</w:t>
            </w:r>
          </w:p>
        </w:tc>
        <w:tc>
          <w:tcPr>
            <w:tcW w:w="290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儿童用品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727" w:type="dxa"/>
            <w:vMerge w:val="continue"/>
            <w:vAlign w:val="center"/>
          </w:tcPr>
          <w:p>
            <w:pPr>
              <w:spacing w:line="360" w:lineRule="auto"/>
              <w:jc w:val="center"/>
              <w:rPr>
                <w:rFonts w:hint="eastAsia" w:ascii="仿宋" w:hAnsi="仿宋" w:eastAsia="仿宋" w:cs="仿宋"/>
                <w:szCs w:val="21"/>
              </w:rPr>
            </w:pPr>
          </w:p>
        </w:tc>
        <w:tc>
          <w:tcPr>
            <w:tcW w:w="1106" w:type="dxa"/>
            <w:vMerge w:val="continue"/>
            <w:vAlign w:val="center"/>
          </w:tcPr>
          <w:p>
            <w:pPr>
              <w:spacing w:line="360" w:lineRule="auto"/>
              <w:jc w:val="center"/>
              <w:rPr>
                <w:rFonts w:hint="eastAsia" w:ascii="仿宋" w:hAnsi="仿宋" w:eastAsia="仿宋" w:cs="仿宋"/>
                <w:szCs w:val="21"/>
              </w:rPr>
            </w:pPr>
          </w:p>
        </w:tc>
        <w:tc>
          <w:tcPr>
            <w:tcW w:w="1085" w:type="dxa"/>
            <w:vMerge w:val="continue"/>
            <w:vAlign w:val="center"/>
          </w:tcPr>
          <w:p>
            <w:pPr>
              <w:spacing w:line="360" w:lineRule="auto"/>
              <w:jc w:val="center"/>
              <w:rPr>
                <w:rFonts w:hint="eastAsia" w:ascii="仿宋" w:hAnsi="仿宋" w:eastAsia="仿宋" w:cs="仿宋"/>
                <w:szCs w:val="21"/>
              </w:rPr>
            </w:pPr>
          </w:p>
        </w:tc>
        <w:tc>
          <w:tcPr>
            <w:tcW w:w="1685" w:type="dxa"/>
            <w:vMerge w:val="continue"/>
            <w:vAlign w:val="center"/>
          </w:tcPr>
          <w:p>
            <w:pPr>
              <w:spacing w:line="360" w:lineRule="auto"/>
              <w:jc w:val="center"/>
              <w:rPr>
                <w:rFonts w:hint="eastAsia" w:ascii="仿宋" w:hAnsi="仿宋" w:eastAsia="仿宋" w:cs="仿宋"/>
                <w:szCs w:val="21"/>
              </w:rPr>
            </w:pPr>
          </w:p>
        </w:tc>
        <w:tc>
          <w:tcPr>
            <w:tcW w:w="1327"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2EC-54</w:t>
            </w:r>
          </w:p>
        </w:tc>
        <w:tc>
          <w:tcPr>
            <w:tcW w:w="1269"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14.54</w:t>
            </w:r>
          </w:p>
        </w:tc>
        <w:tc>
          <w:tcPr>
            <w:tcW w:w="290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文创产品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27" w:type="dxa"/>
            <w:vMerge w:val="continue"/>
            <w:vAlign w:val="center"/>
          </w:tcPr>
          <w:p>
            <w:pPr>
              <w:spacing w:line="360" w:lineRule="auto"/>
              <w:jc w:val="center"/>
              <w:rPr>
                <w:rFonts w:hint="eastAsia" w:ascii="仿宋" w:hAnsi="仿宋" w:eastAsia="仿宋" w:cs="仿宋"/>
                <w:szCs w:val="21"/>
              </w:rPr>
            </w:pPr>
          </w:p>
        </w:tc>
        <w:tc>
          <w:tcPr>
            <w:tcW w:w="1106" w:type="dxa"/>
            <w:vMerge w:val="continue"/>
            <w:vAlign w:val="center"/>
          </w:tcPr>
          <w:p>
            <w:pPr>
              <w:spacing w:line="360" w:lineRule="auto"/>
              <w:jc w:val="center"/>
              <w:rPr>
                <w:rFonts w:hint="eastAsia" w:ascii="仿宋" w:hAnsi="仿宋" w:eastAsia="仿宋" w:cs="仿宋"/>
                <w:szCs w:val="21"/>
              </w:rPr>
            </w:pPr>
          </w:p>
        </w:tc>
        <w:tc>
          <w:tcPr>
            <w:tcW w:w="1085" w:type="dxa"/>
            <w:vMerge w:val="continue"/>
            <w:vAlign w:val="center"/>
          </w:tcPr>
          <w:p>
            <w:pPr>
              <w:spacing w:line="360" w:lineRule="auto"/>
              <w:jc w:val="center"/>
              <w:rPr>
                <w:rFonts w:hint="eastAsia" w:ascii="仿宋" w:hAnsi="仿宋" w:eastAsia="仿宋" w:cs="仿宋"/>
                <w:szCs w:val="21"/>
              </w:rPr>
            </w:pPr>
          </w:p>
        </w:tc>
        <w:tc>
          <w:tcPr>
            <w:tcW w:w="1685" w:type="dxa"/>
            <w:vMerge w:val="continue"/>
            <w:vAlign w:val="center"/>
          </w:tcPr>
          <w:p>
            <w:pPr>
              <w:spacing w:line="360" w:lineRule="auto"/>
              <w:jc w:val="center"/>
              <w:rPr>
                <w:rFonts w:hint="eastAsia" w:ascii="仿宋" w:hAnsi="仿宋" w:eastAsia="仿宋" w:cs="仿宋"/>
                <w:szCs w:val="21"/>
              </w:rPr>
            </w:pPr>
          </w:p>
        </w:tc>
        <w:tc>
          <w:tcPr>
            <w:tcW w:w="1327"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2EC-55</w:t>
            </w:r>
          </w:p>
        </w:tc>
        <w:tc>
          <w:tcPr>
            <w:tcW w:w="1269"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14.54</w:t>
            </w:r>
          </w:p>
        </w:tc>
        <w:tc>
          <w:tcPr>
            <w:tcW w:w="290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糖果屋等儿童食品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727" w:type="dxa"/>
            <w:vMerge w:val="continue"/>
            <w:vAlign w:val="center"/>
          </w:tcPr>
          <w:p>
            <w:pPr>
              <w:spacing w:line="360" w:lineRule="auto"/>
              <w:jc w:val="center"/>
              <w:rPr>
                <w:rFonts w:hint="eastAsia" w:ascii="仿宋" w:hAnsi="仿宋" w:eastAsia="仿宋" w:cs="仿宋"/>
                <w:szCs w:val="21"/>
              </w:rPr>
            </w:pPr>
          </w:p>
        </w:tc>
        <w:tc>
          <w:tcPr>
            <w:tcW w:w="110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展示销售</w:t>
            </w:r>
          </w:p>
        </w:tc>
        <w:tc>
          <w:tcPr>
            <w:tcW w:w="1085" w:type="dxa"/>
            <w:vMerge w:val="continue"/>
            <w:vAlign w:val="center"/>
          </w:tcPr>
          <w:p>
            <w:pPr>
              <w:spacing w:line="360" w:lineRule="auto"/>
              <w:jc w:val="center"/>
              <w:rPr>
                <w:rFonts w:hint="eastAsia" w:ascii="仿宋" w:hAnsi="仿宋" w:eastAsia="仿宋" w:cs="仿宋"/>
                <w:szCs w:val="21"/>
              </w:rPr>
            </w:pPr>
          </w:p>
        </w:tc>
        <w:tc>
          <w:tcPr>
            <w:tcW w:w="1685" w:type="dxa"/>
            <w:vMerge w:val="continue"/>
            <w:vAlign w:val="center"/>
          </w:tcPr>
          <w:p>
            <w:pPr>
              <w:spacing w:line="360" w:lineRule="auto"/>
              <w:jc w:val="center"/>
              <w:rPr>
                <w:rFonts w:hint="eastAsia" w:ascii="仿宋" w:hAnsi="仿宋" w:eastAsia="仿宋" w:cs="仿宋"/>
                <w:szCs w:val="21"/>
              </w:rPr>
            </w:pPr>
          </w:p>
        </w:tc>
        <w:tc>
          <w:tcPr>
            <w:tcW w:w="1327"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2EC-18</w:t>
            </w:r>
          </w:p>
        </w:tc>
        <w:tc>
          <w:tcPr>
            <w:tcW w:w="1269"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100</w:t>
            </w:r>
          </w:p>
        </w:tc>
        <w:tc>
          <w:tcPr>
            <w:tcW w:w="2906"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科技产品、新奇特产品体验区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7" w:type="dxa"/>
            <w:vMerge w:val="continue"/>
            <w:vAlign w:val="center"/>
          </w:tcPr>
          <w:p>
            <w:pPr>
              <w:spacing w:line="360" w:lineRule="auto"/>
              <w:jc w:val="center"/>
              <w:rPr>
                <w:rFonts w:hint="eastAsia" w:ascii="仿宋" w:hAnsi="仿宋" w:eastAsia="仿宋" w:cs="仿宋"/>
                <w:szCs w:val="21"/>
              </w:rPr>
            </w:pPr>
          </w:p>
        </w:tc>
        <w:tc>
          <w:tcPr>
            <w:tcW w:w="9378" w:type="dxa"/>
            <w:gridSpan w:val="6"/>
            <w:vAlign w:val="center"/>
          </w:tcPr>
          <w:p>
            <w:pPr>
              <w:spacing w:line="360" w:lineRule="auto"/>
              <w:jc w:val="right"/>
              <w:rPr>
                <w:rFonts w:hint="eastAsia" w:ascii="仿宋" w:hAnsi="仿宋" w:eastAsia="仿宋" w:cs="仿宋"/>
                <w:szCs w:val="21"/>
              </w:rPr>
            </w:pPr>
            <w:r>
              <w:rPr>
                <w:rFonts w:hint="eastAsia" w:ascii="仿宋" w:hAnsi="仿宋" w:eastAsia="仿宋" w:cs="仿宋"/>
                <w:b/>
                <w:bCs/>
                <w:szCs w:val="21"/>
                <w:highlight w:val="none"/>
              </w:rPr>
              <w:t>共计</w:t>
            </w:r>
            <w:r>
              <w:rPr>
                <w:rFonts w:hint="eastAsia" w:ascii="仿宋" w:hAnsi="仿宋" w:eastAsia="仿宋" w:cs="仿宋"/>
                <w:b/>
                <w:bCs/>
                <w:szCs w:val="21"/>
                <w:highlight w:val="none"/>
                <w:lang w:val="en-US" w:eastAsia="zh-CN"/>
              </w:rPr>
              <w:t>8</w:t>
            </w:r>
            <w:r>
              <w:rPr>
                <w:rFonts w:hint="eastAsia" w:ascii="仿宋" w:hAnsi="仿宋" w:eastAsia="仿宋" w:cs="仿宋"/>
                <w:b/>
                <w:bCs/>
                <w:szCs w:val="21"/>
                <w:highlight w:val="none"/>
              </w:rPr>
              <w:t>个店铺，面积</w:t>
            </w:r>
            <w:r>
              <w:rPr>
                <w:rFonts w:hint="eastAsia" w:ascii="仿宋" w:hAnsi="仿宋" w:eastAsia="仿宋" w:cs="仿宋"/>
                <w:b/>
                <w:bCs/>
                <w:szCs w:val="21"/>
                <w:highlight w:val="none"/>
              </w:rPr>
              <w:fldChar w:fldCharType="begin"/>
            </w:r>
            <w:r>
              <w:rPr>
                <w:rFonts w:hint="eastAsia" w:ascii="仿宋" w:hAnsi="仿宋" w:eastAsia="仿宋" w:cs="仿宋"/>
                <w:b/>
                <w:bCs/>
                <w:szCs w:val="21"/>
                <w:highlight w:val="none"/>
              </w:rPr>
              <w:instrText xml:space="preserve"> = sum(F2:F9) \* MERGEFORMAT </w:instrText>
            </w:r>
            <w:r>
              <w:rPr>
                <w:rFonts w:hint="eastAsia" w:ascii="仿宋" w:hAnsi="仿宋" w:eastAsia="仿宋" w:cs="仿宋"/>
                <w:b/>
                <w:bCs/>
                <w:szCs w:val="21"/>
                <w:highlight w:val="none"/>
              </w:rPr>
              <w:fldChar w:fldCharType="separate"/>
            </w:r>
            <w:r>
              <w:rPr>
                <w:rFonts w:hint="eastAsia" w:ascii="仿宋" w:hAnsi="仿宋" w:eastAsia="仿宋" w:cs="仿宋"/>
                <w:b/>
                <w:bCs/>
                <w:szCs w:val="21"/>
                <w:highlight w:val="none"/>
              </w:rPr>
              <w:t>617.47</w:t>
            </w:r>
            <w:r>
              <w:rPr>
                <w:rFonts w:hint="eastAsia" w:ascii="仿宋" w:hAnsi="仿宋" w:eastAsia="仿宋" w:cs="仿宋"/>
                <w:b/>
                <w:bCs/>
                <w:szCs w:val="21"/>
                <w:highlight w:val="none"/>
              </w:rPr>
              <w:fldChar w:fldCharType="end"/>
            </w:r>
            <w:r>
              <w:rPr>
                <w:rFonts w:hint="eastAsia" w:ascii="仿宋" w:hAnsi="仿宋" w:eastAsia="仿宋" w:cs="仿宋"/>
                <w:b/>
                <w:bCs/>
                <w:szCs w:val="21"/>
                <w:highlight w:val="none"/>
              </w:rPr>
              <w:t>㎡。</w:t>
            </w:r>
          </w:p>
        </w:tc>
      </w:tr>
    </w:tbl>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商内容：本次招商的儿童休闲集合区，涵盖4个防火舱店铺及4个空地上敞开式商铺。儿童品牌零售店可经营包括儿童品牌服装、儿童品牌玩具、儿童品牌鞋帽、儿童图书等品类；除2EC-55外其他场地不得经营食品类商品。整体区域内不得经营餐饮业态。</w:t>
      </w:r>
    </w:p>
    <w:p>
      <w:pPr>
        <w:snapToGrid w:val="0"/>
        <w:spacing w:line="360" w:lineRule="auto"/>
        <w:ind w:firstLine="480" w:firstLineChars="200"/>
        <w:rPr>
          <w:rFonts w:hint="eastAsia" w:ascii="宋体" w:hAnsi="宋体" w:cs="宋体"/>
          <w:color w:val="auto"/>
          <w:sz w:val="24"/>
          <w:highlight w:val="none"/>
        </w:rPr>
      </w:pPr>
    </w:p>
    <w:p>
      <w:pPr>
        <w:numPr>
          <w:ilvl w:val="0"/>
          <w:numId w:val="1"/>
        </w:numPr>
        <w:autoSpaceDE w:val="0"/>
        <w:autoSpaceDN w:val="0"/>
        <w:adjustRightInd w:val="0"/>
        <w:spacing w:line="360" w:lineRule="auto"/>
        <w:rPr>
          <w:rFonts w:hint="eastAsia" w:ascii="宋体" w:hAnsi="宋体" w:cs="宋体"/>
          <w:color w:val="auto"/>
          <w:kern w:val="0"/>
          <w:szCs w:val="21"/>
          <w:highlight w:val="none"/>
        </w:rPr>
      </w:pPr>
      <w:r>
        <w:rPr>
          <w:rFonts w:hint="eastAsia" w:ascii="宋体" w:hAnsi="宋体"/>
          <w:color w:val="auto"/>
          <w:szCs w:val="21"/>
          <w:highlight w:val="none"/>
        </w:rPr>
        <w:t>所有招商项目</w:t>
      </w:r>
      <w:r>
        <w:rPr>
          <w:rFonts w:hint="eastAsia" w:ascii="宋体" w:hAnsi="宋体"/>
          <w:color w:val="auto"/>
          <w:szCs w:val="21"/>
          <w:highlight w:val="none"/>
          <w:lang w:val="en-US" w:eastAsia="zh-CN"/>
        </w:rPr>
        <w:t>涉及店面建设、运营管理等</w:t>
      </w:r>
      <w:r>
        <w:rPr>
          <w:rFonts w:hint="eastAsia" w:ascii="宋体" w:hAnsi="宋体"/>
          <w:color w:val="auto"/>
          <w:szCs w:val="21"/>
          <w:highlight w:val="none"/>
        </w:rPr>
        <w:t>费用由商家自行承担，招商人将予以协助；</w:t>
      </w:r>
    </w:p>
    <w:p>
      <w:pPr>
        <w:numPr>
          <w:ilvl w:val="0"/>
          <w:numId w:val="0"/>
        </w:numPr>
        <w:autoSpaceDE w:val="0"/>
        <w:autoSpaceDN w:val="0"/>
        <w:adjustRightIn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）第二个合同年度起，月保底经营费用按照上一合同年度月均实际交纳经营费用*【1+当年武汉天河机场（国内+国际及地区）旅客吞吐量增长比例*100%】</w:t>
      </w:r>
    </w:p>
    <w:p>
      <w:pPr>
        <w:numPr>
          <w:ilvl w:val="0"/>
          <w:numId w:val="2"/>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合同期限：</w:t>
      </w:r>
      <w:bookmarkStart w:id="3" w:name="OLE_LINK10"/>
      <w:r>
        <w:rPr>
          <w:rFonts w:hint="eastAsia" w:ascii="宋体" w:hAnsi="宋体" w:cs="宋体"/>
          <w:color w:val="auto"/>
          <w:sz w:val="24"/>
          <w:highlight w:val="none"/>
        </w:rPr>
        <w:t>合同年限为5年，合同执行期限自适用场地交付起开始计算。装修免租期为适用场地交付之日起90个日历日</w:t>
      </w:r>
      <w:r>
        <w:rPr>
          <w:rFonts w:hint="eastAsia" w:ascii="宋体" w:hAnsi="宋体" w:cs="宋体"/>
          <w:color w:val="auto"/>
          <w:sz w:val="24"/>
          <w:highlight w:val="none"/>
          <w:lang w:eastAsia="zh-CN"/>
        </w:rPr>
        <w:t>。</w:t>
      </w:r>
      <w:bookmarkStart w:id="17" w:name="_GoBack"/>
      <w:bookmarkEnd w:id="17"/>
    </w:p>
    <w:bookmarkEnd w:id="3"/>
    <w:p>
      <w:pPr>
        <w:pStyle w:val="2"/>
        <w:spacing w:before="156" w:beforeLines="50" w:after="156" w:afterLines="50" w:line="360" w:lineRule="auto"/>
        <w:rPr>
          <w:rFonts w:hint="eastAsia" w:ascii="宋体" w:hAnsi="宋体" w:eastAsia="宋体" w:cs="宋体"/>
          <w:b/>
          <w:color w:val="auto"/>
          <w:sz w:val="28"/>
          <w:szCs w:val="28"/>
          <w:highlight w:val="none"/>
          <w:lang w:val="en-US" w:eastAsia="zh-CN"/>
        </w:rPr>
      </w:pPr>
      <w:bookmarkStart w:id="4" w:name="_Toc16914"/>
      <w:bookmarkStart w:id="5" w:name="_Toc430855197"/>
      <w:bookmarkStart w:id="6" w:name="_Toc431970292"/>
      <w:r>
        <w:rPr>
          <w:rFonts w:hint="eastAsia" w:ascii="宋体" w:hAnsi="宋体" w:eastAsia="宋体" w:cs="宋体"/>
          <w:b/>
          <w:color w:val="auto"/>
          <w:sz w:val="28"/>
          <w:szCs w:val="28"/>
          <w:highlight w:val="none"/>
        </w:rPr>
        <w:t>二、响应人资格要求</w:t>
      </w:r>
      <w:bookmarkEnd w:id="4"/>
      <w:bookmarkEnd w:id="5"/>
      <w:bookmarkEnd w:id="6"/>
      <w:r>
        <w:rPr>
          <w:rFonts w:hint="eastAsia" w:ascii="宋体" w:hAnsi="宋体" w:eastAsia="宋体" w:cs="宋体"/>
          <w:b/>
          <w:color w:val="auto"/>
          <w:sz w:val="28"/>
          <w:szCs w:val="28"/>
          <w:highlight w:val="none"/>
          <w:lang w:val="en-US" w:eastAsia="zh-CN"/>
        </w:rPr>
        <w:t xml:space="preserve">       </w:t>
      </w:r>
    </w:p>
    <w:p>
      <w:pPr>
        <w:snapToGrid w:val="0"/>
        <w:spacing w:line="360" w:lineRule="auto"/>
        <w:ind w:firstLine="480" w:firstLineChars="200"/>
        <w:rPr>
          <w:rFonts w:hint="eastAsia" w:ascii="宋体" w:hAnsi="宋体" w:cs="宋体"/>
          <w:color w:val="auto"/>
          <w:sz w:val="24"/>
          <w:highlight w:val="none"/>
        </w:rPr>
      </w:pPr>
      <w:bookmarkStart w:id="7" w:name="_Toc2859"/>
      <w:bookmarkStart w:id="8" w:name="_Toc430855203"/>
      <w:bookmarkStart w:id="9" w:name="_Toc431970298"/>
      <w:r>
        <w:rPr>
          <w:rFonts w:hint="eastAsia" w:ascii="宋体" w:hAnsi="宋体" w:cs="宋体"/>
          <w:color w:val="auto"/>
          <w:sz w:val="24"/>
          <w:highlight w:val="none"/>
          <w:lang w:val="en-US" w:eastAsia="zh-CN"/>
        </w:rPr>
        <w:t>1.响应人</w:t>
      </w:r>
      <w:r>
        <w:rPr>
          <w:rFonts w:hint="eastAsia" w:ascii="宋体" w:hAnsi="宋体" w:cs="宋体"/>
          <w:color w:val="auto"/>
          <w:sz w:val="24"/>
          <w:highlight w:val="none"/>
        </w:rPr>
        <w:t>应为符合中国法律法规及行业经营管理规定、具有行业必要从业执照或资质的境内企业法人，且截至201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日前，具有</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年（含）以上相关运营管理经验。</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.如符合招商条件的</w:t>
      </w:r>
      <w:r>
        <w:rPr>
          <w:rFonts w:hint="eastAsia" w:ascii="宋体" w:hAnsi="宋体" w:cs="宋体"/>
          <w:color w:val="auto"/>
          <w:sz w:val="24"/>
          <w:highlight w:val="none"/>
          <w:lang w:val="en-US" w:eastAsia="zh-CN"/>
        </w:rPr>
        <w:t>T3航站楼</w:t>
      </w:r>
      <w:r>
        <w:rPr>
          <w:rFonts w:hint="eastAsia" w:ascii="宋体" w:hAnsi="宋体" w:cs="宋体"/>
          <w:color w:val="auto"/>
          <w:sz w:val="24"/>
          <w:highlight w:val="none"/>
        </w:rPr>
        <w:t>现有</w:t>
      </w:r>
      <w:r>
        <w:rPr>
          <w:rFonts w:hint="eastAsia" w:ascii="宋体" w:hAnsi="宋体" w:cs="宋体"/>
          <w:color w:val="auto"/>
          <w:sz w:val="24"/>
          <w:highlight w:val="none"/>
          <w:lang w:val="en-US" w:eastAsia="zh-CN"/>
        </w:rPr>
        <w:t>商业项目经营商户或曾经经营商户</w:t>
      </w:r>
      <w:r>
        <w:rPr>
          <w:rFonts w:hint="eastAsia" w:ascii="宋体" w:hAnsi="宋体" w:cs="宋体"/>
          <w:color w:val="auto"/>
          <w:sz w:val="24"/>
          <w:highlight w:val="none"/>
        </w:rPr>
        <w:t>参与本次招商，不得</w:t>
      </w:r>
      <w:r>
        <w:rPr>
          <w:rFonts w:hint="eastAsia" w:ascii="宋体" w:hAnsi="宋体" w:cs="宋体"/>
          <w:color w:val="auto"/>
          <w:sz w:val="24"/>
          <w:highlight w:val="none"/>
          <w:lang w:eastAsia="zh-CN"/>
        </w:rPr>
        <w:t>与</w:t>
      </w:r>
      <w:r>
        <w:rPr>
          <w:rFonts w:hint="eastAsia" w:ascii="宋体" w:hAnsi="宋体" w:cs="宋体"/>
          <w:color w:val="auto"/>
          <w:sz w:val="24"/>
          <w:highlight w:val="none"/>
        </w:rPr>
        <w:t>招商人存在法律</w:t>
      </w:r>
      <w:r>
        <w:rPr>
          <w:rFonts w:hint="eastAsia" w:ascii="宋体" w:hAnsi="宋体" w:cs="宋体"/>
          <w:color w:val="auto"/>
          <w:sz w:val="24"/>
          <w:highlight w:val="none"/>
          <w:lang w:eastAsia="zh-CN"/>
        </w:rPr>
        <w:t>仲裁、</w:t>
      </w:r>
      <w:r>
        <w:rPr>
          <w:rFonts w:hint="eastAsia" w:ascii="宋体" w:hAnsi="宋体" w:cs="宋体"/>
          <w:color w:val="auto"/>
          <w:sz w:val="24"/>
          <w:highlight w:val="none"/>
        </w:rPr>
        <w:t>诉讼关系。</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w:t>
      </w:r>
      <w:r>
        <w:rPr>
          <w:rFonts w:hint="eastAsia" w:ascii="宋体" w:hAnsi="宋体" w:cs="宋体"/>
          <w:color w:val="auto"/>
          <w:sz w:val="24"/>
          <w:highlight w:val="none"/>
          <w:lang w:eastAsia="zh-CN"/>
        </w:rPr>
        <w:t>承诺及相关</w:t>
      </w:r>
      <w:r>
        <w:rPr>
          <w:rFonts w:hint="eastAsia" w:ascii="宋体" w:hAnsi="宋体" w:cs="宋体"/>
          <w:color w:val="auto"/>
          <w:sz w:val="24"/>
          <w:highlight w:val="none"/>
        </w:rPr>
        <w:t>文件。（包含但不限于《资信证明书》《企业信用信息公示报告》等）。</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.本项目不接受联合体形式参与，有控股及关联的公司只能选择一家公司报名参与，否则将被同时取消参与资格。</w:t>
      </w:r>
    </w:p>
    <w:p>
      <w:pPr>
        <w:numPr>
          <w:ilvl w:val="0"/>
          <w:numId w:val="0"/>
        </w:numPr>
        <w:snapToGrid w:val="0"/>
        <w:spacing w:line="360" w:lineRule="auto"/>
        <w:ind w:firstLine="480" w:firstLineChars="200"/>
        <w:rPr>
          <w:rFonts w:hint="eastAsia" w:ascii="宋体" w:hAnsi="宋体" w:cs="宋体"/>
          <w:color w:val="auto"/>
          <w:sz w:val="24"/>
          <w:highlight w:val="none"/>
        </w:rPr>
      </w:pPr>
    </w:p>
    <w:p>
      <w:pPr>
        <w:pStyle w:val="2"/>
        <w:spacing w:before="156" w:beforeLines="50" w:after="156" w:afterLines="50"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三、报名及招商文件的领取</w:t>
      </w:r>
      <w:bookmarkEnd w:id="7"/>
    </w:p>
    <w:p>
      <w:pPr>
        <w:snapToGrid w:val="0"/>
        <w:spacing w:line="360" w:lineRule="auto"/>
        <w:ind w:firstLine="480" w:firstLineChars="200"/>
        <w:rPr>
          <w:rFonts w:ascii="宋体" w:hAnsi="宋体" w:cs="宋体"/>
          <w:color w:val="auto"/>
          <w:sz w:val="24"/>
          <w:highlight w:val="none"/>
        </w:rPr>
      </w:pPr>
      <w:bookmarkStart w:id="10" w:name="_Toc431970296"/>
      <w:bookmarkStart w:id="11" w:name="_Toc430855201"/>
      <w:r>
        <w:rPr>
          <w:rFonts w:hint="eastAsia" w:ascii="宋体" w:hAnsi="宋体" w:cs="宋体"/>
          <w:color w:val="auto"/>
          <w:sz w:val="24"/>
          <w:highlight w:val="none"/>
        </w:rPr>
        <w:t>1、有意向的合格响应人，请于20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日至 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日，每天(节假日除外)上午8:30至12:00，下午14:00至1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0（北京时间，下同）报名领取招商文件，地点在武汉市武昌区中北路108号兴业银行大厦五楼</w:t>
      </w:r>
      <w:r>
        <w:rPr>
          <w:rFonts w:hint="eastAsia" w:ascii="宋体" w:hAnsi="宋体" w:cs="宋体"/>
          <w:color w:val="auto"/>
          <w:sz w:val="24"/>
          <w:highlight w:val="none"/>
          <w:lang w:eastAsia="zh-CN"/>
        </w:rPr>
        <w:t>财务室</w:t>
      </w:r>
      <w:r>
        <w:rPr>
          <w:rFonts w:hint="eastAsia" w:ascii="宋体" w:hAnsi="宋体" w:cs="宋体"/>
          <w:color w:val="auto"/>
          <w:sz w:val="24"/>
          <w:highlight w:val="none"/>
        </w:rPr>
        <w:t>，持法人授权委托书原件、二代身份证原件购买招商文件。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招商文件每套售价</w:t>
      </w:r>
      <w:r>
        <w:rPr>
          <w:rFonts w:hint="eastAsia" w:ascii="宋体" w:hAnsi="宋体" w:cs="宋体"/>
          <w:color w:val="auto"/>
          <w:sz w:val="24"/>
          <w:highlight w:val="none"/>
          <w:u w:val="single"/>
        </w:rPr>
        <w:t xml:space="preserve"> 500</w:t>
      </w:r>
      <w:r>
        <w:rPr>
          <w:rFonts w:hint="eastAsia" w:ascii="宋体" w:hAnsi="宋体" w:cs="宋体"/>
          <w:color w:val="auto"/>
          <w:sz w:val="24"/>
          <w:highlight w:val="none"/>
        </w:rPr>
        <w:t>元，售后不退。</w:t>
      </w:r>
      <w:bookmarkEnd w:id="10"/>
      <w:bookmarkEnd w:id="11"/>
    </w:p>
    <w:p>
      <w:pPr>
        <w:pStyle w:val="2"/>
        <w:spacing w:before="156" w:beforeLines="50" w:after="156" w:afterLines="50" w:line="360" w:lineRule="auto"/>
        <w:rPr>
          <w:rFonts w:ascii="宋体" w:hAnsi="宋体" w:eastAsia="宋体" w:cs="宋体"/>
          <w:b/>
          <w:color w:val="auto"/>
          <w:sz w:val="28"/>
          <w:szCs w:val="28"/>
          <w:highlight w:val="none"/>
        </w:rPr>
      </w:pPr>
      <w:bookmarkStart w:id="12" w:name="_Toc431970297"/>
      <w:bookmarkStart w:id="13" w:name="_Toc430855202"/>
      <w:bookmarkStart w:id="14" w:name="_Toc17714"/>
      <w:r>
        <w:rPr>
          <w:rFonts w:hint="eastAsia" w:ascii="宋体" w:hAnsi="宋体" w:eastAsia="宋体" w:cs="宋体"/>
          <w:b/>
          <w:color w:val="auto"/>
          <w:sz w:val="28"/>
          <w:szCs w:val="28"/>
          <w:highlight w:val="none"/>
        </w:rPr>
        <w:t>四、递交响应文件及磋商</w:t>
      </w:r>
      <w:bookmarkEnd w:id="12"/>
      <w:bookmarkEnd w:id="13"/>
      <w:r>
        <w:rPr>
          <w:rFonts w:hint="eastAsia" w:ascii="宋体" w:hAnsi="宋体" w:eastAsia="宋体" w:cs="宋体"/>
          <w:b/>
          <w:color w:val="auto"/>
          <w:sz w:val="28"/>
          <w:szCs w:val="28"/>
          <w:highlight w:val="none"/>
        </w:rPr>
        <w:t>时间、地点</w:t>
      </w:r>
      <w:bookmarkEnd w:id="14"/>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1、递交响应文件截止时间：20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日9时30分</w:t>
      </w:r>
      <w:r>
        <w:rPr>
          <w:rFonts w:hint="eastAsia" w:ascii="宋体" w:hAnsi="宋体" w:cs="宋体"/>
          <w:color w:val="auto"/>
          <w:sz w:val="24"/>
          <w:highlight w:val="none"/>
          <w:lang w:val="en-US" w:eastAsia="zh-CN"/>
        </w:rPr>
        <w:t>整</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2、递交响应文件地点及磋商地点：</w:t>
      </w:r>
      <w:r>
        <w:rPr>
          <w:rFonts w:hint="eastAsia" w:ascii="宋体" w:hAnsi="宋体" w:cs="宋体"/>
          <w:color w:val="auto"/>
          <w:sz w:val="24"/>
          <w:highlight w:val="none"/>
          <w:lang w:eastAsia="zh-CN"/>
        </w:rPr>
        <w:t>湖北机场集团有限公司综合办公楼A609招投标室</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3、逾期送达指定地点的或者不按照招商文件要求密封的响应文件，招商人和招商代理机构不予受理。</w:t>
      </w:r>
    </w:p>
    <w:p>
      <w:pPr>
        <w:pStyle w:val="2"/>
        <w:spacing w:before="156" w:beforeLines="50" w:after="156" w:afterLines="50" w:line="360" w:lineRule="auto"/>
        <w:rPr>
          <w:rFonts w:ascii="宋体" w:hAnsi="宋体" w:eastAsia="宋体" w:cs="宋体"/>
          <w:b/>
          <w:color w:val="auto"/>
          <w:sz w:val="28"/>
          <w:szCs w:val="28"/>
          <w:highlight w:val="none"/>
        </w:rPr>
      </w:pPr>
      <w:bookmarkStart w:id="15" w:name="_Toc4630"/>
      <w:r>
        <w:rPr>
          <w:rFonts w:hint="eastAsia" w:ascii="宋体" w:hAnsi="宋体" w:eastAsia="宋体" w:cs="宋体"/>
          <w:b/>
          <w:color w:val="auto"/>
          <w:sz w:val="28"/>
          <w:szCs w:val="28"/>
          <w:highlight w:val="none"/>
        </w:rPr>
        <w:t>五、发布公告的媒介</w:t>
      </w:r>
      <w:bookmarkEnd w:id="15"/>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本次招商公告同时</w:t>
      </w:r>
      <w:r>
        <w:rPr>
          <w:rFonts w:hint="eastAsia" w:ascii="宋体" w:hAnsi="宋体" w:cs="宋体"/>
          <w:color w:val="auto"/>
          <w:sz w:val="24"/>
          <w:highlight w:val="none"/>
          <w:lang w:val="en-US" w:eastAsia="zh-CN"/>
        </w:rPr>
        <w:t>在中国招标投标公共服务平台(网址：http://www.cebpubservice.com/) 、湖北机场集团有限公司（www.whairport.com）</w:t>
      </w:r>
      <w:r>
        <w:rPr>
          <w:rFonts w:hint="eastAsia" w:ascii="宋体" w:hAnsi="宋体" w:cs="宋体"/>
          <w:color w:val="auto"/>
          <w:sz w:val="24"/>
          <w:highlight w:val="none"/>
        </w:rPr>
        <w:t>媒体上发布，其它任何网站不得转载。如有发现，我公司将追究非法转载单位的责任。</w:t>
      </w:r>
    </w:p>
    <w:p>
      <w:pPr>
        <w:pStyle w:val="2"/>
        <w:rPr>
          <w:color w:val="auto"/>
          <w:highlight w:val="none"/>
        </w:rPr>
      </w:pPr>
      <w:bookmarkStart w:id="16" w:name="_Toc18861"/>
      <w:r>
        <w:rPr>
          <w:rFonts w:hint="eastAsia"/>
          <w:color w:val="auto"/>
          <w:highlight w:val="none"/>
        </w:rPr>
        <w:t>六、联系方式</w:t>
      </w:r>
      <w:bookmarkEnd w:id="8"/>
      <w:bookmarkEnd w:id="9"/>
      <w:bookmarkEnd w:id="1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招商代理机构：湖北省招标股份有限公司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联系地址：武汉市武昌区中北路108号兴业银行大厦5层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人：罗宽、姚昌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话：027-87273559     传    真：027-87273559</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邮箱：hbzbzx2010@163.com</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招商人：武汉天河机场空港服务有限公司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联系地址：武汉市黄陂区天河机场内</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杜女士</w:t>
      </w:r>
      <w:r>
        <w:rPr>
          <w:rFonts w:hint="eastAsia" w:ascii="宋体" w:hAnsi="宋体" w:cs="宋体"/>
          <w:color w:val="auto"/>
          <w:sz w:val="24"/>
          <w:highlight w:val="none"/>
        </w:rPr>
        <w:t xml:space="preserve">          电    话：027-85818281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质疑投诉：湖北省招标股份有限公司技术部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联系人：邓先科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联系电话：027-87816246</w:t>
      </w:r>
    </w:p>
    <w:p>
      <w:pPr>
        <w:snapToGrid w:val="0"/>
        <w:spacing w:line="360" w:lineRule="auto"/>
        <w:ind w:firstLine="480" w:firstLineChars="200"/>
        <w:jc w:val="right"/>
        <w:rPr>
          <w:color w:val="auto"/>
          <w:highlight w:val="none"/>
        </w:rPr>
      </w:pPr>
      <w:r>
        <w:rPr>
          <w:rFonts w:hint="eastAsia" w:ascii="宋体" w:hAnsi="宋体" w:cs="宋体"/>
          <w:color w:val="auto"/>
          <w:sz w:val="24"/>
          <w:highlight w:val="none"/>
        </w:rPr>
        <w:t xml:space="preserve">  2</w:t>
      </w:r>
      <w:r>
        <w:rPr>
          <w:rFonts w:hint="eastAsia" w:ascii="宋体" w:hAnsi="宋体" w:cs="宋体"/>
          <w:color w:val="auto"/>
          <w:sz w:val="24"/>
          <w:highlight w:val="none"/>
          <w:lang w:val="en-US" w:eastAsia="zh-CN"/>
        </w:rPr>
        <w:t>020</w:t>
      </w:r>
      <w:r>
        <w:rPr>
          <w:rFonts w:hint="eastAsia" w:ascii="宋体" w:hAnsi="宋体" w:cs="宋体"/>
          <w:color w:val="auto"/>
          <w:sz w:val="24"/>
          <w:highlight w:val="none"/>
        </w:rPr>
        <w:t xml:space="preserve"> 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7A445"/>
    <w:multiLevelType w:val="singleLevel"/>
    <w:tmpl w:val="84B7A445"/>
    <w:lvl w:ilvl="0" w:tentative="0">
      <w:start w:val="4"/>
      <w:numFmt w:val="decimal"/>
      <w:suff w:val="nothing"/>
      <w:lvlText w:val="%1、"/>
      <w:lvlJc w:val="left"/>
    </w:lvl>
  </w:abstractNum>
  <w:abstractNum w:abstractNumId="1">
    <w:nsid w:val="9021321A"/>
    <w:multiLevelType w:val="singleLevel"/>
    <w:tmpl w:val="9021321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87796"/>
    <w:rsid w:val="0DA87796"/>
    <w:rsid w:val="26C20E1E"/>
    <w:rsid w:val="6D535020"/>
    <w:rsid w:val="7ABE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5" w:lineRule="auto"/>
      <w:outlineLvl w:val="1"/>
    </w:pPr>
    <w:rPr>
      <w:rFonts w:ascii="Arial" w:hAnsi="Arial" w:eastAsia="黑体" w:cs="Times New Roman"/>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uiPriority w:val="0"/>
    <w:pPr>
      <w:adjustRightInd w:val="0"/>
      <w:spacing w:line="312" w:lineRule="atLeast"/>
      <w:ind w:firstLine="420"/>
      <w:textAlignment w:val="baseline"/>
    </w:pPr>
    <w:rPr>
      <w:kern w:val="0"/>
      <w:szCs w:val="20"/>
    </w:rPr>
  </w:style>
  <w:style w:type="paragraph" w:styleId="5">
    <w:name w:val="Body Text"/>
    <w:basedOn w:val="1"/>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2020-01-08T07:14:00Z</dcterms:created>
  <dc:creator>罗宽</dc:creator>
  <cp:lastModifiedBy>杜斯瑜</cp:lastModifiedBy>
  <dcterms:modified xsi:type="dcterms:W3CDTF">2020-01-08T07:54:51Z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