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9940" w:type="dxa"/>
        <w:jc w:val="center"/>
        <w:shd w:val="clear" w:color="auto" w:fill="auto"/>
        <w:tblLayout w:type="fixed"/>
        <w:tblCellMar>
          <w:top w:w="0" w:type="dxa"/>
          <w:left w:w="108" w:type="dxa"/>
          <w:bottom w:w="0" w:type="dxa"/>
          <w:right w:w="108" w:type="dxa"/>
        </w:tblCellMar>
      </w:tblPr>
      <w:tblGrid>
        <w:gridCol w:w="9940"/>
      </w:tblGrid>
      <w:tr w14:paraId="68DBD342">
        <w:tblPrEx>
          <w:shd w:val="clear" w:color="auto" w:fill="auto"/>
        </w:tblPrEx>
        <w:trPr>
          <w:trHeight w:val="552" w:hRule="atLeast"/>
          <w:jc w:val="center"/>
        </w:trPr>
        <w:tc>
          <w:tcPr>
            <w:tcW w:w="9940" w:type="dxa"/>
            <w:shd w:val="clear" w:color="auto" w:fill="auto"/>
          </w:tcPr>
          <w:p w14:paraId="02505724">
            <w:pPr>
              <w:jc w:val="left"/>
              <w:rPr>
                <w:rFonts w:ascii="宋体" w:hAnsi="宋体" w:cs="宋体"/>
                <w:color w:val="auto"/>
                <w:spacing w:val="20"/>
                <w:sz w:val="72"/>
                <w:szCs w:val="72"/>
                <w:highlight w:val="none"/>
              </w:rPr>
            </w:pPr>
          </w:p>
          <w:p w14:paraId="31FEC8DE">
            <w:pPr>
              <w:pStyle w:val="34"/>
              <w:ind w:firstLine="420"/>
              <w:rPr>
                <w:rFonts w:hAnsi="宋体" w:cs="宋体"/>
                <w:color w:val="auto"/>
                <w:highlight w:val="none"/>
              </w:rPr>
            </w:pPr>
          </w:p>
          <w:p w14:paraId="4239EACC">
            <w:pPr>
              <w:pStyle w:val="13"/>
              <w:jc w:val="center"/>
              <w:rPr>
                <w:rFonts w:hAnsi="宋体" w:cs="宋体"/>
                <w:color w:val="auto"/>
                <w:sz w:val="84"/>
                <w:szCs w:val="84"/>
                <w:highlight w:val="none"/>
                <w14:shadow w14:blurRad="50800" w14:dist="38100" w14:dir="2700000" w14:sx="100000" w14:sy="100000" w14:kx="0" w14:ky="0" w14:algn="tl">
                  <w14:srgbClr w14:val="000000">
                    <w14:alpha w14:val="60000"/>
                  </w14:srgbClr>
                </w14:shadow>
              </w:rPr>
            </w:pPr>
          </w:p>
          <w:p w14:paraId="748900E6">
            <w:pPr>
              <w:pStyle w:val="13"/>
              <w:jc w:val="center"/>
              <w:rPr>
                <w:rFonts w:hAnsi="宋体" w:cs="宋体"/>
                <w:b/>
                <w:color w:val="auto"/>
                <w:highlight w:val="none"/>
              </w:rPr>
            </w:pPr>
            <w:r>
              <w:rPr>
                <w:rFonts w:hint="eastAsia" w:hAnsi="宋体" w:cs="宋体"/>
                <w:color w:val="auto"/>
                <w:sz w:val="84"/>
                <w:szCs w:val="84"/>
                <w:highlight w:val="none"/>
                <w14:shadow w14:blurRad="50800" w14:dist="38100" w14:dir="2700000" w14:sx="100000" w14:sy="100000" w14:kx="0" w14:ky="0" w14:algn="tl">
                  <w14:srgbClr w14:val="000000">
                    <w14:alpha w14:val="60000"/>
                  </w14:srgbClr>
                </w14:shadow>
              </w:rPr>
              <w:t>询价采购文件</w:t>
            </w:r>
          </w:p>
          <w:p w14:paraId="3070B2AB">
            <w:pPr>
              <w:pStyle w:val="13"/>
              <w:ind w:firstLine="833" w:firstLineChars="395"/>
              <w:rPr>
                <w:rFonts w:hAnsi="宋体" w:cs="宋体"/>
                <w:b/>
                <w:color w:val="auto"/>
                <w:highlight w:val="none"/>
              </w:rPr>
            </w:pPr>
          </w:p>
          <w:p w14:paraId="2AF10264">
            <w:pPr>
              <w:pStyle w:val="13"/>
              <w:ind w:firstLine="833" w:firstLineChars="395"/>
              <w:rPr>
                <w:rFonts w:hAnsi="宋体" w:cs="宋体"/>
                <w:b/>
                <w:color w:val="auto"/>
                <w:highlight w:val="none"/>
              </w:rPr>
            </w:pPr>
          </w:p>
          <w:p w14:paraId="0650F3C3">
            <w:pPr>
              <w:pStyle w:val="13"/>
              <w:rPr>
                <w:rFonts w:hAnsi="宋体" w:cs="宋体"/>
                <w:b/>
                <w:color w:val="auto"/>
                <w:highlight w:val="none"/>
              </w:rPr>
            </w:pPr>
          </w:p>
          <w:tbl>
            <w:tblPr>
              <w:tblStyle w:val="25"/>
              <w:tblW w:w="0" w:type="auto"/>
              <w:jc w:val="center"/>
              <w:tblLayout w:type="fixed"/>
              <w:tblCellMar>
                <w:top w:w="0" w:type="dxa"/>
                <w:left w:w="108" w:type="dxa"/>
                <w:bottom w:w="0" w:type="dxa"/>
                <w:right w:w="108" w:type="dxa"/>
              </w:tblCellMar>
            </w:tblPr>
            <w:tblGrid>
              <w:gridCol w:w="1865"/>
              <w:gridCol w:w="6735"/>
            </w:tblGrid>
            <w:tr w14:paraId="3FE82111">
              <w:tblPrEx>
                <w:tblCellMar>
                  <w:top w:w="0" w:type="dxa"/>
                  <w:left w:w="108" w:type="dxa"/>
                  <w:bottom w:w="0" w:type="dxa"/>
                  <w:right w:w="108" w:type="dxa"/>
                </w:tblCellMar>
              </w:tblPrEx>
              <w:trPr>
                <w:trHeight w:val="1229" w:hRule="atLeast"/>
                <w:jc w:val="center"/>
              </w:trPr>
              <w:tc>
                <w:tcPr>
                  <w:tcW w:w="1865" w:type="dxa"/>
                  <w:noWrap/>
                  <w:vAlign w:val="center"/>
                </w:tcPr>
                <w:p w14:paraId="30D74DAA">
                  <w:pPr>
                    <w:spacing w:before="10" w:after="10"/>
                    <w:rPr>
                      <w:rFonts w:ascii="宋体" w:hAnsi="宋体" w:cs="宋体"/>
                      <w:b/>
                      <w:color w:val="auto"/>
                      <w:sz w:val="32"/>
                      <w:szCs w:val="32"/>
                      <w:highlight w:val="none"/>
                      <w:lang w:val="hr-HR" w:bidi="ar-EG"/>
                    </w:rPr>
                  </w:pPr>
                  <w:r>
                    <w:rPr>
                      <w:rFonts w:hint="eastAsia" w:ascii="宋体" w:hAnsi="宋体" w:cs="宋体"/>
                      <w:b/>
                      <w:color w:val="auto"/>
                      <w:sz w:val="32"/>
                      <w:szCs w:val="32"/>
                      <w:highlight w:val="none"/>
                      <w:lang w:val="hr-HR" w:bidi="ar-EG"/>
                    </w:rPr>
                    <w:t>项目名称：</w:t>
                  </w:r>
                </w:p>
              </w:tc>
              <w:tc>
                <w:tcPr>
                  <w:tcW w:w="6735" w:type="dxa"/>
                  <w:noWrap/>
                  <w:vAlign w:val="center"/>
                </w:tcPr>
                <w:p w14:paraId="431117B2">
                  <w:pPr>
                    <w:spacing w:before="10" w:after="10"/>
                    <w:rPr>
                      <w:rFonts w:hint="default" w:ascii="宋体" w:hAnsi="宋体" w:eastAsia="宋体" w:cs="宋体"/>
                      <w:b/>
                      <w:color w:val="auto"/>
                      <w:sz w:val="32"/>
                      <w:szCs w:val="32"/>
                      <w:highlight w:val="none"/>
                      <w:lang w:val="en-US" w:eastAsia="zh-CN" w:bidi="ar-EG"/>
                    </w:rPr>
                  </w:pPr>
                  <w:r>
                    <w:rPr>
                      <w:rFonts w:hint="eastAsia" w:ascii="宋体" w:hAnsi="宋体" w:cs="宋体"/>
                      <w:b/>
                      <w:color w:val="auto"/>
                      <w:sz w:val="32"/>
                      <w:szCs w:val="32"/>
                      <w:highlight w:val="none"/>
                      <w:lang w:val="en-US" w:eastAsia="zh-CN" w:bidi="ar-EG"/>
                    </w:rPr>
                    <w:t>恩施机场网络安全等级保护测评服务采购项目</w:t>
                  </w:r>
                </w:p>
              </w:tc>
            </w:tr>
          </w:tbl>
          <w:p w14:paraId="21C914FB">
            <w:pPr>
              <w:pStyle w:val="13"/>
              <w:tabs>
                <w:tab w:val="left" w:pos="703"/>
              </w:tabs>
              <w:ind w:firstLine="480"/>
              <w:rPr>
                <w:rFonts w:hAnsi="宋体" w:cs="宋体"/>
                <w:color w:val="auto"/>
                <w:sz w:val="24"/>
                <w:szCs w:val="24"/>
                <w:highlight w:val="none"/>
              </w:rPr>
            </w:pPr>
          </w:p>
          <w:p w14:paraId="01C7588A">
            <w:pPr>
              <w:pStyle w:val="13"/>
              <w:tabs>
                <w:tab w:val="left" w:pos="703"/>
              </w:tabs>
              <w:ind w:firstLine="480"/>
              <w:rPr>
                <w:rFonts w:hAnsi="宋体" w:cs="宋体"/>
                <w:color w:val="auto"/>
                <w:sz w:val="24"/>
                <w:szCs w:val="24"/>
                <w:highlight w:val="none"/>
              </w:rPr>
            </w:pPr>
          </w:p>
          <w:p w14:paraId="55624EF1">
            <w:pPr>
              <w:pStyle w:val="13"/>
              <w:tabs>
                <w:tab w:val="left" w:pos="703"/>
              </w:tabs>
              <w:rPr>
                <w:rFonts w:hAnsi="宋体" w:cs="宋体"/>
                <w:color w:val="auto"/>
                <w:sz w:val="24"/>
                <w:szCs w:val="24"/>
                <w:highlight w:val="none"/>
              </w:rPr>
            </w:pPr>
          </w:p>
          <w:p w14:paraId="55C33731">
            <w:pPr>
              <w:pStyle w:val="13"/>
              <w:rPr>
                <w:rFonts w:hAnsi="宋体" w:cs="宋体"/>
                <w:color w:val="auto"/>
                <w:sz w:val="30"/>
                <w:szCs w:val="30"/>
                <w:highlight w:val="none"/>
              </w:rPr>
            </w:pPr>
          </w:p>
          <w:p w14:paraId="3E2F7E40">
            <w:pPr>
              <w:ind w:firstLine="643"/>
              <w:jc w:val="center"/>
              <w:rPr>
                <w:rFonts w:ascii="宋体" w:hAnsi="宋体" w:cs="宋体"/>
                <w:b/>
                <w:bCs/>
                <w:color w:val="auto"/>
                <w:sz w:val="32"/>
                <w:szCs w:val="32"/>
                <w:highlight w:val="none"/>
              </w:rPr>
            </w:pPr>
          </w:p>
          <w:tbl>
            <w:tblPr>
              <w:tblStyle w:val="25"/>
              <w:tblW w:w="0" w:type="auto"/>
              <w:jc w:val="center"/>
              <w:tblLayout w:type="fixed"/>
              <w:tblCellMar>
                <w:top w:w="0" w:type="dxa"/>
                <w:left w:w="108" w:type="dxa"/>
                <w:bottom w:w="0" w:type="dxa"/>
                <w:right w:w="108" w:type="dxa"/>
              </w:tblCellMar>
            </w:tblPr>
            <w:tblGrid>
              <w:gridCol w:w="1906"/>
              <w:gridCol w:w="5078"/>
            </w:tblGrid>
            <w:tr w14:paraId="5950E7B4">
              <w:tblPrEx>
                <w:tblCellMar>
                  <w:top w:w="0" w:type="dxa"/>
                  <w:left w:w="108" w:type="dxa"/>
                  <w:bottom w:w="0" w:type="dxa"/>
                  <w:right w:w="108" w:type="dxa"/>
                </w:tblCellMar>
              </w:tblPrEx>
              <w:trPr>
                <w:trHeight w:val="555" w:hRule="atLeast"/>
                <w:jc w:val="center"/>
              </w:trPr>
              <w:tc>
                <w:tcPr>
                  <w:tcW w:w="1906" w:type="dxa"/>
                  <w:noWrap/>
                </w:tcPr>
                <w:p w14:paraId="7807A14D">
                  <w:pPr>
                    <w:pStyle w:val="13"/>
                    <w:jc w:val="distribute"/>
                    <w:rPr>
                      <w:rFonts w:hAnsi="宋体" w:cs="宋体"/>
                      <w:b/>
                      <w:color w:val="auto"/>
                      <w:sz w:val="28"/>
                      <w:szCs w:val="28"/>
                      <w:highlight w:val="none"/>
                    </w:rPr>
                  </w:pPr>
                  <w:r>
                    <w:rPr>
                      <w:rFonts w:hint="eastAsia" w:hAnsi="宋体" w:cs="宋体"/>
                      <w:b/>
                      <w:color w:val="auto"/>
                      <w:sz w:val="28"/>
                      <w:szCs w:val="28"/>
                      <w:highlight w:val="none"/>
                    </w:rPr>
                    <w:t xml:space="preserve">采 购 </w:t>
                  </w:r>
                  <w:r>
                    <w:rPr>
                      <w:rFonts w:hint="eastAsia" w:hAnsi="宋体" w:cs="宋体"/>
                      <w:b/>
                      <w:color w:val="auto"/>
                      <w:sz w:val="28"/>
                      <w:szCs w:val="28"/>
                      <w:highlight w:val="none"/>
                      <w:lang w:val="en-US" w:eastAsia="zh-CN"/>
                    </w:rPr>
                    <w:t>单位</w:t>
                  </w:r>
                  <w:r>
                    <w:rPr>
                      <w:rFonts w:hint="eastAsia" w:hAnsi="宋体" w:cs="宋体"/>
                      <w:b/>
                      <w:color w:val="auto"/>
                      <w:sz w:val="28"/>
                      <w:szCs w:val="28"/>
                      <w:highlight w:val="none"/>
                    </w:rPr>
                    <w:t>：</w:t>
                  </w:r>
                </w:p>
              </w:tc>
              <w:tc>
                <w:tcPr>
                  <w:tcW w:w="5078" w:type="dxa"/>
                  <w:noWrap/>
                </w:tcPr>
                <w:p w14:paraId="569B5A0D">
                  <w:pPr>
                    <w:pStyle w:val="13"/>
                    <w:jc w:val="distribute"/>
                    <w:rPr>
                      <w:rFonts w:hint="default"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eastAsia="zh-CN"/>
                    </w:rPr>
                    <w:t>湖北机场集团</w:t>
                  </w:r>
                  <w:r>
                    <w:rPr>
                      <w:rFonts w:hint="eastAsia" w:hAnsi="宋体" w:cs="宋体"/>
                      <w:b/>
                      <w:color w:val="auto"/>
                      <w:sz w:val="28"/>
                      <w:szCs w:val="28"/>
                      <w:highlight w:val="none"/>
                      <w:lang w:val="en-US" w:eastAsia="zh-CN"/>
                    </w:rPr>
                    <w:t>恩施机场有责任公司</w:t>
                  </w:r>
                </w:p>
              </w:tc>
            </w:tr>
            <w:tr w14:paraId="02A68F5C">
              <w:tblPrEx>
                <w:tblCellMar>
                  <w:top w:w="0" w:type="dxa"/>
                  <w:left w:w="108" w:type="dxa"/>
                  <w:bottom w:w="0" w:type="dxa"/>
                  <w:right w:w="108" w:type="dxa"/>
                </w:tblCellMar>
              </w:tblPrEx>
              <w:trPr>
                <w:trHeight w:val="569" w:hRule="atLeast"/>
                <w:jc w:val="center"/>
              </w:trPr>
              <w:tc>
                <w:tcPr>
                  <w:tcW w:w="1906" w:type="dxa"/>
                  <w:noWrap/>
                </w:tcPr>
                <w:p w14:paraId="442FFCFF">
                  <w:pPr>
                    <w:pStyle w:val="13"/>
                    <w:jc w:val="distribute"/>
                    <w:rPr>
                      <w:rFonts w:hAnsi="宋体" w:cs="宋体"/>
                      <w:b/>
                      <w:color w:val="auto"/>
                      <w:sz w:val="28"/>
                      <w:szCs w:val="28"/>
                      <w:highlight w:val="none"/>
                    </w:rPr>
                  </w:pPr>
                  <w:r>
                    <w:rPr>
                      <w:rFonts w:hint="eastAsia" w:hAnsi="宋体" w:cs="宋体"/>
                      <w:b/>
                      <w:color w:val="auto"/>
                      <w:sz w:val="28"/>
                      <w:szCs w:val="28"/>
                      <w:highlight w:val="none"/>
                    </w:rPr>
                    <w:t>编制时间：</w:t>
                  </w:r>
                </w:p>
              </w:tc>
              <w:tc>
                <w:tcPr>
                  <w:tcW w:w="5078" w:type="dxa"/>
                  <w:noWrap/>
                </w:tcPr>
                <w:p w14:paraId="7656B762">
                  <w:pPr>
                    <w:pStyle w:val="13"/>
                    <w:jc w:val="left"/>
                    <w:rPr>
                      <w:rFonts w:hint="default"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2025</w:t>
                  </w:r>
                  <w:r>
                    <w:rPr>
                      <w:rFonts w:hint="eastAsia" w:hAnsi="宋体" w:cs="宋体"/>
                      <w:b/>
                      <w:color w:val="auto"/>
                      <w:sz w:val="28"/>
                      <w:szCs w:val="28"/>
                      <w:highlight w:val="none"/>
                    </w:rPr>
                    <w:t>年</w:t>
                  </w:r>
                  <w:r>
                    <w:rPr>
                      <w:rFonts w:hint="eastAsia" w:hAnsi="宋体" w:cs="宋体"/>
                      <w:b/>
                      <w:color w:val="auto"/>
                      <w:sz w:val="28"/>
                      <w:szCs w:val="28"/>
                      <w:highlight w:val="none"/>
                      <w:lang w:val="en-US" w:eastAsia="zh-CN"/>
                    </w:rPr>
                    <w:t>09</w:t>
                  </w:r>
                  <w:r>
                    <w:rPr>
                      <w:rFonts w:hint="eastAsia" w:hAnsi="宋体" w:cs="宋体"/>
                      <w:b/>
                      <w:color w:val="auto"/>
                      <w:sz w:val="28"/>
                      <w:szCs w:val="28"/>
                      <w:highlight w:val="none"/>
                    </w:rPr>
                    <w:t>月</w:t>
                  </w:r>
                  <w:r>
                    <w:rPr>
                      <w:rFonts w:hint="eastAsia" w:hAnsi="宋体" w:cs="宋体"/>
                      <w:b/>
                      <w:color w:val="auto"/>
                      <w:sz w:val="28"/>
                      <w:szCs w:val="28"/>
                      <w:highlight w:val="none"/>
                      <w:lang w:val="en-US" w:eastAsia="zh-CN"/>
                    </w:rPr>
                    <w:t>30</w:t>
                  </w:r>
                  <w:r>
                    <w:rPr>
                      <w:rFonts w:hint="eastAsia" w:hAnsi="宋体" w:cs="宋体"/>
                      <w:b/>
                      <w:color w:val="auto"/>
                      <w:sz w:val="28"/>
                      <w:szCs w:val="28"/>
                      <w:highlight w:val="none"/>
                      <w:lang w:val="en-US" w:eastAsia="zh-CN"/>
                    </w:rPr>
                    <w:t>日</w:t>
                  </w:r>
                </w:p>
              </w:tc>
            </w:tr>
          </w:tbl>
          <w:p w14:paraId="277E101A">
            <w:pPr>
              <w:rPr>
                <w:rFonts w:ascii="宋体" w:hAnsi="宋体" w:cs="宋体"/>
                <w:color w:val="auto"/>
                <w:sz w:val="84"/>
                <w:szCs w:val="84"/>
                <w:highlight w:val="none"/>
                <w14:shadow w14:blurRad="50800" w14:dist="38100" w14:dir="2700000" w14:sx="100000" w14:sy="100000" w14:kx="0" w14:ky="0" w14:algn="tl">
                  <w14:srgbClr w14:val="000000">
                    <w14:alpha w14:val="60000"/>
                  </w14:srgbClr>
                </w14:shadow>
              </w:rPr>
            </w:pPr>
          </w:p>
        </w:tc>
      </w:tr>
    </w:tbl>
    <w:p w14:paraId="33BCB2C5">
      <w:pPr>
        <w:pStyle w:val="62"/>
        <w:jc w:val="both"/>
        <w:rPr>
          <w:rFonts w:ascii="宋体" w:hAnsi="宋体" w:cs="宋体"/>
          <w:color w:val="auto"/>
          <w:highlight w:val="none"/>
          <w:lang w:val="zh-CN"/>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5530DADA">
      <w:pPr>
        <w:jc w:val="center"/>
        <w:outlineLvl w:val="0"/>
        <w:rPr>
          <w:rFonts w:hint="eastAsia" w:ascii="黑体" w:hAnsi="黑体" w:eastAsia="黑体" w:cs="黑体"/>
          <w:sz w:val="48"/>
          <w:szCs w:val="52"/>
          <w:highlight w:val="none"/>
        </w:rPr>
      </w:pPr>
      <w:bookmarkStart w:id="0" w:name="_Toc19556"/>
      <w:bookmarkStart w:id="1" w:name="_Toc21766"/>
      <w:bookmarkStart w:id="2" w:name="_Toc2691"/>
      <w:bookmarkStart w:id="3" w:name="_Toc15581"/>
      <w:r>
        <w:rPr>
          <w:rFonts w:hint="eastAsia" w:ascii="黑体" w:hAnsi="黑体" w:eastAsia="黑体" w:cs="黑体"/>
          <w:sz w:val="48"/>
          <w:szCs w:val="52"/>
          <w:highlight w:val="none"/>
          <w:lang w:val="zh-CN"/>
        </w:rPr>
        <w:t>目</w:t>
      </w:r>
      <w:r>
        <w:rPr>
          <w:rFonts w:hint="eastAsia" w:ascii="黑体" w:hAnsi="黑体" w:eastAsia="黑体" w:cs="黑体"/>
          <w:sz w:val="48"/>
          <w:szCs w:val="52"/>
          <w:highlight w:val="none"/>
        </w:rPr>
        <w:t xml:space="preserve">  </w:t>
      </w:r>
      <w:bookmarkStart w:id="56" w:name="_GoBack"/>
      <w:bookmarkEnd w:id="56"/>
      <w:r>
        <w:rPr>
          <w:rFonts w:hint="eastAsia" w:ascii="黑体" w:hAnsi="黑体" w:eastAsia="黑体" w:cs="黑体"/>
          <w:sz w:val="48"/>
          <w:szCs w:val="52"/>
          <w:highlight w:val="none"/>
          <w:lang w:val="zh-CN"/>
        </w:rPr>
        <w:t>录</w:t>
      </w:r>
      <w:bookmarkEnd w:id="0"/>
      <w:bookmarkEnd w:id="1"/>
      <w:bookmarkEnd w:id="2"/>
      <w:bookmarkEnd w:id="3"/>
    </w:p>
    <w:p w14:paraId="570EDE20">
      <w:pPr>
        <w:pStyle w:val="18"/>
        <w:tabs>
          <w:tab w:val="right" w:leader="dot" w:pos="9072"/>
          <w:tab w:val="clear" w:pos="9420"/>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TOC \o "1-3" \h \u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_Toc27845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第一章  询价函</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_Toc27845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1</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26C4ACD5">
      <w:pPr>
        <w:pStyle w:val="18"/>
        <w:tabs>
          <w:tab w:val="right" w:leader="dot" w:pos="9072"/>
          <w:tab w:val="clear" w:pos="9420"/>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_Toc10198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第</w:t>
      </w:r>
      <w:r>
        <w:rPr>
          <w:rFonts w:hint="eastAsia" w:ascii="等线" w:hAnsi="等线" w:eastAsia="等线" w:cs="等线"/>
          <w:sz w:val="28"/>
          <w:szCs w:val="28"/>
          <w:highlight w:val="none"/>
          <w:lang w:val="en-US" w:eastAsia="zh-CN"/>
        </w:rPr>
        <w:t>二</w:t>
      </w:r>
      <w:r>
        <w:rPr>
          <w:rFonts w:hint="eastAsia" w:ascii="等线" w:hAnsi="等线" w:eastAsia="等线" w:cs="等线"/>
          <w:sz w:val="28"/>
          <w:szCs w:val="28"/>
          <w:highlight w:val="none"/>
        </w:rPr>
        <w:t>章  询价评议</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_Toc10198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3</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019DD21E">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_Toc14456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一、询价方法</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_Toc14456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3</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32E1ABA9">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_Toc15804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二、询价步骤</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_Toc15804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3</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7CF0B88F">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_Toc21091 </w:instrText>
      </w:r>
      <w:r>
        <w:rPr>
          <w:rFonts w:hint="eastAsia" w:ascii="等线" w:hAnsi="等线" w:eastAsia="等线" w:cs="等线"/>
          <w:sz w:val="28"/>
          <w:szCs w:val="28"/>
          <w:highlight w:val="none"/>
        </w:rPr>
        <w:fldChar w:fldCharType="separate"/>
      </w:r>
      <w:r>
        <w:rPr>
          <w:rFonts w:hint="eastAsia" w:ascii="等线" w:hAnsi="等线" w:eastAsia="等线" w:cs="等线"/>
          <w:spacing w:val="2"/>
          <w:sz w:val="28"/>
          <w:szCs w:val="28"/>
          <w:highlight w:val="none"/>
        </w:rPr>
        <w:t>三、</w:t>
      </w:r>
      <w:r>
        <w:rPr>
          <w:rFonts w:hint="eastAsia" w:ascii="等线" w:hAnsi="等线" w:eastAsia="等线" w:cs="等线"/>
          <w:sz w:val="28"/>
          <w:szCs w:val="28"/>
          <w:highlight w:val="none"/>
        </w:rPr>
        <w:t>确定成交供应商办法（最低价法）</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_Toc21091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4</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7E5DB383">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_Toc2374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四．询价响应文件的数量和签署</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_Toc2374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4</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30071483">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_Toc8069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六</w:t>
      </w:r>
      <w:r>
        <w:rPr>
          <w:rFonts w:hint="eastAsia" w:ascii="等线" w:hAnsi="等线" w:eastAsia="等线" w:cs="等线"/>
          <w:sz w:val="28"/>
          <w:szCs w:val="28"/>
          <w:highlight w:val="none"/>
        </w:rPr>
        <w:t>、签订合同</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_Toc8069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5</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0F4F562B">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_Toc8125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七</w:t>
      </w:r>
      <w:r>
        <w:rPr>
          <w:rFonts w:hint="eastAsia" w:ascii="等线" w:hAnsi="等线" w:eastAsia="等线" w:cs="等线"/>
          <w:sz w:val="28"/>
          <w:szCs w:val="28"/>
          <w:highlight w:val="none"/>
        </w:rPr>
        <w:t>、询价采购失败条件</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_Toc8125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5</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558C8C0E">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_Toc15144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 xml:space="preserve">八、 </w:t>
      </w:r>
      <w:r>
        <w:rPr>
          <w:rFonts w:hint="eastAsia" w:ascii="等线" w:hAnsi="等线" w:eastAsia="等线" w:cs="等线"/>
          <w:sz w:val="28"/>
          <w:szCs w:val="28"/>
          <w:highlight w:val="none"/>
          <w:lang w:val="en-US" w:eastAsia="zh-CN"/>
        </w:rPr>
        <w:t>其他</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_Toc15144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5</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7665B3A2">
      <w:pPr>
        <w:pStyle w:val="18"/>
        <w:tabs>
          <w:tab w:val="right" w:leader="dot" w:pos="9072"/>
          <w:tab w:val="clear" w:pos="9420"/>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_Toc9696 </w:instrText>
      </w:r>
      <w:r>
        <w:rPr>
          <w:rFonts w:hint="eastAsia" w:ascii="等线" w:hAnsi="等线" w:eastAsia="等线" w:cs="等线"/>
          <w:sz w:val="28"/>
          <w:szCs w:val="28"/>
          <w:highlight w:val="none"/>
        </w:rPr>
        <w:fldChar w:fldCharType="separate"/>
      </w:r>
      <w:r>
        <w:rPr>
          <w:rFonts w:hint="eastAsia" w:ascii="等线" w:hAnsi="等线" w:eastAsia="等线" w:cs="等线"/>
          <w:kern w:val="2"/>
          <w:sz w:val="28"/>
          <w:szCs w:val="28"/>
          <w:highlight w:val="none"/>
        </w:rPr>
        <w:t>第</w:t>
      </w:r>
      <w:r>
        <w:rPr>
          <w:rFonts w:hint="eastAsia" w:ascii="等线" w:hAnsi="等线" w:eastAsia="等线" w:cs="等线"/>
          <w:kern w:val="2"/>
          <w:sz w:val="28"/>
          <w:szCs w:val="28"/>
          <w:highlight w:val="none"/>
          <w:lang w:val="en-US" w:eastAsia="zh-CN"/>
        </w:rPr>
        <w:t>三</w:t>
      </w:r>
      <w:r>
        <w:rPr>
          <w:rFonts w:hint="eastAsia" w:ascii="等线" w:hAnsi="等线" w:eastAsia="等线" w:cs="等线"/>
          <w:kern w:val="2"/>
          <w:sz w:val="28"/>
          <w:szCs w:val="28"/>
          <w:highlight w:val="none"/>
        </w:rPr>
        <w:t>章  采购项目内容及技术规格要求</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_Toc9696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6</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2C51B59E">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_Toc15167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一、采购清单</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_Toc15167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6</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35B31387">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_Toc5437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二、定检维保内容</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_Toc5437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6</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53FBF2DA">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_Toc10465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三、商务要求</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_Toc10465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19</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6695B79B">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_Toc31052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四、附《湖北机场集团有限公司“供应商不良行为”管理办法》</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_Toc31052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20</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7CEA394E">
      <w:pPr>
        <w:pStyle w:val="18"/>
        <w:tabs>
          <w:tab w:val="right" w:leader="dot" w:pos="9072"/>
          <w:tab w:val="clear" w:pos="9420"/>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_Toc21882 </w:instrText>
      </w:r>
      <w:r>
        <w:rPr>
          <w:rFonts w:hint="eastAsia" w:ascii="等线" w:hAnsi="等线" w:eastAsia="等线" w:cs="等线"/>
          <w:sz w:val="28"/>
          <w:szCs w:val="28"/>
          <w:highlight w:val="none"/>
        </w:rPr>
        <w:fldChar w:fldCharType="separate"/>
      </w:r>
      <w:r>
        <w:rPr>
          <w:rFonts w:hint="eastAsia" w:ascii="等线" w:hAnsi="等线" w:eastAsia="等线" w:cs="等线"/>
          <w:bCs/>
          <w:sz w:val="28"/>
          <w:szCs w:val="28"/>
          <w:highlight w:val="none"/>
        </w:rPr>
        <w:t>第</w:t>
      </w:r>
      <w:r>
        <w:rPr>
          <w:rFonts w:hint="eastAsia" w:ascii="等线" w:hAnsi="等线" w:eastAsia="等线" w:cs="等线"/>
          <w:bCs/>
          <w:sz w:val="28"/>
          <w:szCs w:val="28"/>
          <w:highlight w:val="none"/>
          <w:lang w:val="en-US" w:eastAsia="zh-CN"/>
        </w:rPr>
        <w:t>四</w:t>
      </w:r>
      <w:r>
        <w:rPr>
          <w:rFonts w:hint="eastAsia" w:ascii="等线" w:hAnsi="等线" w:eastAsia="等线" w:cs="等线"/>
          <w:bCs/>
          <w:sz w:val="28"/>
          <w:szCs w:val="28"/>
          <w:highlight w:val="none"/>
        </w:rPr>
        <w:t>章 询价响应文件格式</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_Toc21882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23</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5121F31C">
      <w:pPr>
        <w:pStyle w:val="18"/>
        <w:tabs>
          <w:tab w:val="right" w:leader="dot" w:pos="9072"/>
          <w:tab w:val="clear" w:pos="9420"/>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_Toc19021 </w:instrText>
      </w:r>
      <w:r>
        <w:rPr>
          <w:rFonts w:hint="eastAsia" w:ascii="等线" w:hAnsi="等线" w:eastAsia="等线" w:cs="等线"/>
          <w:sz w:val="28"/>
          <w:szCs w:val="28"/>
          <w:highlight w:val="none"/>
        </w:rPr>
        <w:fldChar w:fldCharType="separate"/>
      </w:r>
      <w:r>
        <w:rPr>
          <w:rFonts w:hint="eastAsia" w:ascii="等线" w:hAnsi="等线" w:eastAsia="等线" w:cs="等线"/>
          <w:bCs/>
          <w:sz w:val="28"/>
          <w:szCs w:val="28"/>
          <w:highlight w:val="none"/>
          <w:lang w:val="en-US" w:eastAsia="zh-CN"/>
        </w:rPr>
        <w:t>第五章</w:t>
      </w:r>
      <w:r>
        <w:rPr>
          <w:rFonts w:hint="eastAsia" w:ascii="等线" w:hAnsi="等线" w:eastAsia="等线" w:cs="等线"/>
          <w:bCs/>
          <w:sz w:val="28"/>
          <w:szCs w:val="28"/>
          <w:highlight w:val="none"/>
        </w:rPr>
        <w:t xml:space="preserve"> 采购合同</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_Toc19021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30</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3CAFDE13">
      <w:pPr>
        <w:spacing w:line="360" w:lineRule="auto"/>
        <w:rPr>
          <w:rFonts w:ascii="宋体" w:hAnsi="宋体" w:cs="宋体"/>
          <w:highlight w:val="none"/>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等线" w:hAnsi="等线" w:eastAsia="等线" w:cs="等线"/>
          <w:sz w:val="28"/>
          <w:szCs w:val="28"/>
          <w:highlight w:val="none"/>
        </w:rPr>
        <w:fldChar w:fldCharType="end"/>
      </w:r>
    </w:p>
    <w:p w14:paraId="74F7ED38">
      <w:pPr>
        <w:pStyle w:val="3"/>
        <w:rPr>
          <w:rFonts w:ascii="宋体" w:hAnsi="宋体" w:cs="宋体"/>
          <w:sz w:val="28"/>
          <w:szCs w:val="28"/>
          <w:highlight w:val="none"/>
        </w:rPr>
      </w:pPr>
      <w:bookmarkStart w:id="4" w:name="_Toc12290"/>
      <w:bookmarkStart w:id="5" w:name="_Toc27845"/>
      <w:r>
        <w:rPr>
          <w:rFonts w:hint="eastAsia" w:ascii="宋体" w:hAnsi="宋体" w:cs="宋体"/>
          <w:szCs w:val="32"/>
          <w:highlight w:val="none"/>
        </w:rPr>
        <w:t>第一章  询价函</w:t>
      </w:r>
      <w:bookmarkEnd w:id="4"/>
      <w:bookmarkEnd w:id="5"/>
    </w:p>
    <w:p w14:paraId="7C50D494">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对“</w:t>
      </w:r>
      <w:r>
        <w:rPr>
          <w:rFonts w:hint="eastAsia" w:ascii="宋体" w:hAnsi="宋体" w:cs="宋体"/>
          <w:kern w:val="0"/>
          <w:sz w:val="24"/>
          <w:szCs w:val="24"/>
          <w:highlight w:val="none"/>
          <w:lang w:val="en-US" w:eastAsia="zh-CN"/>
        </w:rPr>
        <w:t>恩施机场网络安全等级保护测评服务采购项目</w:t>
      </w:r>
      <w:r>
        <w:rPr>
          <w:rFonts w:hint="eastAsia" w:ascii="宋体" w:hAnsi="宋体" w:cs="宋体"/>
          <w:kern w:val="0"/>
          <w:sz w:val="24"/>
          <w:szCs w:val="24"/>
          <w:highlight w:val="none"/>
        </w:rPr>
        <w:t>”进行询价采购，欢迎符合资格条件的供应商参与询价。</w:t>
      </w:r>
    </w:p>
    <w:p w14:paraId="7701D833">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rPr>
        <w:t>一、项目概况</w:t>
      </w:r>
    </w:p>
    <w:p w14:paraId="71D33089">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项目名称：</w:t>
      </w:r>
      <w:r>
        <w:rPr>
          <w:rFonts w:hint="eastAsia" w:ascii="宋体" w:hAnsi="宋体" w:cs="宋体"/>
          <w:kern w:val="0"/>
          <w:sz w:val="24"/>
          <w:szCs w:val="24"/>
          <w:highlight w:val="none"/>
          <w:lang w:val="en-US" w:eastAsia="zh-CN"/>
        </w:rPr>
        <w:t>恩施机场网络安全等级保护测评服务采购项目</w:t>
      </w:r>
    </w:p>
    <w:p w14:paraId="3487DE14">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最高限价</w:t>
      </w:r>
      <w:r>
        <w:rPr>
          <w:rFonts w:hint="eastAsia" w:ascii="宋体" w:hAnsi="宋体" w:cs="宋体"/>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cs="宋体"/>
          <w:sz w:val="24"/>
          <w:szCs w:val="24"/>
          <w:highlight w:val="none"/>
        </w:rPr>
        <w:t>万元，</w:t>
      </w:r>
      <w:r>
        <w:rPr>
          <w:rFonts w:hint="eastAsia" w:ascii="宋体" w:hAnsi="宋体" w:cs="宋体"/>
          <w:sz w:val="24"/>
          <w:szCs w:val="24"/>
          <w:highlight w:val="none"/>
          <w:lang w:val="en-US" w:eastAsia="zh-CN"/>
        </w:rPr>
        <w:t>供应商报价</w:t>
      </w:r>
      <w:r>
        <w:rPr>
          <w:rFonts w:hint="eastAsia" w:ascii="宋体" w:hAnsi="宋体" w:cs="宋体"/>
          <w:sz w:val="24"/>
          <w:szCs w:val="24"/>
          <w:highlight w:val="none"/>
        </w:rPr>
        <w:t>不得超过</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，否则其报价无效</w:t>
      </w:r>
      <w:r>
        <w:rPr>
          <w:rFonts w:hint="eastAsia" w:ascii="宋体" w:hAnsi="宋体" w:cs="宋体"/>
          <w:kern w:val="0"/>
          <w:sz w:val="24"/>
          <w:szCs w:val="24"/>
          <w:highlight w:val="none"/>
        </w:rPr>
        <w:t>。</w:t>
      </w:r>
    </w:p>
    <w:p w14:paraId="0DE2688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采购</w:t>
      </w:r>
      <w:r>
        <w:rPr>
          <w:rFonts w:hint="eastAsia" w:ascii="宋体" w:hAnsi="宋体" w:cs="宋体"/>
          <w:kern w:val="0"/>
          <w:sz w:val="24"/>
          <w:szCs w:val="24"/>
          <w:highlight w:val="none"/>
          <w:lang w:val="en-US" w:eastAsia="zh-CN"/>
        </w:rPr>
        <w:t>需求</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完成恩施机场三级等级保护系统（安检信息系统）的等级保护测评工作；完成恩施机场当地公安机关的网络安全等级保护登记、备案等工作。</w:t>
      </w:r>
      <w:r>
        <w:rPr>
          <w:rFonts w:hint="eastAsia" w:ascii="宋体" w:hAnsi="宋体" w:eastAsia="宋体" w:cs="宋体"/>
          <w:sz w:val="24"/>
          <w:szCs w:val="24"/>
          <w:highlight w:val="none"/>
        </w:rPr>
        <w:t>具体详见第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章采购项目内容及技术规格要求。</w:t>
      </w:r>
    </w:p>
    <w:tbl>
      <w:tblPr>
        <w:tblStyle w:val="2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99"/>
        <w:gridCol w:w="1385"/>
        <w:gridCol w:w="4263"/>
        <w:gridCol w:w="759"/>
      </w:tblGrid>
      <w:tr w14:paraId="551C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7" w:type="dxa"/>
            <w:vAlign w:val="center"/>
          </w:tcPr>
          <w:p w14:paraId="3E2197E9">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序号</w:t>
            </w:r>
          </w:p>
        </w:tc>
        <w:tc>
          <w:tcPr>
            <w:tcW w:w="2299" w:type="dxa"/>
            <w:vAlign w:val="center"/>
          </w:tcPr>
          <w:p w14:paraId="3E06A36E">
            <w:pPr>
              <w:jc w:val="center"/>
              <w:rPr>
                <w:rFonts w:ascii="宋体" w:hAnsi="宋体" w:cs="宋体"/>
                <w:b/>
                <w:bCs/>
                <w:sz w:val="24"/>
                <w:szCs w:val="24"/>
                <w:highlight w:val="none"/>
              </w:rPr>
            </w:pPr>
            <w:r>
              <w:rPr>
                <w:rFonts w:hint="eastAsia" w:ascii="宋体" w:hAnsi="宋体" w:cs="宋体"/>
                <w:b/>
                <w:bCs/>
                <w:sz w:val="24"/>
                <w:szCs w:val="24"/>
                <w:highlight w:val="none"/>
              </w:rPr>
              <w:t>服务内容</w:t>
            </w:r>
          </w:p>
        </w:tc>
        <w:tc>
          <w:tcPr>
            <w:tcW w:w="1385" w:type="dxa"/>
            <w:vAlign w:val="center"/>
          </w:tcPr>
          <w:p w14:paraId="04012D6B">
            <w:pPr>
              <w:jc w:val="center"/>
              <w:rPr>
                <w:rFonts w:ascii="宋体" w:hAnsi="宋体" w:cs="宋体"/>
                <w:b/>
                <w:bCs/>
                <w:sz w:val="24"/>
                <w:szCs w:val="24"/>
                <w:highlight w:val="none"/>
              </w:rPr>
            </w:pPr>
            <w:r>
              <w:rPr>
                <w:rFonts w:hint="eastAsia" w:ascii="宋体" w:hAnsi="宋体" w:cs="宋体"/>
                <w:b/>
                <w:bCs/>
                <w:sz w:val="24"/>
                <w:szCs w:val="24"/>
                <w:highlight w:val="none"/>
              </w:rPr>
              <w:t>服务地点</w:t>
            </w:r>
          </w:p>
        </w:tc>
        <w:tc>
          <w:tcPr>
            <w:tcW w:w="4263" w:type="dxa"/>
            <w:vAlign w:val="center"/>
          </w:tcPr>
          <w:p w14:paraId="4E525396">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测评期限</w:t>
            </w:r>
          </w:p>
        </w:tc>
        <w:tc>
          <w:tcPr>
            <w:tcW w:w="759" w:type="dxa"/>
            <w:vAlign w:val="center"/>
          </w:tcPr>
          <w:p w14:paraId="1B58C5F0">
            <w:pPr>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14:paraId="7786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87" w:type="dxa"/>
            <w:vAlign w:val="center"/>
          </w:tcPr>
          <w:p w14:paraId="3C854CB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299" w:type="dxa"/>
            <w:vAlign w:val="center"/>
          </w:tcPr>
          <w:p w14:paraId="0F5A63F4">
            <w:pPr>
              <w:jc w:val="center"/>
              <w:rPr>
                <w:rFonts w:hint="default" w:ascii="宋体" w:hAnsi="宋体" w:eastAsia="宋体" w:cs="宋体"/>
                <w:sz w:val="24"/>
                <w:szCs w:val="24"/>
                <w:highlight w:val="none"/>
                <w:lang w:val="en-US" w:eastAsia="zh-CN"/>
              </w:rPr>
            </w:pPr>
            <w:r>
              <w:rPr>
                <w:rFonts w:hint="eastAsia" w:ascii="宋体" w:hAnsi="宋体" w:cs="宋体"/>
                <w:kern w:val="0"/>
                <w:sz w:val="24"/>
                <w:szCs w:val="24"/>
                <w:highlight w:val="none"/>
                <w:lang w:val="en-US" w:eastAsia="zh-CN"/>
              </w:rPr>
              <w:t>恩施机场网络安全等级保护测评服务</w:t>
            </w:r>
          </w:p>
        </w:tc>
        <w:tc>
          <w:tcPr>
            <w:tcW w:w="1385" w:type="dxa"/>
            <w:vAlign w:val="center"/>
          </w:tcPr>
          <w:p w14:paraId="1F9214FC">
            <w:pPr>
              <w:jc w:val="center"/>
              <w:rPr>
                <w:rFonts w:hint="default" w:ascii="宋体" w:hAnsi="宋体" w:eastAsia="宋体" w:cs="宋体"/>
                <w:sz w:val="24"/>
                <w:szCs w:val="24"/>
                <w:highlight w:val="none"/>
                <w:lang w:val="en-US" w:eastAsia="zh-CN"/>
              </w:rPr>
            </w:pPr>
            <w:r>
              <w:rPr>
                <w:rFonts w:hint="eastAsia" w:ascii="宋体" w:hAnsi="宋体" w:cs="宋体"/>
                <w:kern w:val="0"/>
                <w:sz w:val="24"/>
                <w:szCs w:val="24"/>
                <w:highlight w:val="none"/>
                <w:lang w:val="en-US" w:eastAsia="zh-CN"/>
              </w:rPr>
              <w:t>恩施机场</w:t>
            </w:r>
          </w:p>
        </w:tc>
        <w:tc>
          <w:tcPr>
            <w:tcW w:w="4263" w:type="dxa"/>
            <w:vAlign w:val="center"/>
          </w:tcPr>
          <w:p w14:paraId="4EFF3039">
            <w:pPr>
              <w:jc w:val="center"/>
              <w:rPr>
                <w:rFonts w:hint="default"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合同签订后35个日历天内，完成等级保护测评工作，45个日历天内取得当地公安机关备案回执</w:t>
            </w:r>
          </w:p>
        </w:tc>
        <w:tc>
          <w:tcPr>
            <w:tcW w:w="759" w:type="dxa"/>
            <w:vAlign w:val="center"/>
          </w:tcPr>
          <w:p w14:paraId="418E3B49">
            <w:pPr>
              <w:jc w:val="center"/>
              <w:rPr>
                <w:rFonts w:ascii="宋体" w:hAnsi="宋体" w:cs="宋体"/>
                <w:sz w:val="24"/>
                <w:szCs w:val="24"/>
                <w:highlight w:val="none"/>
              </w:rPr>
            </w:pPr>
          </w:p>
        </w:tc>
      </w:tr>
    </w:tbl>
    <w:p w14:paraId="6336F324">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4、询价有效期：自询价之日起60个日历天。</w:t>
      </w:r>
    </w:p>
    <w:p w14:paraId="4A025DBA">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kern w:val="0"/>
          <w:sz w:val="24"/>
          <w:szCs w:val="24"/>
          <w:highlight w:val="none"/>
        </w:rPr>
      </w:pPr>
      <w:r>
        <w:rPr>
          <w:rFonts w:hint="eastAsia" w:ascii="宋体" w:hAnsi="宋体" w:cs="宋体"/>
          <w:b/>
          <w:bCs/>
          <w:kern w:val="0"/>
          <w:sz w:val="24"/>
          <w:szCs w:val="24"/>
          <w:highlight w:val="none"/>
        </w:rPr>
        <w:t>二、供应商资格要求</w:t>
      </w:r>
    </w:p>
    <w:p w14:paraId="07FB9E1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1、供应商须在中华人民共和国市场监督管理部门注册，具有独立法人资格和有效的营业执照</w:t>
      </w:r>
      <w:r>
        <w:rPr>
          <w:rFonts w:hint="eastAsia" w:ascii="宋体" w:hAnsi="宋体" w:cs="宋体"/>
          <w:color w:val="000000" w:themeColor="text1"/>
          <w:kern w:val="0"/>
          <w:sz w:val="24"/>
          <w:szCs w:val="24"/>
          <w:highlight w:val="none"/>
          <w:lang w:val="en-US" w:eastAsia="zh-CN"/>
          <w14:textFill>
            <w14:solidFill>
              <w14:schemeClr w14:val="tx1"/>
            </w14:solidFill>
          </w14:textFill>
        </w:rPr>
        <w:t>；</w:t>
      </w:r>
    </w:p>
    <w:p w14:paraId="2BB712ED">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、供应商须具有公安部第三研究所颁发的有效《网络安全等级测评与检测评估机构服务认证证书》</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6845DAC3">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val="en-US" w:eastAsia="zh-CN"/>
        </w:rPr>
        <w:t>供应商未被列</w:t>
      </w:r>
      <w:r>
        <w:rPr>
          <w:rFonts w:hint="default" w:ascii="Times New Roman" w:hAnsi="Times New Roman" w:cs="Times New Roman"/>
          <w:kern w:val="0"/>
          <w:sz w:val="24"/>
          <w:szCs w:val="24"/>
          <w:highlight w:val="none"/>
          <w:lang w:val="en-US" w:eastAsia="zh-CN"/>
        </w:rPr>
        <w:t>入</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信用中国</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网站(www.creditchina.gov.cn)或者</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中国执行信息公开网</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（zxgk.court.gov.cn）失信被执行人名单（提供网站查询截图）；</w:t>
      </w:r>
    </w:p>
    <w:p w14:paraId="0EEAD70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lang w:val="en-US" w:eastAsia="zh-CN"/>
        </w:rPr>
        <w:t>、供应商需对关《湖北机场集团有限公司“供应商不良行为”管理办法》在“第六章 询价响应文件格式”“资格证明材料”中做出承诺，承诺格式详见询价响应文件格式；</w:t>
      </w:r>
    </w:p>
    <w:p w14:paraId="0F5FD20C">
      <w:pPr>
        <w:pStyle w:val="34"/>
        <w:keepNext w:val="0"/>
        <w:keepLines w:val="0"/>
        <w:pageBreakBefore w:val="0"/>
        <w:kinsoku/>
        <w:wordWrap/>
        <w:overflowPunct/>
        <w:topLinePunct w:val="0"/>
        <w:bidi w:val="0"/>
        <w:adjustRightInd/>
        <w:snapToGrid/>
        <w:spacing w:line="360" w:lineRule="auto"/>
        <w:textAlignment w:val="auto"/>
        <w:rPr>
          <w:rFonts w:hint="default"/>
          <w:highlight w:val="none"/>
          <w:lang w:val="en-US" w:eastAsia="zh-CN"/>
        </w:rPr>
      </w:pPr>
      <w:r>
        <w:rPr>
          <w:rFonts w:hint="eastAsia" w:hAnsi="宋体" w:cs="宋体"/>
          <w:kern w:val="0"/>
          <w:sz w:val="24"/>
          <w:szCs w:val="24"/>
          <w:highlight w:val="none"/>
          <w:lang w:val="en-US" w:eastAsia="zh-CN"/>
        </w:rPr>
        <w:t>5</w:t>
      </w:r>
      <w:r>
        <w:rPr>
          <w:rFonts w:hint="eastAsia" w:ascii="宋体" w:hAnsi="宋体" w:eastAsia="宋体" w:cs="宋体"/>
          <w:kern w:val="0"/>
          <w:sz w:val="24"/>
          <w:szCs w:val="24"/>
          <w:highlight w:val="none"/>
          <w:lang w:val="en-US" w:eastAsia="zh-CN"/>
        </w:rPr>
        <w:t>、本项目不接受联合体响应。</w:t>
      </w:r>
    </w:p>
    <w:p w14:paraId="55B3D328">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highlight w:val="none"/>
          <w:lang w:val="en-US" w:eastAsia="zh-CN"/>
        </w:rPr>
      </w:pPr>
      <w:r>
        <w:rPr>
          <w:rFonts w:hint="eastAsia"/>
          <w:b/>
          <w:bCs/>
          <w:highlight w:val="none"/>
          <w:lang w:val="en-US" w:eastAsia="zh-CN"/>
        </w:rPr>
        <w:t>以上资格要求为本次项目供应商应具备的基本条件，参加报名、报价的供应商必须满足资格要求中的所有条款，并按照询价文件规定在响应文件中递交资格证明文件。</w:t>
      </w:r>
    </w:p>
    <w:p w14:paraId="0FD33C5F">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hint="default" w:ascii="宋体" w:hAnsi="宋体" w:eastAsia="宋体" w:cs="宋体"/>
          <w:b/>
          <w:kern w:val="0"/>
          <w:sz w:val="24"/>
          <w:szCs w:val="24"/>
          <w:highlight w:val="none"/>
          <w:lang w:val="en-US" w:eastAsia="zh-CN"/>
        </w:rPr>
      </w:pPr>
      <w:r>
        <w:rPr>
          <w:rFonts w:hint="eastAsia" w:ascii="宋体" w:hAnsi="宋体" w:cs="宋体"/>
          <w:b/>
          <w:kern w:val="0"/>
          <w:sz w:val="24"/>
          <w:szCs w:val="24"/>
          <w:highlight w:val="none"/>
        </w:rPr>
        <w:t>三、询价文件</w:t>
      </w:r>
      <w:r>
        <w:rPr>
          <w:rFonts w:hint="eastAsia" w:ascii="宋体" w:hAnsi="宋体" w:cs="宋体"/>
          <w:b/>
          <w:kern w:val="0"/>
          <w:sz w:val="24"/>
          <w:szCs w:val="24"/>
          <w:highlight w:val="none"/>
          <w:lang w:val="en-US" w:eastAsia="zh-CN"/>
        </w:rPr>
        <w:t>获取地点、</w:t>
      </w:r>
      <w:r>
        <w:rPr>
          <w:rFonts w:hint="eastAsia" w:ascii="宋体" w:hAnsi="宋体" w:cs="宋体"/>
          <w:b/>
          <w:kern w:val="0"/>
          <w:sz w:val="24"/>
          <w:szCs w:val="24"/>
          <w:highlight w:val="none"/>
        </w:rPr>
        <w:t>响应递交截止时间</w:t>
      </w:r>
      <w:r>
        <w:rPr>
          <w:rFonts w:hint="eastAsia" w:ascii="宋体" w:hAnsi="宋体" w:cs="宋体"/>
          <w:b/>
          <w:kern w:val="0"/>
          <w:sz w:val="24"/>
          <w:szCs w:val="24"/>
          <w:highlight w:val="none"/>
          <w:lang w:val="en-US" w:eastAsia="zh-CN"/>
        </w:rPr>
        <w:t>及地点</w:t>
      </w:r>
    </w:p>
    <w:p w14:paraId="4FC4AF9A">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1、询价文件获取地点：</w:t>
      </w:r>
      <w:r>
        <w:rPr>
          <w:rFonts w:hint="eastAsia" w:ascii="宋体" w:hAnsi="宋体" w:cs="宋体"/>
          <w:bCs/>
          <w:kern w:val="0"/>
          <w:sz w:val="24"/>
          <w:szCs w:val="24"/>
          <w:highlight w:val="none"/>
          <w:lang w:val="en-US" w:eastAsia="zh-CN"/>
        </w:rPr>
        <w:t>恩施机场公司官网</w:t>
      </w:r>
      <w:r>
        <w:rPr>
          <w:rFonts w:hint="eastAsia" w:ascii="宋体" w:hAnsi="宋体" w:cs="宋体"/>
          <w:kern w:val="0"/>
          <w:sz w:val="24"/>
          <w:szCs w:val="24"/>
          <w:highlight w:val="none"/>
          <w:lang w:val="en-US" w:eastAsia="zh-CN"/>
        </w:rPr>
        <w:t>本项目公告附件中直接下载。</w:t>
      </w:r>
    </w:p>
    <w:p w14:paraId="17501EB8">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响</w:t>
      </w:r>
      <w:r>
        <w:rPr>
          <w:rFonts w:hint="eastAsia" w:ascii="宋体" w:hAnsi="宋体" w:cs="宋体"/>
          <w:kern w:val="0"/>
          <w:sz w:val="24"/>
          <w:szCs w:val="24"/>
          <w:highlight w:val="none"/>
        </w:rPr>
        <w:t>应文件递交</w:t>
      </w:r>
      <w:r>
        <w:rPr>
          <w:rFonts w:hint="eastAsia" w:ascii="宋体" w:hAnsi="宋体" w:cs="宋体"/>
          <w:kern w:val="0"/>
          <w:sz w:val="24"/>
          <w:szCs w:val="24"/>
          <w:highlight w:val="none"/>
          <w:lang w:val="en-US" w:eastAsia="zh-CN"/>
        </w:rPr>
        <w:t>截止</w:t>
      </w:r>
      <w:r>
        <w:rPr>
          <w:rFonts w:hint="eastAsia" w:ascii="宋体" w:hAnsi="宋体" w:cs="宋体"/>
          <w:kern w:val="0"/>
          <w:sz w:val="24"/>
          <w:szCs w:val="24"/>
          <w:highlight w:val="none"/>
          <w:lang w:eastAsia="zh-CN"/>
        </w:rPr>
        <w:t>时间</w:t>
      </w:r>
      <w:r>
        <w:rPr>
          <w:rFonts w:hint="eastAsia" w:ascii="宋体" w:hAnsi="宋体" w:cs="宋体"/>
          <w:sz w:val="24"/>
          <w:szCs w:val="24"/>
          <w:highlight w:val="none"/>
        </w:rPr>
        <w:t>：</w:t>
      </w:r>
      <w:r>
        <w:rPr>
          <w:rFonts w:hint="eastAsia" w:ascii="宋体" w:hAnsi="宋体" w:cs="宋体"/>
          <w:sz w:val="24"/>
          <w:szCs w:val="24"/>
          <w:highlight w:val="none"/>
          <w:u w:val="single"/>
          <w:lang w:val="en-US" w:eastAsia="zh-CN"/>
        </w:rPr>
        <w:t>2025</w:t>
      </w:r>
      <w:r>
        <w:rPr>
          <w:rFonts w:hint="eastAsia" w:ascii="宋体" w:hAnsi="宋体" w:cs="宋体"/>
          <w:bCs/>
          <w:sz w:val="24"/>
          <w:szCs w:val="24"/>
          <w:highlight w:val="none"/>
        </w:rPr>
        <w:t>年</w:t>
      </w:r>
      <w:r>
        <w:rPr>
          <w:rFonts w:hint="eastAsia" w:ascii="宋体" w:hAnsi="宋体" w:cs="宋体"/>
          <w:sz w:val="24"/>
          <w:szCs w:val="24"/>
          <w:highlight w:val="none"/>
          <w:u w:val="single"/>
          <w:lang w:val="en-US" w:eastAsia="zh-CN"/>
        </w:rPr>
        <w:t>10</w:t>
      </w:r>
      <w:r>
        <w:rPr>
          <w:rFonts w:hint="eastAsia" w:ascii="宋体" w:hAnsi="宋体" w:cs="宋体"/>
          <w:bCs/>
          <w:sz w:val="24"/>
          <w:szCs w:val="24"/>
          <w:highlight w:val="none"/>
        </w:rPr>
        <w:t>月</w:t>
      </w:r>
      <w:r>
        <w:rPr>
          <w:rFonts w:hint="eastAsia" w:ascii="宋体" w:hAnsi="宋体" w:cs="宋体"/>
          <w:sz w:val="24"/>
          <w:szCs w:val="24"/>
          <w:highlight w:val="none"/>
          <w:u w:val="single"/>
          <w:lang w:val="en-US" w:eastAsia="zh-CN"/>
        </w:rPr>
        <w:t>14</w:t>
      </w:r>
      <w:r>
        <w:rPr>
          <w:rFonts w:hint="eastAsia" w:ascii="宋体" w:hAnsi="宋体" w:cs="宋体"/>
          <w:bCs/>
          <w:sz w:val="24"/>
          <w:szCs w:val="24"/>
          <w:highlight w:val="none"/>
        </w:rPr>
        <w:t>日</w:t>
      </w:r>
      <w:r>
        <w:rPr>
          <w:rFonts w:hint="eastAsia" w:ascii="宋体" w:hAnsi="宋体" w:cs="宋体"/>
          <w:sz w:val="24"/>
          <w:szCs w:val="24"/>
          <w:highlight w:val="none"/>
          <w:u w:val="single"/>
          <w:lang w:val="en-US" w:eastAsia="zh-CN"/>
        </w:rPr>
        <w:t>09</w:t>
      </w:r>
      <w:r>
        <w:rPr>
          <w:rFonts w:hint="eastAsia" w:ascii="宋体" w:hAnsi="宋体" w:cs="宋体"/>
          <w:bCs/>
          <w:sz w:val="24"/>
          <w:szCs w:val="24"/>
          <w:highlight w:val="none"/>
        </w:rPr>
        <w:t>时</w:t>
      </w:r>
      <w:r>
        <w:rPr>
          <w:rFonts w:hint="eastAsia" w:ascii="宋体" w:hAnsi="宋体" w:cs="宋体"/>
          <w:sz w:val="24"/>
          <w:szCs w:val="24"/>
          <w:highlight w:val="none"/>
          <w:u w:val="single"/>
          <w:lang w:val="en-US" w:eastAsia="zh-CN"/>
        </w:rPr>
        <w:t>30</w:t>
      </w:r>
      <w:r>
        <w:rPr>
          <w:rFonts w:hint="eastAsia" w:ascii="宋体" w:hAnsi="宋体" w:cs="宋体"/>
          <w:bCs/>
          <w:sz w:val="24"/>
          <w:szCs w:val="24"/>
          <w:highlight w:val="none"/>
          <w:lang w:val="en-US" w:eastAsia="zh-CN"/>
        </w:rPr>
        <w:t>分</w:t>
      </w:r>
      <w:r>
        <w:rPr>
          <w:rFonts w:hint="eastAsia" w:ascii="宋体" w:hAnsi="宋体" w:cs="宋体"/>
          <w:sz w:val="24"/>
          <w:szCs w:val="24"/>
          <w:highlight w:val="none"/>
        </w:rPr>
        <w:t>（北京时间，法定节假日除外）。</w:t>
      </w:r>
    </w:p>
    <w:p w14:paraId="2CF21DE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响应文件递交地点：</w:t>
      </w:r>
      <w:r>
        <w:rPr>
          <w:rFonts w:hint="eastAsia" w:ascii="宋体" w:hAnsi="宋体" w:cs="宋体"/>
          <w:kern w:val="0"/>
          <w:sz w:val="24"/>
          <w:szCs w:val="24"/>
          <w:highlight w:val="none"/>
          <w:lang w:val="en-US" w:eastAsia="zh-CN"/>
        </w:rPr>
        <w:t>恩施许家坪国际机场</w:t>
      </w:r>
      <w:r>
        <w:rPr>
          <w:rFonts w:hint="eastAsia" w:ascii="宋体" w:hAnsi="宋体" w:cs="宋体"/>
          <w:sz w:val="24"/>
          <w:szCs w:val="24"/>
          <w:highlight w:val="none"/>
          <w:u w:val="none"/>
          <w:lang w:val="en-US" w:eastAsia="zh-CN"/>
        </w:rPr>
        <w:t>行政楼111办公室</w:t>
      </w:r>
      <w:r>
        <w:rPr>
          <w:rFonts w:hint="eastAsia" w:ascii="宋体" w:hAnsi="宋体" w:cs="宋体"/>
          <w:kern w:val="0"/>
          <w:sz w:val="24"/>
          <w:szCs w:val="24"/>
          <w:highlight w:val="none"/>
          <w:lang w:val="en-US" w:eastAsia="zh-CN"/>
        </w:rPr>
        <w:t>。</w:t>
      </w:r>
    </w:p>
    <w:p w14:paraId="40957DA1">
      <w:pPr>
        <w:keepNext w:val="0"/>
        <w:keepLines w:val="0"/>
        <w:pageBreakBefore w:val="0"/>
        <w:kinsoku/>
        <w:wordWrap/>
        <w:overflowPunct/>
        <w:topLinePunct w:val="0"/>
        <w:autoSpaceDE w:val="0"/>
        <w:autoSpaceDN w:val="0"/>
        <w:bidi w:val="0"/>
        <w:adjustRightInd/>
        <w:snapToGrid/>
        <w:spacing w:line="360" w:lineRule="auto"/>
        <w:ind w:left="479" w:leftChars="228"/>
        <w:textAlignment w:val="auto"/>
        <w:rPr>
          <w:rFonts w:ascii="宋体" w:hAnsi="宋体" w:cs="宋体"/>
          <w:kern w:val="0"/>
          <w:sz w:val="24"/>
          <w:szCs w:val="24"/>
          <w:highlight w:val="none"/>
        </w:rPr>
      </w:pPr>
      <w:r>
        <w:rPr>
          <w:rFonts w:hint="eastAsia" w:ascii="宋体" w:hAnsi="宋体" w:cs="宋体"/>
          <w:b/>
          <w:kern w:val="0"/>
          <w:sz w:val="24"/>
          <w:szCs w:val="24"/>
          <w:highlight w:val="none"/>
          <w:lang w:val="en-US" w:eastAsia="zh-CN"/>
        </w:rPr>
        <w:t>四</w:t>
      </w:r>
      <w:r>
        <w:rPr>
          <w:rFonts w:hint="eastAsia" w:ascii="宋体" w:hAnsi="宋体" w:cs="宋体"/>
          <w:b/>
          <w:kern w:val="0"/>
          <w:sz w:val="24"/>
          <w:szCs w:val="24"/>
          <w:highlight w:val="none"/>
        </w:rPr>
        <w:t>、</w:t>
      </w:r>
      <w:r>
        <w:rPr>
          <w:rFonts w:hint="eastAsia" w:ascii="宋体" w:hAnsi="宋体" w:cs="宋体"/>
          <w:b/>
          <w:bCs/>
          <w:kern w:val="0"/>
          <w:sz w:val="24"/>
          <w:szCs w:val="24"/>
          <w:highlight w:val="none"/>
          <w:lang w:val="en-US" w:eastAsia="zh-CN"/>
        </w:rPr>
        <w:t>联系方式</w:t>
      </w:r>
      <w:r>
        <w:rPr>
          <w:rFonts w:hint="eastAsia" w:ascii="宋体" w:hAnsi="宋体" w:cs="宋体"/>
          <w:b/>
          <w:bCs/>
          <w:kern w:val="0"/>
          <w:sz w:val="24"/>
          <w:szCs w:val="24"/>
          <w:highlight w:val="none"/>
        </w:rPr>
        <w:t xml:space="preserve"> </w:t>
      </w:r>
    </w:p>
    <w:p w14:paraId="1FA2283B">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名    称：</w:t>
      </w: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 xml:space="preserve"> </w:t>
      </w:r>
    </w:p>
    <w:p w14:paraId="548877EC">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    址：</w:t>
      </w:r>
      <w:r>
        <w:rPr>
          <w:rFonts w:hint="eastAsia" w:ascii="宋体" w:hAnsi="宋体" w:cs="宋体"/>
          <w:kern w:val="0"/>
          <w:sz w:val="24"/>
          <w:szCs w:val="24"/>
          <w:highlight w:val="none"/>
          <w:lang w:val="en-US" w:eastAsia="zh-CN"/>
        </w:rPr>
        <w:t>恩施许家坪国际机场</w:t>
      </w:r>
    </w:p>
    <w:p w14:paraId="7A9A5DF0">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   系  人：</w:t>
      </w:r>
      <w:r>
        <w:rPr>
          <w:rFonts w:hint="eastAsia" w:ascii="宋体" w:hAnsi="宋体" w:cs="宋体"/>
          <w:sz w:val="24"/>
          <w:szCs w:val="24"/>
          <w:highlight w:val="none"/>
          <w:u w:val="none"/>
          <w:lang w:val="en-US" w:eastAsia="zh-CN"/>
        </w:rPr>
        <w:t>王蒙</w:t>
      </w:r>
    </w:p>
    <w:p w14:paraId="005C6C66">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电       话：</w:t>
      </w:r>
      <w:r>
        <w:rPr>
          <w:rFonts w:hint="eastAsia" w:ascii="宋体" w:hAnsi="宋体" w:cs="宋体"/>
          <w:sz w:val="24"/>
          <w:szCs w:val="24"/>
          <w:highlight w:val="none"/>
          <w:u w:val="none"/>
          <w:lang w:val="en-US" w:eastAsia="zh-CN"/>
        </w:rPr>
        <w:t>18671816956</w:t>
      </w:r>
    </w:p>
    <w:p w14:paraId="7DEC187F">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lang w:val="en-US" w:eastAsia="zh-CN"/>
        </w:rPr>
        <w:t>五</w:t>
      </w:r>
      <w:r>
        <w:rPr>
          <w:rFonts w:hint="eastAsia" w:ascii="宋体" w:hAnsi="宋体" w:cs="宋体"/>
          <w:b/>
          <w:kern w:val="0"/>
          <w:sz w:val="24"/>
          <w:szCs w:val="24"/>
          <w:highlight w:val="none"/>
        </w:rPr>
        <w:t xml:space="preserve">、信息发布媒体 </w:t>
      </w:r>
    </w:p>
    <w:p w14:paraId="34B7135A">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恩施机场公司官网、</w:t>
      </w:r>
      <w:r>
        <w:rPr>
          <w:rFonts w:hint="eastAsia" w:ascii="宋体" w:hAnsi="宋体" w:cs="宋体"/>
          <w:bCs/>
          <w:kern w:val="0"/>
          <w:sz w:val="24"/>
          <w:szCs w:val="24"/>
          <w:highlight w:val="none"/>
        </w:rPr>
        <w:t>湖北机场集团</w:t>
      </w:r>
      <w:r>
        <w:rPr>
          <w:rFonts w:hint="eastAsia" w:ascii="宋体" w:hAnsi="宋体" w:cs="宋体"/>
          <w:bCs/>
          <w:kern w:val="0"/>
          <w:sz w:val="24"/>
          <w:szCs w:val="24"/>
          <w:highlight w:val="none"/>
          <w:lang w:val="en-US" w:eastAsia="zh-CN"/>
        </w:rPr>
        <w:t>内外</w:t>
      </w:r>
      <w:r>
        <w:rPr>
          <w:rFonts w:hint="eastAsia" w:ascii="宋体" w:hAnsi="宋体" w:cs="宋体"/>
          <w:bCs/>
          <w:kern w:val="0"/>
          <w:sz w:val="24"/>
          <w:szCs w:val="24"/>
          <w:highlight w:val="none"/>
        </w:rPr>
        <w:t>网。</w:t>
      </w:r>
    </w:p>
    <w:p w14:paraId="638E5511">
      <w:pPr>
        <w:pStyle w:val="34"/>
        <w:keepNext w:val="0"/>
        <w:keepLines w:val="0"/>
        <w:pageBreakBefore w:val="0"/>
        <w:kinsoku/>
        <w:wordWrap/>
        <w:overflowPunct/>
        <w:topLinePunct w:val="0"/>
        <w:bidi w:val="0"/>
        <w:adjustRightInd/>
        <w:snapToGrid/>
        <w:spacing w:line="360" w:lineRule="auto"/>
        <w:ind w:left="0" w:leftChars="0" w:firstLine="0" w:firstLineChars="0"/>
        <w:textAlignment w:val="auto"/>
        <w:rPr>
          <w:rFonts w:hAnsi="宋体" w:cs="宋体"/>
          <w:bCs/>
          <w:sz w:val="24"/>
          <w:szCs w:val="24"/>
          <w:highlight w:val="none"/>
        </w:rPr>
      </w:pPr>
    </w:p>
    <w:p w14:paraId="53EB78F4">
      <w:pPr>
        <w:keepNext w:val="0"/>
        <w:keepLines w:val="0"/>
        <w:pageBreakBefore w:val="0"/>
        <w:kinsoku/>
        <w:wordWrap/>
        <w:overflowPunct/>
        <w:topLinePunct w:val="0"/>
        <w:bidi w:val="0"/>
        <w:adjustRightInd/>
        <w:snapToGrid/>
        <w:spacing w:line="360" w:lineRule="auto"/>
        <w:textAlignment w:val="auto"/>
        <w:rPr>
          <w:rFonts w:ascii="宋体" w:hAnsi="宋体" w:cs="宋体"/>
          <w:highlight w:val="none"/>
        </w:rPr>
      </w:pPr>
    </w:p>
    <w:p w14:paraId="6ED4CEB5">
      <w:pPr>
        <w:keepNext w:val="0"/>
        <w:keepLines w:val="0"/>
        <w:pageBreakBefore w:val="0"/>
        <w:kinsoku/>
        <w:wordWrap/>
        <w:overflowPunct/>
        <w:topLinePunct w:val="0"/>
        <w:autoSpaceDE w:val="0"/>
        <w:autoSpaceDN w:val="0"/>
        <w:bidi w:val="0"/>
        <w:adjustRightInd/>
        <w:snapToGrid/>
        <w:spacing w:line="360" w:lineRule="auto"/>
        <w:ind w:left="479" w:leftChars="228"/>
        <w:jc w:val="right"/>
        <w:textAlignment w:val="auto"/>
        <w:rPr>
          <w:rFonts w:ascii="宋体" w:hAnsi="宋体" w:cs="宋体"/>
          <w:bCs/>
          <w:kern w:val="0"/>
          <w:sz w:val="24"/>
          <w:szCs w:val="24"/>
          <w:highlight w:val="none"/>
        </w:rPr>
      </w:pP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p>
    <w:p w14:paraId="79F87AE0">
      <w:pPr>
        <w:pStyle w:val="10"/>
        <w:keepNext w:val="0"/>
        <w:keepLines w:val="0"/>
        <w:pageBreakBefore w:val="0"/>
        <w:kinsoku/>
        <w:wordWrap/>
        <w:overflowPunct/>
        <w:topLinePunct w:val="0"/>
        <w:bidi w:val="0"/>
        <w:adjustRightInd/>
        <w:snapToGrid/>
        <w:spacing w:line="360" w:lineRule="auto"/>
        <w:jc w:val="right"/>
        <w:textAlignment w:val="auto"/>
        <w:rPr>
          <w:rFonts w:ascii="宋体" w:hAnsi="宋体" w:cs="宋体"/>
          <w:bCs/>
          <w:kern w:val="0"/>
          <w:szCs w:val="24"/>
          <w:highlight w:val="none"/>
        </w:rPr>
      </w:pPr>
      <w:r>
        <w:rPr>
          <w:rFonts w:hint="eastAsia" w:ascii="宋体" w:hAnsi="宋体" w:cs="宋体"/>
          <w:sz w:val="24"/>
          <w:szCs w:val="24"/>
          <w:highlight w:val="none"/>
          <w:u w:val="none"/>
          <w:lang w:val="en-US" w:eastAsia="zh-CN"/>
        </w:rPr>
        <w:t>2025</w:t>
      </w:r>
      <w:r>
        <w:rPr>
          <w:rFonts w:hint="eastAsia" w:ascii="宋体" w:hAnsi="宋体" w:cs="宋体"/>
          <w:bCs/>
          <w:kern w:val="0"/>
          <w:szCs w:val="24"/>
          <w:highlight w:val="none"/>
        </w:rPr>
        <w:t>年</w:t>
      </w:r>
      <w:r>
        <w:rPr>
          <w:rFonts w:hint="eastAsia" w:ascii="宋体" w:hAnsi="宋体" w:cs="宋体"/>
          <w:sz w:val="24"/>
          <w:szCs w:val="24"/>
          <w:highlight w:val="none"/>
          <w:u w:val="none"/>
          <w:lang w:val="en-US" w:eastAsia="zh-CN"/>
        </w:rPr>
        <w:t>09</w:t>
      </w:r>
      <w:r>
        <w:rPr>
          <w:rFonts w:hint="eastAsia" w:ascii="宋体" w:hAnsi="宋体" w:cs="宋体"/>
          <w:bCs/>
          <w:kern w:val="0"/>
          <w:szCs w:val="24"/>
          <w:highlight w:val="none"/>
        </w:rPr>
        <w:t>月</w:t>
      </w:r>
      <w:r>
        <w:rPr>
          <w:rFonts w:hint="eastAsia" w:ascii="宋体" w:hAnsi="宋体" w:cs="宋体"/>
          <w:sz w:val="24"/>
          <w:szCs w:val="24"/>
          <w:highlight w:val="none"/>
          <w:u w:val="none"/>
          <w:lang w:val="en-US" w:eastAsia="zh-CN"/>
        </w:rPr>
        <w:t>30</w:t>
      </w:r>
      <w:r>
        <w:rPr>
          <w:rFonts w:hint="eastAsia" w:ascii="宋体" w:hAnsi="宋体" w:cs="宋体"/>
          <w:bCs/>
          <w:kern w:val="0"/>
          <w:szCs w:val="24"/>
          <w:highlight w:val="none"/>
        </w:rPr>
        <w:t>日</w:t>
      </w:r>
    </w:p>
    <w:p w14:paraId="6F801DE8">
      <w:pPr>
        <w:rPr>
          <w:rFonts w:ascii="宋体" w:hAnsi="宋体" w:cs="宋体"/>
          <w:highlight w:val="none"/>
        </w:rPr>
      </w:pPr>
    </w:p>
    <w:p w14:paraId="696AA511">
      <w:pPr>
        <w:pStyle w:val="10"/>
        <w:jc w:val="right"/>
        <w:rPr>
          <w:rFonts w:ascii="宋体" w:hAnsi="宋体" w:cs="宋体"/>
          <w:bCs/>
          <w:kern w:val="0"/>
          <w:szCs w:val="24"/>
          <w:highlight w:val="none"/>
        </w:rPr>
      </w:pPr>
    </w:p>
    <w:p w14:paraId="064FD2A5">
      <w:pPr>
        <w:spacing w:line="360" w:lineRule="auto"/>
        <w:ind w:firstLine="420" w:firstLineChars="200"/>
        <w:rPr>
          <w:rFonts w:ascii="宋体" w:hAnsi="宋体" w:cs="宋体"/>
          <w:sz w:val="24"/>
          <w:szCs w:val="24"/>
          <w:highlight w:val="none"/>
        </w:rPr>
      </w:pPr>
      <w:r>
        <w:rPr>
          <w:rFonts w:hint="eastAsia" w:ascii="宋体" w:hAnsi="宋体" w:cs="宋体"/>
          <w:szCs w:val="32"/>
          <w:highlight w:val="none"/>
        </w:rPr>
        <w:br w:type="page"/>
      </w:r>
    </w:p>
    <w:p w14:paraId="111307CA">
      <w:pPr>
        <w:pStyle w:val="3"/>
        <w:rPr>
          <w:rFonts w:ascii="宋体" w:hAnsi="宋体" w:cs="宋体"/>
          <w:sz w:val="24"/>
          <w:szCs w:val="24"/>
          <w:highlight w:val="none"/>
        </w:rPr>
      </w:pPr>
      <w:bookmarkStart w:id="6" w:name="_Toc20496"/>
      <w:bookmarkStart w:id="7" w:name="_Toc10198"/>
      <w:r>
        <w:rPr>
          <w:rFonts w:hint="eastAsia" w:ascii="宋体" w:hAnsi="宋体" w:cs="宋体"/>
          <w:sz w:val="24"/>
          <w:szCs w:val="24"/>
          <w:highlight w:val="none"/>
        </w:rPr>
        <w:t>第</w:t>
      </w:r>
      <w:r>
        <w:rPr>
          <w:rFonts w:hint="eastAsia" w:ascii="宋体" w:hAnsi="宋体" w:cs="宋体"/>
          <w:sz w:val="24"/>
          <w:szCs w:val="24"/>
          <w:highlight w:val="none"/>
          <w:lang w:val="en-US" w:eastAsia="zh-CN"/>
        </w:rPr>
        <w:t>二</w:t>
      </w:r>
      <w:r>
        <w:rPr>
          <w:rFonts w:hint="eastAsia" w:ascii="宋体" w:hAnsi="宋体" w:cs="宋体"/>
          <w:sz w:val="24"/>
          <w:szCs w:val="24"/>
          <w:highlight w:val="none"/>
        </w:rPr>
        <w:t>章  询价评议</w:t>
      </w:r>
      <w:bookmarkEnd w:id="6"/>
      <w:bookmarkEnd w:id="7"/>
    </w:p>
    <w:p w14:paraId="2C1D3484">
      <w:pPr>
        <w:pStyle w:val="19"/>
        <w:spacing w:before="0" w:after="0" w:line="360" w:lineRule="auto"/>
        <w:rPr>
          <w:rFonts w:ascii="宋体" w:hAnsi="宋体" w:cs="宋体"/>
          <w:sz w:val="24"/>
          <w:szCs w:val="24"/>
          <w:highlight w:val="none"/>
        </w:rPr>
      </w:pPr>
      <w:bookmarkStart w:id="8" w:name="_Toc14456"/>
      <w:bookmarkStart w:id="9" w:name="_Toc4102"/>
      <w:bookmarkStart w:id="10" w:name="_Toc3367"/>
      <w:r>
        <w:rPr>
          <w:rFonts w:hint="eastAsia" w:ascii="宋体" w:hAnsi="宋体" w:cs="宋体"/>
          <w:sz w:val="24"/>
          <w:szCs w:val="24"/>
          <w:highlight w:val="none"/>
        </w:rPr>
        <w:t>一、询价方法</w:t>
      </w:r>
      <w:bookmarkEnd w:id="8"/>
      <w:bookmarkEnd w:id="9"/>
      <w:bookmarkEnd w:id="10"/>
    </w:p>
    <w:p w14:paraId="4D60C56C">
      <w:pPr>
        <w:spacing w:line="360" w:lineRule="auto"/>
        <w:ind w:firstLine="480" w:firstLineChars="200"/>
        <w:rPr>
          <w:rFonts w:ascii="宋体" w:hAnsi="宋体" w:cs="宋体"/>
          <w:spacing w:val="2"/>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1询价小组：</w:t>
      </w:r>
      <w:r>
        <w:rPr>
          <w:rFonts w:hint="eastAsia" w:ascii="宋体" w:hAnsi="宋体" w:cs="宋体"/>
          <w:kern w:val="0"/>
          <w:sz w:val="24"/>
          <w:szCs w:val="24"/>
          <w:highlight w:val="none"/>
        </w:rPr>
        <w:t>询价小组成员由三人组成。</w:t>
      </w:r>
    </w:p>
    <w:p w14:paraId="4604D0C8">
      <w:pPr>
        <w:spacing w:line="360" w:lineRule="auto"/>
        <w:ind w:firstLine="480" w:firstLineChars="200"/>
        <w:rPr>
          <w:rFonts w:ascii="宋体" w:hAnsi="宋体" w:cs="宋体"/>
          <w:spacing w:val="2"/>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2</w:t>
      </w:r>
      <w:r>
        <w:rPr>
          <w:rFonts w:hint="eastAsia" w:ascii="宋体" w:hAnsi="宋体" w:cs="宋体"/>
          <w:spacing w:val="2"/>
          <w:sz w:val="24"/>
          <w:szCs w:val="24"/>
          <w:highlight w:val="none"/>
          <w:lang w:val="en-US" w:eastAsia="zh-CN"/>
        </w:rPr>
        <w:t>监督</w:t>
      </w:r>
      <w:r>
        <w:rPr>
          <w:rFonts w:hint="eastAsia" w:ascii="宋体" w:hAnsi="宋体" w:cs="宋体"/>
          <w:spacing w:val="2"/>
          <w:sz w:val="24"/>
          <w:szCs w:val="24"/>
          <w:highlight w:val="none"/>
        </w:rPr>
        <w:t>：由监管部门相关人员现场监督。</w:t>
      </w:r>
    </w:p>
    <w:p w14:paraId="3585BD3B">
      <w:pPr>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1.</w:t>
      </w: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询价评议：</w:t>
      </w:r>
      <w:r>
        <w:rPr>
          <w:rFonts w:hint="eastAsia" w:ascii="宋体" w:hAnsi="宋体" w:cs="宋体"/>
          <w:kern w:val="0"/>
          <w:sz w:val="24"/>
          <w:szCs w:val="24"/>
          <w:highlight w:val="none"/>
        </w:rPr>
        <w:t>询价小组负责对供应商递交询价响应文件的有效性、完整性和对询价响应文件的响应程度进行符合性审查、商务评议和技术评议。</w:t>
      </w:r>
    </w:p>
    <w:p w14:paraId="5E255F5D">
      <w:pPr>
        <w:pStyle w:val="19"/>
        <w:spacing w:before="0" w:after="0" w:line="360" w:lineRule="auto"/>
        <w:rPr>
          <w:rFonts w:ascii="宋体" w:hAnsi="宋体" w:cs="宋体"/>
          <w:sz w:val="24"/>
          <w:szCs w:val="24"/>
          <w:highlight w:val="none"/>
        </w:rPr>
      </w:pPr>
      <w:bookmarkStart w:id="11" w:name="_Toc15804"/>
      <w:bookmarkStart w:id="12" w:name="_Toc19261"/>
      <w:bookmarkStart w:id="13" w:name="_Toc5176"/>
      <w:r>
        <w:rPr>
          <w:rFonts w:hint="eastAsia" w:ascii="宋体" w:hAnsi="宋体" w:cs="宋体"/>
          <w:sz w:val="24"/>
          <w:szCs w:val="24"/>
          <w:highlight w:val="none"/>
        </w:rPr>
        <w:t>二、询价步骤</w:t>
      </w:r>
      <w:bookmarkEnd w:id="11"/>
      <w:bookmarkEnd w:id="12"/>
      <w:bookmarkEnd w:id="13"/>
    </w:p>
    <w:p w14:paraId="4E77F4F4">
      <w:pPr>
        <w:spacing w:line="360" w:lineRule="auto"/>
        <w:ind w:firstLine="480" w:firstLineChars="200"/>
        <w:rPr>
          <w:rFonts w:ascii="宋体" w:hAnsi="宋体" w:cs="宋体"/>
          <w:spacing w:val="2"/>
          <w:sz w:val="24"/>
          <w:szCs w:val="24"/>
          <w:highlight w:val="none"/>
        </w:rPr>
      </w:pPr>
      <w:bookmarkStart w:id="14" w:name="_Toc10824"/>
      <w:r>
        <w:rPr>
          <w:rFonts w:hint="eastAsia" w:ascii="宋体" w:hAnsi="宋体" w:cs="宋体"/>
          <w:kern w:val="0"/>
          <w:sz w:val="24"/>
          <w:szCs w:val="24"/>
          <w:highlight w:val="none"/>
        </w:rPr>
        <w:t>2.1</w:t>
      </w:r>
      <w:r>
        <w:rPr>
          <w:rFonts w:hint="eastAsia" w:ascii="宋体" w:hAnsi="宋体" w:cs="宋体"/>
          <w:spacing w:val="2"/>
          <w:sz w:val="24"/>
          <w:szCs w:val="24"/>
          <w:highlight w:val="none"/>
        </w:rPr>
        <w:t>响应文件开启</w:t>
      </w:r>
    </w:p>
    <w:p w14:paraId="758212B0">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2.1.1采购</w:t>
      </w:r>
      <w:r>
        <w:rPr>
          <w:rFonts w:hint="eastAsia" w:ascii="宋体" w:hAnsi="宋体" w:cs="宋体"/>
          <w:spacing w:val="2"/>
          <w:sz w:val="24"/>
          <w:szCs w:val="24"/>
          <w:highlight w:val="none"/>
          <w:lang w:val="en-US" w:eastAsia="zh-CN"/>
        </w:rPr>
        <w:t>人</w:t>
      </w:r>
      <w:r>
        <w:rPr>
          <w:rFonts w:hint="eastAsia" w:ascii="宋体" w:hAnsi="宋体" w:cs="宋体"/>
          <w:spacing w:val="2"/>
          <w:sz w:val="24"/>
          <w:szCs w:val="24"/>
          <w:highlight w:val="none"/>
        </w:rPr>
        <w:t>在第一章“询价公告”中约定的日期、时间和地点组织询价响应文件公开开启，</w:t>
      </w:r>
      <w:r>
        <w:rPr>
          <w:rFonts w:hint="eastAsia" w:ascii="宋体" w:hAnsi="宋体" w:cs="宋体"/>
          <w:b/>
          <w:bCs/>
          <w:spacing w:val="2"/>
          <w:sz w:val="24"/>
          <w:szCs w:val="24"/>
          <w:highlight w:val="none"/>
        </w:rPr>
        <w:t>供应商</w:t>
      </w:r>
      <w:r>
        <w:rPr>
          <w:rFonts w:hint="eastAsia" w:ascii="宋体" w:hAnsi="宋体" w:cs="宋体"/>
          <w:b/>
          <w:bCs/>
          <w:spacing w:val="2"/>
          <w:sz w:val="24"/>
          <w:szCs w:val="24"/>
          <w:highlight w:val="none"/>
          <w:lang w:val="en-US" w:eastAsia="zh-CN"/>
        </w:rPr>
        <w:t>只需在响应文件递交截止时间前现场递交或邮寄（收件人：王蒙，18671816956，湖北省恩施市许家坪路38号恩施许家坪国际机场行政楼111办公室）送达响应文件，邮寄的响应文件供应商应确保在递交截止时间前送达</w:t>
      </w:r>
      <w:r>
        <w:rPr>
          <w:rFonts w:hint="eastAsia" w:ascii="宋体" w:hAnsi="宋体" w:cs="宋体"/>
          <w:spacing w:val="2"/>
          <w:sz w:val="24"/>
          <w:szCs w:val="24"/>
          <w:highlight w:val="none"/>
        </w:rPr>
        <w:t>。</w:t>
      </w:r>
    </w:p>
    <w:p w14:paraId="0E3F3C89">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2.1.</w:t>
      </w:r>
      <w:r>
        <w:rPr>
          <w:rFonts w:hint="eastAsia" w:ascii="宋体" w:hAnsi="宋体" w:cs="宋体"/>
          <w:spacing w:val="2"/>
          <w:sz w:val="24"/>
          <w:szCs w:val="24"/>
          <w:highlight w:val="none"/>
          <w:lang w:val="en-US" w:eastAsia="zh-CN"/>
        </w:rPr>
        <w:t>2</w:t>
      </w:r>
      <w:r>
        <w:rPr>
          <w:rFonts w:hint="eastAsia" w:ascii="宋体" w:hAnsi="宋体" w:cs="宋体"/>
          <w:spacing w:val="2"/>
          <w:sz w:val="24"/>
          <w:szCs w:val="24"/>
          <w:highlight w:val="none"/>
        </w:rPr>
        <w:t>开启程序</w:t>
      </w:r>
    </w:p>
    <w:p w14:paraId="598DEE6F">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w:t>
      </w:r>
      <w:r>
        <w:rPr>
          <w:rFonts w:hint="eastAsia" w:ascii="宋体" w:hAnsi="宋体" w:cs="宋体"/>
          <w:spacing w:val="2"/>
          <w:sz w:val="24"/>
          <w:szCs w:val="24"/>
          <w:highlight w:val="none"/>
          <w:lang w:val="en-US" w:eastAsia="zh-CN"/>
        </w:rPr>
        <w:t>1</w:t>
      </w:r>
      <w:r>
        <w:rPr>
          <w:rFonts w:hint="eastAsia" w:ascii="宋体" w:hAnsi="宋体" w:cs="宋体"/>
          <w:spacing w:val="2"/>
          <w:sz w:val="24"/>
          <w:szCs w:val="24"/>
          <w:highlight w:val="none"/>
        </w:rPr>
        <w:t>）公布在递交响应文件截止时间前响应文件的递交情况，并由</w:t>
      </w:r>
      <w:r>
        <w:rPr>
          <w:rFonts w:hint="eastAsia" w:ascii="宋体" w:hAnsi="宋体" w:cs="宋体"/>
          <w:spacing w:val="2"/>
          <w:sz w:val="24"/>
          <w:szCs w:val="24"/>
          <w:highlight w:val="none"/>
          <w:lang w:val="en-US" w:eastAsia="zh-CN"/>
        </w:rPr>
        <w:t>监督人员</w:t>
      </w:r>
      <w:r>
        <w:rPr>
          <w:rFonts w:hint="eastAsia" w:ascii="宋体" w:hAnsi="宋体" w:cs="宋体"/>
          <w:spacing w:val="2"/>
          <w:sz w:val="24"/>
          <w:szCs w:val="24"/>
          <w:highlight w:val="none"/>
        </w:rPr>
        <w:t>检验</w:t>
      </w:r>
      <w:r>
        <w:rPr>
          <w:rFonts w:hint="eastAsia" w:ascii="宋体" w:hAnsi="宋体" w:cs="宋体"/>
          <w:spacing w:val="2"/>
          <w:sz w:val="24"/>
          <w:szCs w:val="24"/>
          <w:highlight w:val="none"/>
          <w:lang w:val="en-US" w:eastAsia="zh-CN"/>
        </w:rPr>
        <w:t>供应商</w:t>
      </w:r>
      <w:r>
        <w:rPr>
          <w:rFonts w:hint="eastAsia" w:ascii="宋体" w:hAnsi="宋体" w:cs="宋体"/>
          <w:spacing w:val="2"/>
          <w:sz w:val="24"/>
          <w:szCs w:val="24"/>
          <w:highlight w:val="none"/>
        </w:rPr>
        <w:t>响应文件的密封性；</w:t>
      </w:r>
    </w:p>
    <w:p w14:paraId="717A2B98">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w:t>
      </w:r>
      <w:r>
        <w:rPr>
          <w:rFonts w:hint="eastAsia" w:ascii="宋体" w:hAnsi="宋体" w:cs="宋体"/>
          <w:spacing w:val="2"/>
          <w:sz w:val="24"/>
          <w:szCs w:val="24"/>
          <w:highlight w:val="none"/>
          <w:lang w:val="en-US" w:eastAsia="zh-CN"/>
        </w:rPr>
        <w:t>2</w:t>
      </w:r>
      <w:r>
        <w:rPr>
          <w:rFonts w:hint="eastAsia" w:ascii="宋体" w:hAnsi="宋体" w:cs="宋体"/>
          <w:spacing w:val="2"/>
          <w:sz w:val="24"/>
          <w:szCs w:val="24"/>
          <w:highlight w:val="none"/>
        </w:rPr>
        <w:t>）开启结束。</w:t>
      </w:r>
    </w:p>
    <w:p w14:paraId="69349BD7">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2.2审查及评议</w:t>
      </w:r>
    </w:p>
    <w:p w14:paraId="21CE9A79">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2.2.1询价小组审查各供应商的询价响应文件是否实质上响应了询价通知书的要求。实质上响应的询价响应文件应该是与询价通知书要求的全部条款、条件和规格相符，响应文件不允许偏离采购内容的技术参数。</w:t>
      </w:r>
    </w:p>
    <w:p w14:paraId="7DE5EF57">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2.2.2在递交询价响应文件截止时间后，供应商不得通过修正或</w:t>
      </w:r>
      <w:r>
        <w:rPr>
          <w:rFonts w:hint="eastAsia" w:ascii="宋体" w:hAnsi="宋体" w:cs="宋体"/>
          <w:kern w:val="0"/>
          <w:sz w:val="24"/>
          <w:szCs w:val="24"/>
          <w:highlight w:val="none"/>
          <w:lang w:eastAsia="zh-CN"/>
        </w:rPr>
        <w:t>撤销</w:t>
      </w:r>
      <w:r>
        <w:rPr>
          <w:rFonts w:hint="eastAsia" w:ascii="宋体" w:hAnsi="宋体" w:cs="宋体"/>
          <w:kern w:val="0"/>
          <w:sz w:val="24"/>
          <w:szCs w:val="24"/>
          <w:highlight w:val="none"/>
        </w:rPr>
        <w:t>不合要求的偏离或保留从而使其报价成为实质上响应的报价。</w:t>
      </w:r>
    </w:p>
    <w:p w14:paraId="40BC25BC">
      <w:pPr>
        <w:spacing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rPr>
        <w:t>2.2.3资格审查</w:t>
      </w:r>
      <w:r>
        <w:rPr>
          <w:rFonts w:hint="eastAsia" w:ascii="宋体" w:hAnsi="宋体" w:cs="宋体"/>
          <w:kern w:val="0"/>
          <w:sz w:val="24"/>
          <w:szCs w:val="24"/>
          <w:highlight w:val="none"/>
          <w:lang w:val="en-US" w:eastAsia="zh-CN"/>
        </w:rPr>
        <w:t>要求见第一章 询价函供应商资格要求</w:t>
      </w:r>
      <w:r>
        <w:rPr>
          <w:rFonts w:hint="eastAsia" w:ascii="宋体" w:hAnsi="宋体" w:cs="宋体"/>
          <w:kern w:val="0"/>
          <w:sz w:val="24"/>
          <w:szCs w:val="24"/>
          <w:highlight w:val="none"/>
          <w:lang w:eastAsia="zh-CN"/>
        </w:rPr>
        <w:t>。</w:t>
      </w:r>
    </w:p>
    <w:p w14:paraId="4FA9CB57">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2.2.4</w:t>
      </w:r>
      <w:r>
        <w:rPr>
          <w:rFonts w:hint="eastAsia" w:ascii="宋体" w:hAnsi="宋体" w:eastAsia="宋体" w:cs="宋体"/>
          <w:kern w:val="0"/>
          <w:sz w:val="24"/>
          <w:szCs w:val="24"/>
          <w:highlight w:val="none"/>
        </w:rPr>
        <w:t>符合性审查中发现下列情况之一的，其询价响应文件将被视为未实质性响应询价</w:t>
      </w:r>
      <w:r>
        <w:rPr>
          <w:rFonts w:hint="eastAsia" w:ascii="宋体" w:hAnsi="宋体" w:eastAsia="宋体" w:cs="宋体"/>
          <w:kern w:val="0"/>
          <w:sz w:val="24"/>
          <w:szCs w:val="24"/>
          <w:highlight w:val="none"/>
          <w:lang w:val="en-US" w:eastAsia="zh-CN"/>
        </w:rPr>
        <w:t>文件</w:t>
      </w:r>
      <w:r>
        <w:rPr>
          <w:rFonts w:hint="eastAsia" w:ascii="宋体" w:hAnsi="宋体" w:eastAsia="宋体" w:cs="宋体"/>
          <w:kern w:val="0"/>
          <w:sz w:val="24"/>
          <w:szCs w:val="24"/>
          <w:highlight w:val="none"/>
        </w:rPr>
        <w:t>，而</w:t>
      </w:r>
      <w:r>
        <w:rPr>
          <w:rFonts w:hint="eastAsia" w:ascii="宋体" w:hAnsi="宋体" w:eastAsia="宋体" w:cs="宋体"/>
          <w:kern w:val="0"/>
          <w:sz w:val="24"/>
          <w:szCs w:val="24"/>
          <w:highlight w:val="none"/>
          <w:lang w:eastAsia="zh-CN"/>
        </w:rPr>
        <w:t>作</w:t>
      </w:r>
      <w:r>
        <w:rPr>
          <w:rFonts w:hint="eastAsia" w:ascii="宋体" w:hAnsi="宋体" w:eastAsia="宋体" w:cs="宋体"/>
          <w:kern w:val="0"/>
          <w:sz w:val="24"/>
          <w:szCs w:val="24"/>
          <w:highlight w:val="none"/>
        </w:rPr>
        <w:t>无效报价处理：</w:t>
      </w:r>
    </w:p>
    <w:p w14:paraId="1E5540B4">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未</w:t>
      </w:r>
      <w:r>
        <w:rPr>
          <w:rFonts w:hint="eastAsia" w:ascii="宋体" w:hAnsi="宋体" w:cs="宋体"/>
          <w:kern w:val="0"/>
          <w:sz w:val="24"/>
          <w:szCs w:val="24"/>
          <w:highlight w:val="none"/>
        </w:rPr>
        <w:t>按</w:t>
      </w:r>
      <w:r>
        <w:rPr>
          <w:rFonts w:hint="eastAsia" w:ascii="宋体" w:hAnsi="宋体" w:cs="宋体"/>
          <w:kern w:val="0"/>
          <w:sz w:val="24"/>
          <w:szCs w:val="24"/>
          <w:highlight w:val="none"/>
          <w:lang w:val="en-US" w:eastAsia="zh-CN"/>
        </w:rPr>
        <w:t>询价</w:t>
      </w:r>
      <w:r>
        <w:rPr>
          <w:rFonts w:hint="eastAsia" w:ascii="宋体" w:hAnsi="宋体" w:cs="宋体"/>
          <w:kern w:val="0"/>
          <w:sz w:val="24"/>
          <w:szCs w:val="24"/>
          <w:highlight w:val="none"/>
        </w:rPr>
        <w:t>文件要求签署、盖章；</w:t>
      </w:r>
    </w:p>
    <w:p w14:paraId="2AD4C8AA">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报价超限价，存在缺项、漏项；出现两个及以上不同报价或响应方案；</w:t>
      </w:r>
    </w:p>
    <w:p w14:paraId="602E2352">
      <w:pPr>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3）响应有效期不符合采购文件要求；</w:t>
      </w:r>
    </w:p>
    <w:p w14:paraId="0636A22C">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交货期（工期/服务期）、质保期</w:t>
      </w:r>
      <w:r>
        <w:rPr>
          <w:rFonts w:hint="eastAsia" w:ascii="宋体" w:hAnsi="宋体" w:cs="宋体"/>
          <w:kern w:val="0"/>
          <w:sz w:val="24"/>
          <w:szCs w:val="24"/>
          <w:highlight w:val="none"/>
          <w:lang w:val="en-US" w:eastAsia="zh-CN"/>
        </w:rPr>
        <w:t>不</w:t>
      </w:r>
      <w:r>
        <w:rPr>
          <w:rFonts w:hint="eastAsia" w:ascii="宋体" w:hAnsi="宋体" w:cs="宋体"/>
          <w:kern w:val="0"/>
          <w:sz w:val="24"/>
          <w:szCs w:val="24"/>
          <w:highlight w:val="none"/>
        </w:rPr>
        <w:t>符合</w:t>
      </w:r>
      <w:r>
        <w:rPr>
          <w:rFonts w:hint="eastAsia" w:ascii="宋体" w:hAnsi="宋体" w:cs="宋体"/>
          <w:kern w:val="0"/>
          <w:sz w:val="24"/>
          <w:szCs w:val="24"/>
          <w:highlight w:val="none"/>
          <w:lang w:val="en-US" w:eastAsia="zh-CN"/>
        </w:rPr>
        <w:t>询价</w:t>
      </w:r>
      <w:r>
        <w:rPr>
          <w:rFonts w:hint="eastAsia" w:ascii="宋体" w:hAnsi="宋体" w:cs="宋体"/>
          <w:kern w:val="0"/>
          <w:sz w:val="24"/>
          <w:szCs w:val="24"/>
          <w:highlight w:val="none"/>
        </w:rPr>
        <w:t>文件要求；</w:t>
      </w:r>
    </w:p>
    <w:p w14:paraId="322479A4">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5）不</w:t>
      </w:r>
      <w:r>
        <w:rPr>
          <w:rFonts w:hint="eastAsia" w:ascii="宋体" w:hAnsi="宋体" w:cs="宋体"/>
          <w:sz w:val="24"/>
          <w:szCs w:val="24"/>
          <w:highlight w:val="none"/>
        </w:rPr>
        <w:t>满足</w:t>
      </w:r>
      <w:r>
        <w:rPr>
          <w:rFonts w:hint="eastAsia" w:ascii="宋体" w:hAnsi="宋体" w:cs="宋体"/>
          <w:sz w:val="24"/>
          <w:szCs w:val="24"/>
          <w:highlight w:val="none"/>
          <w:lang w:val="en-US" w:eastAsia="zh-CN"/>
        </w:rPr>
        <w:t>询价</w:t>
      </w:r>
      <w:r>
        <w:rPr>
          <w:rFonts w:hint="eastAsia" w:ascii="宋体" w:hAnsi="宋体" w:cs="宋体"/>
          <w:sz w:val="24"/>
          <w:szCs w:val="24"/>
          <w:highlight w:val="none"/>
        </w:rPr>
        <w:t>文件技术、服务及商务等实质性要求；</w:t>
      </w:r>
    </w:p>
    <w:p w14:paraId="0B1EEA1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6）有围标串标情况</w:t>
      </w:r>
      <w:r>
        <w:rPr>
          <w:rFonts w:hint="eastAsia" w:ascii="宋体" w:hAnsi="宋体" w:cs="宋体"/>
          <w:sz w:val="24"/>
          <w:szCs w:val="24"/>
          <w:highlight w:val="none"/>
        </w:rPr>
        <w:t>。</w:t>
      </w:r>
    </w:p>
    <w:p w14:paraId="2013AC17">
      <w:pPr>
        <w:spacing w:line="360" w:lineRule="auto"/>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2.3询价响应文件的澄清</w:t>
      </w:r>
      <w:r>
        <w:rPr>
          <w:rFonts w:hint="eastAsia" w:ascii="宋体" w:hAnsi="宋体" w:cs="宋体"/>
          <w:kern w:val="0"/>
          <w:sz w:val="24"/>
          <w:szCs w:val="24"/>
          <w:highlight w:val="none"/>
          <w:lang w:eastAsia="zh-CN"/>
        </w:rPr>
        <w:t>。</w:t>
      </w:r>
    </w:p>
    <w:p w14:paraId="388EF5EF">
      <w:pPr>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在评审期间，询价小组可要求供应商对其询价响应文件中含义不明确、对同类问题表述不一致或有明显文字和计算错误的内容做必要的澄清，说明或者补正。供应商有责任按照</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rPr>
        <w:t>的通知指派专人进行答疑和澄清，但澄清、说明或者补正不得超出询价响应文件的范围或者改变询价响应文件的实质性内容。澄清回复均应由供应商的法定代表人或授权代表签字的书面形式作出。</w:t>
      </w:r>
    </w:p>
    <w:p w14:paraId="4BC7D6AE">
      <w:pPr>
        <w:pStyle w:val="19"/>
        <w:spacing w:before="0" w:after="0" w:line="360" w:lineRule="auto"/>
        <w:rPr>
          <w:rFonts w:ascii="宋体" w:hAnsi="宋体" w:cs="宋体"/>
          <w:spacing w:val="2"/>
          <w:sz w:val="24"/>
          <w:szCs w:val="24"/>
          <w:highlight w:val="none"/>
        </w:rPr>
      </w:pPr>
      <w:bookmarkStart w:id="15" w:name="_Toc21091"/>
      <w:bookmarkStart w:id="16" w:name="_Toc3603"/>
      <w:r>
        <w:rPr>
          <w:rFonts w:hint="eastAsia" w:ascii="宋体" w:hAnsi="宋体" w:cs="宋体"/>
          <w:spacing w:val="2"/>
          <w:sz w:val="24"/>
          <w:szCs w:val="24"/>
          <w:highlight w:val="none"/>
        </w:rPr>
        <w:t>三、</w:t>
      </w:r>
      <w:r>
        <w:rPr>
          <w:rFonts w:hint="eastAsia" w:ascii="宋体" w:hAnsi="宋体" w:cs="宋体"/>
          <w:sz w:val="24"/>
          <w:szCs w:val="24"/>
          <w:highlight w:val="none"/>
        </w:rPr>
        <w:t>确定成交供应商办法（最低价法）</w:t>
      </w:r>
      <w:bookmarkEnd w:id="14"/>
      <w:bookmarkEnd w:id="15"/>
      <w:bookmarkEnd w:id="16"/>
    </w:p>
    <w:p w14:paraId="39B3187A">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3.1询价小组从质量和服务均能满足采购文件实质性响应要求的供应商中</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rPr>
        <w:t>按照报价由低到高的顺序</w:t>
      </w:r>
      <w:r>
        <w:rPr>
          <w:rFonts w:hint="eastAsia" w:ascii="宋体" w:hAnsi="宋体" w:cs="宋体"/>
          <w:sz w:val="24"/>
          <w:szCs w:val="24"/>
          <w:highlight w:val="none"/>
        </w:rPr>
        <w:t>推荐3名</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不足3名的按实际数量推荐</w:t>
      </w:r>
      <w:r>
        <w:rPr>
          <w:rFonts w:hint="eastAsia" w:ascii="宋体" w:hAnsi="宋体" w:cs="宋体"/>
          <w:sz w:val="24"/>
          <w:szCs w:val="24"/>
          <w:highlight w:val="none"/>
          <w:lang w:eastAsia="zh-CN"/>
        </w:rPr>
        <w:t>）</w:t>
      </w:r>
      <w:r>
        <w:rPr>
          <w:rFonts w:hint="eastAsia" w:ascii="宋体" w:hAnsi="宋体" w:cs="宋体"/>
          <w:spacing w:val="2"/>
          <w:sz w:val="24"/>
          <w:szCs w:val="24"/>
          <w:highlight w:val="none"/>
        </w:rPr>
        <w:t>成交候选人</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rPr>
        <w:t>并编写评审报告。</w:t>
      </w:r>
    </w:p>
    <w:p w14:paraId="16C36A1C">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3.2</w:t>
      </w:r>
      <w:r>
        <w:rPr>
          <w:rFonts w:hint="eastAsia" w:ascii="宋体" w:hAnsi="宋体" w:cs="宋体"/>
          <w:sz w:val="24"/>
          <w:szCs w:val="24"/>
          <w:highlight w:val="none"/>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02D57FDC">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rPr>
        <w:t>3.3</w:t>
      </w:r>
      <w:r>
        <w:rPr>
          <w:rFonts w:hint="eastAsia" w:ascii="宋体" w:hAnsi="宋体" w:cs="宋体"/>
          <w:sz w:val="24"/>
          <w:szCs w:val="24"/>
          <w:highlight w:val="none"/>
        </w:rPr>
        <w:t>采购人根据询价小组的成交候选供应商名单，根据</w:t>
      </w:r>
      <w:r>
        <w:rPr>
          <w:rFonts w:hint="eastAsia" w:ascii="宋体" w:hAnsi="宋体" w:cs="宋体"/>
          <w:spacing w:val="2"/>
          <w:sz w:val="24"/>
          <w:szCs w:val="24"/>
          <w:highlight w:val="none"/>
        </w:rPr>
        <w:t>质量和服务均能满足询价通知书实质性响应要求且报价最低的原则</w:t>
      </w:r>
      <w:r>
        <w:rPr>
          <w:rFonts w:hint="eastAsia" w:ascii="宋体" w:hAnsi="宋体" w:cs="宋体"/>
          <w:sz w:val="24"/>
          <w:szCs w:val="24"/>
          <w:highlight w:val="none"/>
        </w:rPr>
        <w:t>确定成交供应商。</w:t>
      </w:r>
    </w:p>
    <w:p w14:paraId="42A758FA">
      <w:pPr>
        <w:pStyle w:val="19"/>
        <w:spacing w:before="0" w:after="0" w:line="360" w:lineRule="auto"/>
        <w:rPr>
          <w:rFonts w:hint="eastAsia" w:ascii="宋体" w:hAnsi="宋体" w:eastAsia="宋体" w:cs="宋体"/>
          <w:sz w:val="24"/>
          <w:szCs w:val="24"/>
          <w:highlight w:val="none"/>
          <w:lang w:val="en-US" w:eastAsia="zh-CN"/>
        </w:rPr>
      </w:pPr>
      <w:bookmarkStart w:id="17" w:name="_Toc2374"/>
      <w:r>
        <w:rPr>
          <w:rFonts w:hint="eastAsia" w:ascii="宋体" w:hAnsi="宋体" w:eastAsia="宋体" w:cs="宋体"/>
          <w:sz w:val="24"/>
          <w:szCs w:val="24"/>
          <w:highlight w:val="none"/>
          <w:lang w:val="en-US" w:eastAsia="zh-CN"/>
        </w:rPr>
        <w:t>四．询价响应文件的数量和签署</w:t>
      </w:r>
      <w:bookmarkEnd w:id="17"/>
    </w:p>
    <w:p w14:paraId="3D7AA41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应编制</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文件一式</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份,其中正本一份和副本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份</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的副本可采用正本的复印件。每套投标文件须清楚地标明“正本”、“副本”。若副本与正本不符，以正本为准。</w:t>
      </w:r>
    </w:p>
    <w:p w14:paraId="71391A6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w:t>
      </w:r>
      <w:r>
        <w:rPr>
          <w:rFonts w:hint="eastAsia" w:ascii="宋体" w:hAnsi="宋体" w:cs="宋体"/>
          <w:sz w:val="24"/>
          <w:szCs w:val="24"/>
          <w:highlight w:val="none"/>
          <w:lang w:val="en-US" w:eastAsia="zh-CN"/>
        </w:rPr>
        <w:t>响应文</w:t>
      </w:r>
      <w:r>
        <w:rPr>
          <w:rFonts w:hint="eastAsia" w:ascii="宋体" w:hAnsi="宋体" w:eastAsia="宋体" w:cs="宋体"/>
          <w:sz w:val="24"/>
          <w:szCs w:val="24"/>
          <w:highlight w:val="none"/>
        </w:rPr>
        <w:t>件的正本需打印或用不褪色墨水书写,并由法定代表人或经其正式授权的代表在相应位置处签字。授权代表须将以书面形式出具证明，其《法定代表人授权书》应附在</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文件中。</w:t>
      </w:r>
    </w:p>
    <w:p w14:paraId="50184ACC">
      <w:pPr>
        <w:pStyle w:val="19"/>
        <w:spacing w:before="0" w:after="0" w:line="360" w:lineRule="auto"/>
        <w:rPr>
          <w:rFonts w:hint="eastAsia" w:ascii="宋体" w:hAnsi="宋体" w:eastAsia="宋体" w:cs="宋体"/>
          <w:sz w:val="24"/>
          <w:szCs w:val="24"/>
          <w:highlight w:val="none"/>
          <w:lang w:val="en-US" w:eastAsia="zh-CN"/>
        </w:rPr>
      </w:pPr>
      <w:bookmarkStart w:id="18" w:name="_Toc25158"/>
      <w:bookmarkStart w:id="19" w:name="_Toc24885"/>
      <w:r>
        <w:rPr>
          <w:rFonts w:hint="eastAsia" w:ascii="宋体" w:hAnsi="宋体" w:eastAsia="宋体" w:cs="宋体"/>
          <w:sz w:val="24"/>
          <w:szCs w:val="24"/>
          <w:highlight w:val="none"/>
          <w:lang w:val="en-US" w:eastAsia="zh-CN"/>
        </w:rPr>
        <w:t>五、响应文件的递交</w:t>
      </w:r>
      <w:bookmarkEnd w:id="18"/>
      <w:bookmarkEnd w:id="19"/>
    </w:p>
    <w:p w14:paraId="7566AAD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.1为方便</w:t>
      </w:r>
      <w:r>
        <w:rPr>
          <w:rFonts w:hint="eastAsia" w:ascii="宋体" w:hAnsi="宋体" w:cs="宋体"/>
          <w:sz w:val="24"/>
          <w:szCs w:val="24"/>
          <w:highlight w:val="none"/>
          <w:lang w:val="en-US" w:eastAsia="zh-CN"/>
        </w:rPr>
        <w:t>授权代表身份核验</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《法定代表人授权书》</w:t>
      </w:r>
      <w:r>
        <w:rPr>
          <w:rFonts w:hint="eastAsia" w:ascii="宋体" w:hAnsi="宋体" w:eastAsia="宋体" w:cs="宋体"/>
          <w:sz w:val="24"/>
          <w:szCs w:val="24"/>
          <w:highlight w:val="none"/>
          <w:lang w:val="en-US" w:eastAsia="zh-CN"/>
        </w:rPr>
        <w:t>除在询价响应文件中提供之外，另需</w:t>
      </w:r>
      <w:r>
        <w:rPr>
          <w:rFonts w:hint="eastAsia" w:ascii="宋体" w:hAnsi="宋体" w:eastAsia="宋体" w:cs="宋体"/>
          <w:sz w:val="24"/>
          <w:szCs w:val="24"/>
          <w:highlight w:val="none"/>
        </w:rPr>
        <w:t>单独</w:t>
      </w:r>
      <w:r>
        <w:rPr>
          <w:rFonts w:hint="eastAsia" w:ascii="宋体" w:hAnsi="宋体" w:eastAsia="宋体" w:cs="宋体"/>
          <w:sz w:val="24"/>
          <w:szCs w:val="24"/>
          <w:highlight w:val="none"/>
          <w:lang w:val="en-US" w:eastAsia="zh-CN"/>
        </w:rPr>
        <w:t>准备一份</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无需密封，便于在递交响应文件</w:t>
      </w:r>
      <w:r>
        <w:rPr>
          <w:rFonts w:hint="eastAsia" w:ascii="宋体" w:hAnsi="宋体" w:eastAsia="宋体" w:cs="宋体"/>
          <w:sz w:val="24"/>
          <w:szCs w:val="24"/>
          <w:highlight w:val="none"/>
          <w:lang w:val="en-US" w:eastAsia="zh-CN"/>
        </w:rPr>
        <w:t>时</w:t>
      </w:r>
      <w:r>
        <w:rPr>
          <w:rFonts w:hint="eastAsia" w:ascii="宋体" w:hAnsi="宋体" w:cs="宋体"/>
          <w:sz w:val="24"/>
          <w:szCs w:val="24"/>
          <w:highlight w:val="none"/>
          <w:lang w:val="en-US" w:eastAsia="zh-CN"/>
        </w:rPr>
        <w:t>手持</w:t>
      </w:r>
      <w:r>
        <w:rPr>
          <w:rFonts w:hint="eastAsia" w:ascii="宋体" w:hAnsi="宋体" w:eastAsia="宋体" w:cs="宋体"/>
          <w:sz w:val="24"/>
          <w:szCs w:val="24"/>
          <w:highlight w:val="none"/>
          <w:lang w:val="en-US" w:eastAsia="zh-CN"/>
        </w:rPr>
        <w:t>验证身份（同时需准备身份证原件或电子身份证）</w:t>
      </w:r>
      <w:r>
        <w:rPr>
          <w:rFonts w:hint="eastAsia" w:ascii="宋体" w:hAnsi="宋体" w:eastAsia="宋体" w:cs="宋体"/>
          <w:sz w:val="24"/>
          <w:szCs w:val="24"/>
          <w:highlight w:val="none"/>
        </w:rPr>
        <w:t>。</w:t>
      </w:r>
    </w:p>
    <w:p w14:paraId="4E6488A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5.2为方</w:t>
      </w:r>
      <w:r>
        <w:rPr>
          <w:rFonts w:hint="eastAsia" w:ascii="宋体" w:hAnsi="宋体" w:eastAsia="宋体" w:cs="宋体"/>
          <w:sz w:val="24"/>
          <w:szCs w:val="24"/>
          <w:highlight w:val="none"/>
        </w:rPr>
        <w:t>便</w:t>
      </w:r>
      <w:r>
        <w:rPr>
          <w:rFonts w:hint="eastAsia" w:ascii="宋体" w:hAnsi="宋体" w:cs="宋体"/>
          <w:sz w:val="24"/>
          <w:szCs w:val="24"/>
          <w:highlight w:val="none"/>
          <w:lang w:val="en-US" w:eastAsia="zh-CN"/>
        </w:rPr>
        <w:t>评审核验报价，</w:t>
      </w:r>
      <w:r>
        <w:rPr>
          <w:rFonts w:hint="eastAsia" w:ascii="宋体" w:hAnsi="宋体" w:eastAsia="宋体" w:cs="宋体"/>
          <w:sz w:val="24"/>
          <w:szCs w:val="24"/>
          <w:highlight w:val="none"/>
          <w:lang w:val="en-US" w:eastAsia="zh-CN"/>
        </w:rPr>
        <w:t>《报价一览表》除在询价响应文件中提供之外，需单独一份密封提交，并在信封上标明“投标一览表”字样。</w:t>
      </w:r>
    </w:p>
    <w:p w14:paraId="241DAB0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文件一式三份,其中正本一份和副本二份应合封一个包密封提交。</w:t>
      </w:r>
    </w:p>
    <w:p w14:paraId="00E0778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5.3所有信封均应注明</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名称、项目名称、项目编号</w:t>
      </w:r>
      <w:r>
        <w:rPr>
          <w:rFonts w:hint="eastAsia" w:ascii="宋体" w:hAnsi="宋体" w:cs="宋体"/>
          <w:sz w:val="24"/>
          <w:szCs w:val="24"/>
          <w:highlight w:val="none"/>
          <w:lang w:val="en-US" w:eastAsia="zh-CN"/>
        </w:rPr>
        <w:t>（如有）</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地址、联系人、电话和有“在（</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文件中规定的开标日期和时间）之前不得启封”的字样，封口处加盖投标人印章（样式附后）。</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2721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280" w:type="dxa"/>
          </w:tcPr>
          <w:p w14:paraId="46AE0A67">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项目名称：</w:t>
            </w:r>
          </w:p>
          <w:p w14:paraId="799FD861">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项目编号：</w:t>
            </w:r>
          </w:p>
          <w:p w14:paraId="24360E5A">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名称：</w:t>
            </w:r>
          </w:p>
          <w:p w14:paraId="7670FC51">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地址、联系人、电话</w:t>
            </w:r>
          </w:p>
          <w:p w14:paraId="7C764434">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在规定的开标时间</w:t>
            </w:r>
            <w:bookmarkStart w:id="20" w:name="OLE_LINK4"/>
            <w:r>
              <w:rPr>
                <w:rFonts w:hint="eastAsia" w:ascii="宋体" w:hAnsi="宋体" w:eastAsia="宋体" w:cs="宋体"/>
                <w:b/>
                <w:sz w:val="24"/>
                <w:highlight w:val="none"/>
              </w:rPr>
              <w:t>年   月   日   时</w:t>
            </w:r>
            <w:bookmarkEnd w:id="20"/>
            <w:r>
              <w:rPr>
                <w:rFonts w:hint="eastAsia" w:ascii="宋体" w:hAnsi="宋体" w:eastAsia="宋体" w:cs="宋体"/>
                <w:b/>
                <w:sz w:val="24"/>
                <w:highlight w:val="none"/>
              </w:rPr>
              <w:t xml:space="preserve">   分之前不得启封</w:t>
            </w:r>
          </w:p>
        </w:tc>
      </w:tr>
    </w:tbl>
    <w:p w14:paraId="18FEF616">
      <w:pPr>
        <w:spacing w:line="360" w:lineRule="auto"/>
        <w:ind w:firstLine="480" w:firstLineChars="200"/>
        <w:rPr>
          <w:highlight w:val="none"/>
        </w:rPr>
      </w:pPr>
      <w:r>
        <w:rPr>
          <w:rFonts w:hint="eastAsia" w:ascii="宋体" w:hAnsi="宋体" w:eastAsia="宋体" w:cs="宋体"/>
          <w:sz w:val="24"/>
          <w:highlight w:val="none"/>
          <w:lang w:val="en-US" w:eastAsia="zh-CN"/>
        </w:rPr>
        <w:t>5.4</w:t>
      </w:r>
      <w:r>
        <w:rPr>
          <w:rFonts w:hint="eastAsia" w:ascii="宋体" w:hAnsi="宋体" w:eastAsia="宋体" w:cs="宋体"/>
          <w:sz w:val="24"/>
          <w:highlight w:val="none"/>
        </w:rPr>
        <w:t>如果</w:t>
      </w:r>
      <w:r>
        <w:rPr>
          <w:rFonts w:hint="eastAsia" w:ascii="宋体" w:hAnsi="宋体" w:eastAsia="宋体" w:cs="宋体"/>
          <w:sz w:val="21"/>
          <w:szCs w:val="21"/>
          <w:highlight w:val="none"/>
        </w:rPr>
        <w:t>未按要求密封和标</w:t>
      </w:r>
      <w:r>
        <w:rPr>
          <w:rFonts w:hint="eastAsia" w:ascii="宋体" w:hAnsi="宋体" w:eastAsia="宋体" w:cs="宋体"/>
          <w:sz w:val="24"/>
          <w:highlight w:val="none"/>
        </w:rPr>
        <w:t>记</w:t>
      </w:r>
      <w:r>
        <w:rPr>
          <w:rFonts w:hint="eastAsia" w:ascii="宋体" w:hAnsi="宋体" w:cs="宋体"/>
          <w:sz w:val="24"/>
          <w:highlight w:val="none"/>
          <w:lang w:eastAsia="zh-CN"/>
        </w:rPr>
        <w:t>，</w:t>
      </w:r>
      <w:r>
        <w:rPr>
          <w:rFonts w:hint="eastAsia" w:ascii="宋体" w:hAnsi="宋体" w:cs="宋体"/>
          <w:sz w:val="24"/>
          <w:highlight w:val="none"/>
          <w:lang w:val="en-US" w:eastAsia="zh-CN"/>
        </w:rPr>
        <w:t>采购人</w:t>
      </w:r>
      <w:r>
        <w:rPr>
          <w:rFonts w:hint="eastAsia" w:ascii="宋体" w:hAnsi="宋体" w:eastAsia="宋体" w:cs="宋体"/>
          <w:sz w:val="24"/>
          <w:highlight w:val="none"/>
        </w:rPr>
        <w:t>将拒绝接受</w:t>
      </w:r>
      <w:r>
        <w:rPr>
          <w:rFonts w:hint="eastAsia" w:ascii="宋体" w:hAnsi="宋体" w:cs="宋体"/>
          <w:sz w:val="24"/>
          <w:highlight w:val="none"/>
          <w:lang w:val="en-US" w:eastAsia="zh-CN"/>
        </w:rPr>
        <w:t>供应商</w:t>
      </w:r>
      <w:r>
        <w:rPr>
          <w:rFonts w:hint="eastAsia" w:ascii="宋体" w:hAnsi="宋体" w:eastAsia="宋体" w:cs="宋体"/>
          <w:sz w:val="24"/>
          <w:highlight w:val="none"/>
        </w:rPr>
        <w:t>的</w:t>
      </w:r>
      <w:r>
        <w:rPr>
          <w:rFonts w:hint="eastAsia" w:ascii="宋体" w:hAnsi="宋体" w:cs="宋体"/>
          <w:sz w:val="24"/>
          <w:highlight w:val="none"/>
          <w:lang w:val="en-US" w:eastAsia="zh-CN"/>
        </w:rPr>
        <w:t>响应</w:t>
      </w:r>
      <w:r>
        <w:rPr>
          <w:rFonts w:hint="eastAsia" w:ascii="宋体" w:hAnsi="宋体" w:eastAsia="宋体" w:cs="宋体"/>
          <w:sz w:val="24"/>
          <w:highlight w:val="none"/>
        </w:rPr>
        <w:t>文件。</w:t>
      </w:r>
    </w:p>
    <w:p w14:paraId="6B7D7B82">
      <w:pPr>
        <w:pStyle w:val="19"/>
        <w:spacing w:before="0" w:after="0" w:line="360" w:lineRule="auto"/>
        <w:rPr>
          <w:rFonts w:ascii="宋体" w:hAnsi="宋体" w:cs="宋体"/>
          <w:sz w:val="24"/>
          <w:szCs w:val="24"/>
          <w:highlight w:val="none"/>
        </w:rPr>
      </w:pPr>
      <w:bookmarkStart w:id="21" w:name="_Toc8069"/>
      <w:bookmarkStart w:id="22" w:name="_Toc22322"/>
      <w:bookmarkStart w:id="23" w:name="_Toc21790"/>
      <w:r>
        <w:rPr>
          <w:rFonts w:hint="eastAsia" w:ascii="宋体" w:hAnsi="宋体" w:cs="宋体"/>
          <w:sz w:val="24"/>
          <w:szCs w:val="24"/>
          <w:highlight w:val="none"/>
          <w:lang w:val="en-US" w:eastAsia="zh-CN"/>
        </w:rPr>
        <w:t>六</w:t>
      </w:r>
      <w:r>
        <w:rPr>
          <w:rFonts w:hint="eastAsia" w:ascii="宋体" w:hAnsi="宋体" w:cs="宋体"/>
          <w:sz w:val="24"/>
          <w:szCs w:val="24"/>
          <w:highlight w:val="none"/>
        </w:rPr>
        <w:t>、签订合同</w:t>
      </w:r>
      <w:bookmarkEnd w:id="21"/>
      <w:bookmarkEnd w:id="22"/>
      <w:bookmarkEnd w:id="23"/>
    </w:p>
    <w:p w14:paraId="29BF473D">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.1成交供应商在收到成交通知书后，按其规定与采购人签订合同。</w:t>
      </w:r>
    </w:p>
    <w:p w14:paraId="2E61A438">
      <w:pPr>
        <w:pStyle w:val="19"/>
        <w:spacing w:before="0" w:after="0" w:line="360" w:lineRule="auto"/>
        <w:rPr>
          <w:rFonts w:ascii="宋体" w:hAnsi="宋体" w:cs="宋体"/>
          <w:sz w:val="24"/>
          <w:szCs w:val="24"/>
          <w:highlight w:val="none"/>
        </w:rPr>
      </w:pPr>
      <w:bookmarkStart w:id="24" w:name="_Toc2499"/>
      <w:bookmarkStart w:id="25" w:name="_Toc8125"/>
      <w:bookmarkStart w:id="26" w:name="_Toc19032"/>
      <w:r>
        <w:rPr>
          <w:rFonts w:hint="eastAsia" w:ascii="宋体" w:hAnsi="宋体" w:cs="宋体"/>
          <w:sz w:val="24"/>
          <w:szCs w:val="24"/>
          <w:highlight w:val="none"/>
          <w:lang w:val="en-US" w:eastAsia="zh-CN"/>
        </w:rPr>
        <w:t>七</w:t>
      </w:r>
      <w:r>
        <w:rPr>
          <w:rFonts w:hint="eastAsia" w:ascii="宋体" w:hAnsi="宋体" w:cs="宋体"/>
          <w:sz w:val="24"/>
          <w:szCs w:val="24"/>
          <w:highlight w:val="none"/>
        </w:rPr>
        <w:t>、询价采购失败条件</w:t>
      </w:r>
      <w:bookmarkEnd w:id="24"/>
      <w:bookmarkEnd w:id="25"/>
      <w:bookmarkEnd w:id="26"/>
    </w:p>
    <w:p w14:paraId="70343975">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1出现影响采购公正的违法、违规行为的；</w:t>
      </w:r>
    </w:p>
    <w:p w14:paraId="19167BB1">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2因重大变故，采购任务取消的；</w:t>
      </w:r>
    </w:p>
    <w:p w14:paraId="0897227E">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3有效报价供应商不满足法定家；数的</w:t>
      </w:r>
    </w:p>
    <w:p w14:paraId="6057A07E">
      <w:pPr>
        <w:spacing w:line="360" w:lineRule="auto"/>
        <w:ind w:firstLine="480"/>
        <w:rPr>
          <w:rFonts w:hint="eastAsia" w:ascii="宋体" w:hAnsi="宋体" w:eastAsia="宋体" w:cs="宋体"/>
          <w:sz w:val="24"/>
          <w:szCs w:val="24"/>
          <w:highlight w:val="none"/>
          <w:lang w:eastAsia="zh-CN"/>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4所有报价均超过采购预算的</w:t>
      </w:r>
      <w:r>
        <w:rPr>
          <w:rFonts w:hint="eastAsia" w:ascii="宋体" w:hAnsi="宋体" w:cs="宋体"/>
          <w:sz w:val="24"/>
          <w:szCs w:val="24"/>
          <w:highlight w:val="none"/>
          <w:lang w:eastAsia="zh-CN"/>
        </w:rPr>
        <w:t>。</w:t>
      </w:r>
    </w:p>
    <w:p w14:paraId="246A4837">
      <w:pPr>
        <w:pStyle w:val="19"/>
        <w:numPr>
          <w:ilvl w:val="0"/>
          <w:numId w:val="0"/>
        </w:numPr>
        <w:spacing w:before="0" w:after="0" w:line="360" w:lineRule="auto"/>
        <w:rPr>
          <w:rFonts w:hint="eastAsia" w:ascii="宋体" w:hAnsi="宋体" w:cs="宋体"/>
          <w:sz w:val="24"/>
          <w:szCs w:val="24"/>
          <w:highlight w:val="none"/>
          <w:lang w:val="en-US" w:eastAsia="zh-CN"/>
        </w:rPr>
      </w:pPr>
      <w:bookmarkStart w:id="27" w:name="_Toc15144"/>
      <w:r>
        <w:rPr>
          <w:rFonts w:hint="eastAsia" w:ascii="宋体" w:hAnsi="宋体" w:eastAsia="宋体" w:cs="宋体"/>
          <w:b/>
          <w:bCs/>
          <w:kern w:val="28"/>
          <w:sz w:val="24"/>
          <w:szCs w:val="24"/>
          <w:highlight w:val="none"/>
          <w:lang w:val="en-US" w:eastAsia="zh-CN" w:bidi="ar-SA"/>
        </w:rPr>
        <w:t>八、</w:t>
      </w:r>
      <w:r>
        <w:rPr>
          <w:rFonts w:hint="eastAsia" w:ascii="宋体" w:hAnsi="宋体" w:cs="宋体"/>
          <w:sz w:val="24"/>
          <w:szCs w:val="24"/>
          <w:highlight w:val="none"/>
          <w:lang w:val="en-US" w:eastAsia="zh-CN"/>
        </w:rPr>
        <w:t>其他</w:t>
      </w:r>
      <w:bookmarkEnd w:id="27"/>
    </w:p>
    <w:p w14:paraId="38DAECD3">
      <w:pPr>
        <w:spacing w:line="360" w:lineRule="auto"/>
        <w:ind w:firstLine="48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8.1本文件最终解释权归采购人所有。</w:t>
      </w:r>
    </w:p>
    <w:p w14:paraId="4E743078">
      <w:pPr>
        <w:pStyle w:val="3"/>
        <w:rPr>
          <w:rFonts w:hint="eastAsia" w:ascii="宋体" w:hAnsi="宋体" w:cs="宋体"/>
          <w:kern w:val="2"/>
          <w:sz w:val="24"/>
          <w:szCs w:val="24"/>
          <w:highlight w:val="none"/>
        </w:rPr>
      </w:pPr>
      <w:r>
        <w:rPr>
          <w:rFonts w:hint="eastAsia" w:ascii="宋体" w:hAnsi="宋体" w:cs="宋体"/>
          <w:highlight w:val="none"/>
        </w:rPr>
        <w:br w:type="page"/>
      </w:r>
      <w:bookmarkStart w:id="28" w:name="_Toc4874"/>
      <w:bookmarkStart w:id="29" w:name="_Toc9696"/>
      <w:r>
        <w:rPr>
          <w:rFonts w:hint="eastAsia" w:ascii="宋体" w:hAnsi="宋体" w:cs="宋体"/>
          <w:kern w:val="2"/>
          <w:sz w:val="24"/>
          <w:szCs w:val="24"/>
          <w:highlight w:val="none"/>
        </w:rPr>
        <w:t>第</w:t>
      </w:r>
      <w:r>
        <w:rPr>
          <w:rFonts w:hint="eastAsia" w:ascii="宋体" w:hAnsi="宋体" w:cs="宋体"/>
          <w:kern w:val="2"/>
          <w:sz w:val="24"/>
          <w:szCs w:val="24"/>
          <w:highlight w:val="none"/>
          <w:lang w:val="en-US" w:eastAsia="zh-CN"/>
        </w:rPr>
        <w:t>三</w:t>
      </w:r>
      <w:r>
        <w:rPr>
          <w:rFonts w:hint="eastAsia" w:ascii="宋体" w:hAnsi="宋体" w:cs="宋体"/>
          <w:kern w:val="2"/>
          <w:sz w:val="24"/>
          <w:szCs w:val="24"/>
          <w:highlight w:val="none"/>
        </w:rPr>
        <w:t>章  采购项目内容及技术规格要求</w:t>
      </w:r>
      <w:bookmarkEnd w:id="28"/>
      <w:bookmarkEnd w:id="29"/>
    </w:p>
    <w:p w14:paraId="780A78DE">
      <w:pPr>
        <w:pStyle w:val="4"/>
        <w:rPr>
          <w:rStyle w:val="49"/>
          <w:rFonts w:hint="eastAsia" w:ascii="宋体" w:hAnsi="宋体" w:eastAsia="宋体" w:cs="宋体"/>
          <w:sz w:val="24"/>
          <w:szCs w:val="24"/>
          <w:highlight w:val="none"/>
          <w:lang w:val="en-US" w:eastAsia="zh-CN"/>
        </w:rPr>
      </w:pPr>
      <w:bookmarkStart w:id="30" w:name="_Toc27014"/>
      <w:bookmarkStart w:id="31" w:name="_Toc16525"/>
      <w:bookmarkStart w:id="32" w:name="_Toc15167"/>
      <w:r>
        <w:rPr>
          <w:rStyle w:val="49"/>
          <w:rFonts w:hint="eastAsia" w:ascii="宋体" w:hAnsi="宋体" w:eastAsia="宋体" w:cs="宋体"/>
          <w:sz w:val="24"/>
          <w:szCs w:val="24"/>
          <w:highlight w:val="none"/>
          <w:lang w:val="en-US" w:eastAsia="zh-CN"/>
        </w:rPr>
        <w:t>一、</w:t>
      </w:r>
      <w:bookmarkEnd w:id="30"/>
      <w:bookmarkEnd w:id="31"/>
      <w:r>
        <w:rPr>
          <w:rStyle w:val="49"/>
          <w:rFonts w:hint="eastAsia" w:ascii="宋体" w:hAnsi="宋体" w:eastAsia="宋体" w:cs="宋体"/>
          <w:sz w:val="24"/>
          <w:szCs w:val="24"/>
          <w:highlight w:val="none"/>
          <w:lang w:val="en-US" w:eastAsia="zh-CN"/>
        </w:rPr>
        <w:t>采购清单</w:t>
      </w:r>
      <w:bookmarkEnd w:id="32"/>
    </w:p>
    <w:tbl>
      <w:tblPr>
        <w:tblStyle w:val="2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99"/>
        <w:gridCol w:w="1385"/>
        <w:gridCol w:w="4263"/>
        <w:gridCol w:w="759"/>
      </w:tblGrid>
      <w:tr w14:paraId="5958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7" w:type="dxa"/>
            <w:vAlign w:val="center"/>
          </w:tcPr>
          <w:p w14:paraId="5521FE2B">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序号</w:t>
            </w:r>
          </w:p>
        </w:tc>
        <w:tc>
          <w:tcPr>
            <w:tcW w:w="2299" w:type="dxa"/>
            <w:vAlign w:val="center"/>
          </w:tcPr>
          <w:p w14:paraId="390BF592">
            <w:pPr>
              <w:jc w:val="center"/>
              <w:rPr>
                <w:rFonts w:ascii="宋体" w:hAnsi="宋体" w:cs="宋体"/>
                <w:b/>
                <w:bCs/>
                <w:sz w:val="24"/>
                <w:szCs w:val="24"/>
                <w:highlight w:val="none"/>
              </w:rPr>
            </w:pPr>
            <w:r>
              <w:rPr>
                <w:rFonts w:hint="eastAsia" w:ascii="宋体" w:hAnsi="宋体" w:cs="宋体"/>
                <w:b/>
                <w:bCs/>
                <w:sz w:val="24"/>
                <w:szCs w:val="24"/>
                <w:highlight w:val="none"/>
              </w:rPr>
              <w:t>服务内容</w:t>
            </w:r>
          </w:p>
        </w:tc>
        <w:tc>
          <w:tcPr>
            <w:tcW w:w="1385" w:type="dxa"/>
            <w:vAlign w:val="center"/>
          </w:tcPr>
          <w:p w14:paraId="0ECE1C94">
            <w:pPr>
              <w:jc w:val="center"/>
              <w:rPr>
                <w:rFonts w:ascii="宋体" w:hAnsi="宋体" w:cs="宋体"/>
                <w:b/>
                <w:bCs/>
                <w:sz w:val="24"/>
                <w:szCs w:val="24"/>
                <w:highlight w:val="none"/>
              </w:rPr>
            </w:pPr>
            <w:r>
              <w:rPr>
                <w:rFonts w:hint="eastAsia" w:ascii="宋体" w:hAnsi="宋体" w:cs="宋体"/>
                <w:b/>
                <w:bCs/>
                <w:sz w:val="24"/>
                <w:szCs w:val="24"/>
                <w:highlight w:val="none"/>
              </w:rPr>
              <w:t>服务地点</w:t>
            </w:r>
          </w:p>
        </w:tc>
        <w:tc>
          <w:tcPr>
            <w:tcW w:w="4263" w:type="dxa"/>
            <w:vAlign w:val="center"/>
          </w:tcPr>
          <w:p w14:paraId="6AE263B0">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测评期限</w:t>
            </w:r>
          </w:p>
        </w:tc>
        <w:tc>
          <w:tcPr>
            <w:tcW w:w="759" w:type="dxa"/>
            <w:vAlign w:val="center"/>
          </w:tcPr>
          <w:p w14:paraId="15A4F0EA">
            <w:pPr>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14:paraId="745D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87" w:type="dxa"/>
            <w:vAlign w:val="center"/>
          </w:tcPr>
          <w:p w14:paraId="7106DE72">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299" w:type="dxa"/>
            <w:vAlign w:val="center"/>
          </w:tcPr>
          <w:p w14:paraId="1AF1DE41">
            <w:pPr>
              <w:jc w:val="center"/>
              <w:rPr>
                <w:rFonts w:hint="default" w:ascii="宋体" w:hAnsi="宋体" w:eastAsia="宋体" w:cs="宋体"/>
                <w:sz w:val="24"/>
                <w:szCs w:val="24"/>
                <w:highlight w:val="none"/>
                <w:lang w:val="en-US" w:eastAsia="zh-CN"/>
              </w:rPr>
            </w:pPr>
            <w:r>
              <w:rPr>
                <w:rFonts w:hint="eastAsia" w:ascii="宋体" w:hAnsi="宋体" w:cs="宋体"/>
                <w:kern w:val="0"/>
                <w:sz w:val="24"/>
                <w:szCs w:val="24"/>
                <w:highlight w:val="none"/>
                <w:lang w:val="en-US" w:eastAsia="zh-CN"/>
              </w:rPr>
              <w:t>恩施机场网络安全等级保护测评服务</w:t>
            </w:r>
          </w:p>
        </w:tc>
        <w:tc>
          <w:tcPr>
            <w:tcW w:w="1385" w:type="dxa"/>
            <w:vAlign w:val="center"/>
          </w:tcPr>
          <w:p w14:paraId="707C173E">
            <w:pPr>
              <w:jc w:val="center"/>
              <w:rPr>
                <w:rFonts w:hint="default" w:ascii="宋体" w:hAnsi="宋体" w:eastAsia="宋体" w:cs="宋体"/>
                <w:sz w:val="24"/>
                <w:szCs w:val="24"/>
                <w:highlight w:val="none"/>
                <w:lang w:val="en-US" w:eastAsia="zh-CN"/>
              </w:rPr>
            </w:pPr>
            <w:r>
              <w:rPr>
                <w:rFonts w:hint="eastAsia" w:ascii="宋体" w:hAnsi="宋体" w:cs="宋体"/>
                <w:kern w:val="0"/>
                <w:sz w:val="24"/>
                <w:szCs w:val="24"/>
                <w:highlight w:val="none"/>
                <w:lang w:val="en-US" w:eastAsia="zh-CN"/>
              </w:rPr>
              <w:t>恩施机场</w:t>
            </w:r>
          </w:p>
        </w:tc>
        <w:tc>
          <w:tcPr>
            <w:tcW w:w="4263" w:type="dxa"/>
            <w:vAlign w:val="center"/>
          </w:tcPr>
          <w:p w14:paraId="22D45310">
            <w:pPr>
              <w:jc w:val="center"/>
              <w:rPr>
                <w:rFonts w:hint="default"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合同签订后35个日历天内，完成等级保护测评工作，45个日历天内取得当地公安机关备案回执</w:t>
            </w:r>
          </w:p>
        </w:tc>
        <w:tc>
          <w:tcPr>
            <w:tcW w:w="759" w:type="dxa"/>
            <w:vAlign w:val="center"/>
          </w:tcPr>
          <w:p w14:paraId="110B4DEB">
            <w:pPr>
              <w:jc w:val="center"/>
              <w:rPr>
                <w:rFonts w:ascii="宋体" w:hAnsi="宋体" w:cs="宋体"/>
                <w:sz w:val="24"/>
                <w:szCs w:val="24"/>
                <w:highlight w:val="none"/>
              </w:rPr>
            </w:pPr>
          </w:p>
        </w:tc>
      </w:tr>
    </w:tbl>
    <w:p w14:paraId="1EFC1E84">
      <w:pPr>
        <w:rPr>
          <w:rFonts w:hint="default"/>
          <w:highlight w:val="none"/>
          <w:lang w:val="en-US" w:eastAsia="zh-CN"/>
        </w:rPr>
      </w:pPr>
    </w:p>
    <w:p w14:paraId="13AE933B">
      <w:pPr>
        <w:pStyle w:val="4"/>
        <w:pageBreakBefore w:val="0"/>
        <w:widowControl w:val="0"/>
        <w:kinsoku/>
        <w:wordWrap/>
        <w:overflowPunct/>
        <w:topLinePunct w:val="0"/>
        <w:autoSpaceDE/>
        <w:autoSpaceDN/>
        <w:bidi w:val="0"/>
        <w:adjustRightInd/>
        <w:snapToGrid/>
        <w:spacing w:line="360" w:lineRule="auto"/>
        <w:textAlignment w:val="auto"/>
        <w:rPr>
          <w:rStyle w:val="49"/>
          <w:rFonts w:hint="default" w:ascii="宋体" w:hAnsi="宋体" w:eastAsia="宋体" w:cs="宋体"/>
          <w:sz w:val="24"/>
          <w:szCs w:val="24"/>
          <w:highlight w:val="none"/>
          <w:lang w:val="en-US" w:eastAsia="zh-CN"/>
        </w:rPr>
      </w:pPr>
      <w:bookmarkStart w:id="33" w:name="_Toc5437"/>
      <w:r>
        <w:rPr>
          <w:rStyle w:val="49"/>
          <w:rFonts w:hint="eastAsia" w:ascii="宋体" w:hAnsi="宋体" w:eastAsia="宋体" w:cs="宋体"/>
          <w:sz w:val="24"/>
          <w:szCs w:val="24"/>
          <w:highlight w:val="none"/>
          <w:lang w:val="en-US" w:eastAsia="zh-CN"/>
        </w:rPr>
        <w:t>二、</w:t>
      </w:r>
      <w:bookmarkEnd w:id="33"/>
      <w:r>
        <w:rPr>
          <w:rStyle w:val="49"/>
          <w:rFonts w:hint="eastAsia" w:ascii="宋体" w:hAnsi="宋体" w:eastAsia="宋体" w:cs="宋体"/>
          <w:sz w:val="24"/>
          <w:szCs w:val="24"/>
          <w:highlight w:val="none"/>
          <w:lang w:val="en-US" w:eastAsia="zh-CN"/>
        </w:rPr>
        <w:t>技术、服务要求</w:t>
      </w:r>
    </w:p>
    <w:p w14:paraId="6A4632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bookmarkStart w:id="34" w:name="_Toc19354"/>
      <w:bookmarkStart w:id="35" w:name="_Toc32084"/>
      <w:r>
        <w:rPr>
          <w:rFonts w:hint="eastAsia" w:ascii="宋体" w:hAnsi="宋体" w:eastAsia="宋体" w:cs="宋体"/>
          <w:kern w:val="0"/>
          <w:sz w:val="24"/>
          <w:szCs w:val="24"/>
          <w:highlight w:val="none"/>
          <w:lang w:val="en-US" w:eastAsia="zh-CN"/>
        </w:rPr>
        <w:t>（一）项目概况：依据《信息安全等级保护管理办法》第十四条规定，信息系统建设完成后，运营、使用单位或者其主管部门应当选择符合本办法规定条件的测评机构；依据《信息系统安全等级保护测评要求》等技术标准，定期对信息系统安全等级状况开展等级测评。三级信息系统应当每年至少进行一次等级测评。本机场三级系统（安检信息系统）备案有效期至2025年10月31日，现需采购一家测评机构对本机场进行年度测评。</w:t>
      </w:r>
    </w:p>
    <w:p w14:paraId="599174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（二）技术要求：根据国家《信息安全技术 网络安全等级保护基本要求》（GB/T 22239-2019）、《信息安全技术 网络安全等级保护定级指南》（GB/T 22240-2020）、《信息安全技术网络安全等级保护实施指南》（GB/T 25058-2019）、《信息安全技术网络安全等级保护测评要求》(GB/T 28448-2019)、《信息安全技术 网络安全等级保护过程指南》（GB/T28449-2018）及《信息安全技术 信息安全风险评估方法》（GB/T 20984-2022）及等文件精神对信息系统的各项要求对系统进行等级保护测评。协助采购方进行系统定级、备案工作。完成对平台的安全等级保护测评工作，指导采购方对系统测评中提出的不符合项进行整改，提出安全整改建议，编制整改方案。最终出具符合要求的安全等级保护测评报告，协助采购方取得公安机关颁发的备案证明。评估机构应具有攻防演练实验室平台，可提供高效、精准的信息安全风险检测结果。</w:t>
      </w:r>
    </w:p>
    <w:p w14:paraId="4D396A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（三）第三级系统测评内容：</w:t>
      </w:r>
    </w:p>
    <w:p w14:paraId="476269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1.安全物理环境</w:t>
      </w:r>
    </w:p>
    <w:p w14:paraId="711AE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测评对象主要为主机房，涉及工作单元10个，具体如下表：</w:t>
      </w:r>
    </w:p>
    <w:tbl>
      <w:tblPr>
        <w:tblStyle w:val="25"/>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554"/>
        <w:gridCol w:w="6979"/>
      </w:tblGrid>
      <w:tr w14:paraId="49E5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855" w:type="dxa"/>
            <w:noWrap w:val="0"/>
            <w:vAlign w:val="center"/>
          </w:tcPr>
          <w:p w14:paraId="79AC58E5">
            <w:pPr>
              <w:jc w:val="center"/>
              <w:rPr>
                <w:b/>
                <w:bCs/>
                <w:highlight w:val="none"/>
              </w:rPr>
            </w:pPr>
            <w:r>
              <w:rPr>
                <w:rFonts w:hint="eastAsia"/>
                <w:b/>
                <w:bCs/>
                <w:highlight w:val="none"/>
              </w:rPr>
              <w:t>序号</w:t>
            </w:r>
          </w:p>
        </w:tc>
        <w:tc>
          <w:tcPr>
            <w:tcW w:w="1554" w:type="dxa"/>
            <w:noWrap w:val="0"/>
            <w:vAlign w:val="center"/>
          </w:tcPr>
          <w:p w14:paraId="35D7F8FA">
            <w:pPr>
              <w:jc w:val="center"/>
              <w:rPr>
                <w:b/>
                <w:bCs/>
                <w:highlight w:val="none"/>
              </w:rPr>
            </w:pPr>
            <w:r>
              <w:rPr>
                <w:rFonts w:hint="eastAsia"/>
                <w:b/>
                <w:bCs/>
                <w:highlight w:val="none"/>
              </w:rPr>
              <w:t>工作单元名称</w:t>
            </w:r>
          </w:p>
        </w:tc>
        <w:tc>
          <w:tcPr>
            <w:tcW w:w="6979" w:type="dxa"/>
            <w:noWrap w:val="0"/>
            <w:vAlign w:val="center"/>
          </w:tcPr>
          <w:p w14:paraId="1E79D4BD">
            <w:pPr>
              <w:jc w:val="center"/>
              <w:rPr>
                <w:b/>
                <w:bCs/>
                <w:highlight w:val="none"/>
              </w:rPr>
            </w:pPr>
            <w:r>
              <w:rPr>
                <w:rFonts w:hint="eastAsia"/>
                <w:b/>
                <w:bCs/>
                <w:highlight w:val="none"/>
              </w:rPr>
              <w:t>测评指标</w:t>
            </w:r>
          </w:p>
        </w:tc>
      </w:tr>
      <w:tr w14:paraId="6CE6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855" w:type="dxa"/>
            <w:vMerge w:val="restart"/>
            <w:noWrap w:val="0"/>
            <w:vAlign w:val="center"/>
          </w:tcPr>
          <w:p w14:paraId="281CEEAB">
            <w:pPr>
              <w:jc w:val="center"/>
              <w:rPr>
                <w:highlight w:val="none"/>
              </w:rPr>
            </w:pPr>
            <w:r>
              <w:rPr>
                <w:rFonts w:hint="eastAsia"/>
                <w:highlight w:val="none"/>
              </w:rPr>
              <w:t>1</w:t>
            </w:r>
          </w:p>
        </w:tc>
        <w:tc>
          <w:tcPr>
            <w:tcW w:w="1554" w:type="dxa"/>
            <w:vMerge w:val="restart"/>
            <w:noWrap w:val="0"/>
            <w:vAlign w:val="center"/>
          </w:tcPr>
          <w:p w14:paraId="4CEC75B4">
            <w:pPr>
              <w:jc w:val="center"/>
              <w:rPr>
                <w:highlight w:val="none"/>
              </w:rPr>
            </w:pPr>
            <w:r>
              <w:rPr>
                <w:rFonts w:hint="eastAsia"/>
                <w:highlight w:val="none"/>
              </w:rPr>
              <w:t>物理位置选择</w:t>
            </w:r>
          </w:p>
        </w:tc>
        <w:tc>
          <w:tcPr>
            <w:tcW w:w="6979" w:type="dxa"/>
            <w:noWrap w:val="0"/>
            <w:vAlign w:val="center"/>
          </w:tcPr>
          <w:p w14:paraId="4F279FBD">
            <w:pPr>
              <w:rPr>
                <w:highlight w:val="none"/>
              </w:rPr>
            </w:pPr>
            <w:r>
              <w:rPr>
                <w:rFonts w:hint="eastAsia"/>
                <w:highlight w:val="none"/>
              </w:rPr>
              <w:t>a）机房场地应选择在具有防震、防风和防雨等能力的建筑内。</w:t>
            </w:r>
          </w:p>
        </w:tc>
      </w:tr>
      <w:tr w14:paraId="57B5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jc w:val="center"/>
        </w:trPr>
        <w:tc>
          <w:tcPr>
            <w:tcW w:w="855" w:type="dxa"/>
            <w:vMerge w:val="continue"/>
            <w:noWrap w:val="0"/>
            <w:vAlign w:val="center"/>
          </w:tcPr>
          <w:p w14:paraId="32EA30AE">
            <w:pPr>
              <w:jc w:val="center"/>
              <w:rPr>
                <w:highlight w:val="none"/>
              </w:rPr>
            </w:pPr>
          </w:p>
        </w:tc>
        <w:tc>
          <w:tcPr>
            <w:tcW w:w="1554" w:type="dxa"/>
            <w:vMerge w:val="continue"/>
            <w:noWrap w:val="0"/>
            <w:vAlign w:val="center"/>
          </w:tcPr>
          <w:p w14:paraId="64E3BCBC">
            <w:pPr>
              <w:jc w:val="center"/>
              <w:rPr>
                <w:highlight w:val="none"/>
              </w:rPr>
            </w:pPr>
          </w:p>
        </w:tc>
        <w:tc>
          <w:tcPr>
            <w:tcW w:w="6979" w:type="dxa"/>
            <w:noWrap w:val="0"/>
            <w:vAlign w:val="center"/>
          </w:tcPr>
          <w:p w14:paraId="741BE10A">
            <w:pPr>
              <w:rPr>
                <w:highlight w:val="none"/>
              </w:rPr>
            </w:pPr>
            <w:r>
              <w:rPr>
                <w:rFonts w:hint="eastAsia"/>
                <w:highlight w:val="none"/>
              </w:rPr>
              <w:t>b) 机房场地应避免设在建筑物的顶层或地下室，否则应加强防水和防潮措施。</w:t>
            </w:r>
          </w:p>
        </w:tc>
      </w:tr>
      <w:tr w14:paraId="23B5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jc w:val="center"/>
        </w:trPr>
        <w:tc>
          <w:tcPr>
            <w:tcW w:w="855" w:type="dxa"/>
            <w:noWrap w:val="0"/>
            <w:vAlign w:val="center"/>
          </w:tcPr>
          <w:p w14:paraId="7AF21E24">
            <w:pPr>
              <w:jc w:val="center"/>
              <w:rPr>
                <w:highlight w:val="none"/>
              </w:rPr>
            </w:pPr>
            <w:r>
              <w:rPr>
                <w:rFonts w:hint="eastAsia"/>
                <w:highlight w:val="none"/>
              </w:rPr>
              <w:t>2</w:t>
            </w:r>
          </w:p>
        </w:tc>
        <w:tc>
          <w:tcPr>
            <w:tcW w:w="1554" w:type="dxa"/>
            <w:noWrap w:val="0"/>
            <w:vAlign w:val="center"/>
          </w:tcPr>
          <w:p w14:paraId="1094DE61">
            <w:pPr>
              <w:jc w:val="center"/>
              <w:rPr>
                <w:highlight w:val="none"/>
              </w:rPr>
            </w:pPr>
            <w:r>
              <w:rPr>
                <w:rFonts w:hint="eastAsia"/>
                <w:highlight w:val="none"/>
              </w:rPr>
              <w:t>物理访问控制</w:t>
            </w:r>
          </w:p>
        </w:tc>
        <w:tc>
          <w:tcPr>
            <w:tcW w:w="6979" w:type="dxa"/>
            <w:noWrap w:val="0"/>
            <w:vAlign w:val="center"/>
          </w:tcPr>
          <w:p w14:paraId="2626BE04">
            <w:pPr>
              <w:rPr>
                <w:highlight w:val="none"/>
              </w:rPr>
            </w:pPr>
            <w:r>
              <w:rPr>
                <w:rFonts w:hint="eastAsia"/>
                <w:highlight w:val="none"/>
              </w:rPr>
              <w:t>机房出入口应配置电子门禁系统，控制、鉴别和记录进入的人员。</w:t>
            </w:r>
          </w:p>
        </w:tc>
      </w:tr>
      <w:tr w14:paraId="3E14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855" w:type="dxa"/>
            <w:vMerge w:val="restart"/>
            <w:noWrap w:val="0"/>
            <w:vAlign w:val="center"/>
          </w:tcPr>
          <w:p w14:paraId="36E87220">
            <w:pPr>
              <w:jc w:val="center"/>
              <w:rPr>
                <w:highlight w:val="none"/>
              </w:rPr>
            </w:pPr>
            <w:r>
              <w:rPr>
                <w:rFonts w:hint="eastAsia"/>
                <w:highlight w:val="none"/>
              </w:rPr>
              <w:t>3</w:t>
            </w:r>
          </w:p>
        </w:tc>
        <w:tc>
          <w:tcPr>
            <w:tcW w:w="1554" w:type="dxa"/>
            <w:vMerge w:val="restart"/>
            <w:noWrap w:val="0"/>
            <w:vAlign w:val="center"/>
          </w:tcPr>
          <w:p w14:paraId="30C50259">
            <w:pPr>
              <w:jc w:val="center"/>
              <w:rPr>
                <w:highlight w:val="none"/>
              </w:rPr>
            </w:pPr>
            <w:r>
              <w:rPr>
                <w:rFonts w:hint="eastAsia"/>
                <w:highlight w:val="none"/>
              </w:rPr>
              <w:t>防盗窃和防破坏</w:t>
            </w:r>
          </w:p>
        </w:tc>
        <w:tc>
          <w:tcPr>
            <w:tcW w:w="6979" w:type="dxa"/>
            <w:noWrap w:val="0"/>
            <w:vAlign w:val="center"/>
          </w:tcPr>
          <w:p w14:paraId="39A3B279">
            <w:pPr>
              <w:rPr>
                <w:highlight w:val="none"/>
              </w:rPr>
            </w:pPr>
            <w:r>
              <w:rPr>
                <w:rFonts w:hint="eastAsia"/>
                <w:highlight w:val="none"/>
              </w:rPr>
              <w:t>a) 应将设备或主要部件进行固定，并设置明显的不易除去的标识。</w:t>
            </w:r>
          </w:p>
        </w:tc>
      </w:tr>
      <w:tr w14:paraId="6673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855" w:type="dxa"/>
            <w:vMerge w:val="continue"/>
            <w:noWrap w:val="0"/>
            <w:vAlign w:val="center"/>
          </w:tcPr>
          <w:p w14:paraId="7AAE8430">
            <w:pPr>
              <w:jc w:val="center"/>
              <w:rPr>
                <w:highlight w:val="none"/>
              </w:rPr>
            </w:pPr>
          </w:p>
        </w:tc>
        <w:tc>
          <w:tcPr>
            <w:tcW w:w="1554" w:type="dxa"/>
            <w:vMerge w:val="continue"/>
            <w:noWrap w:val="0"/>
            <w:vAlign w:val="center"/>
          </w:tcPr>
          <w:p w14:paraId="06FFBE2C">
            <w:pPr>
              <w:jc w:val="center"/>
              <w:rPr>
                <w:highlight w:val="none"/>
              </w:rPr>
            </w:pPr>
          </w:p>
        </w:tc>
        <w:tc>
          <w:tcPr>
            <w:tcW w:w="6979" w:type="dxa"/>
            <w:noWrap w:val="0"/>
            <w:vAlign w:val="center"/>
          </w:tcPr>
          <w:p w14:paraId="2339025F">
            <w:pPr>
              <w:rPr>
                <w:highlight w:val="none"/>
              </w:rPr>
            </w:pPr>
            <w:r>
              <w:rPr>
                <w:rFonts w:hint="eastAsia"/>
                <w:highlight w:val="none"/>
              </w:rPr>
              <w:t>b）应将通信线缆铺设在隐蔽安全处。</w:t>
            </w:r>
          </w:p>
        </w:tc>
      </w:tr>
      <w:tr w14:paraId="1995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blHeader/>
          <w:jc w:val="center"/>
        </w:trPr>
        <w:tc>
          <w:tcPr>
            <w:tcW w:w="855" w:type="dxa"/>
            <w:vMerge w:val="continue"/>
            <w:noWrap w:val="0"/>
            <w:vAlign w:val="center"/>
          </w:tcPr>
          <w:p w14:paraId="75B5D906">
            <w:pPr>
              <w:jc w:val="center"/>
              <w:rPr>
                <w:highlight w:val="none"/>
              </w:rPr>
            </w:pPr>
          </w:p>
        </w:tc>
        <w:tc>
          <w:tcPr>
            <w:tcW w:w="1554" w:type="dxa"/>
            <w:vMerge w:val="continue"/>
            <w:noWrap w:val="0"/>
            <w:vAlign w:val="center"/>
          </w:tcPr>
          <w:p w14:paraId="04C2B0C0">
            <w:pPr>
              <w:jc w:val="center"/>
              <w:rPr>
                <w:highlight w:val="none"/>
              </w:rPr>
            </w:pPr>
          </w:p>
        </w:tc>
        <w:tc>
          <w:tcPr>
            <w:tcW w:w="6979" w:type="dxa"/>
            <w:noWrap w:val="0"/>
            <w:vAlign w:val="center"/>
          </w:tcPr>
          <w:p w14:paraId="4DB19F0A">
            <w:pPr>
              <w:rPr>
                <w:highlight w:val="none"/>
              </w:rPr>
            </w:pPr>
            <w:r>
              <w:rPr>
                <w:rFonts w:hint="eastAsia"/>
                <w:highlight w:val="none"/>
              </w:rPr>
              <w:t>c) 应设置机房防盗报警系统或设置有专人值守的视频监控系统。</w:t>
            </w:r>
          </w:p>
        </w:tc>
      </w:tr>
      <w:tr w14:paraId="37D2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blHeader/>
          <w:jc w:val="center"/>
        </w:trPr>
        <w:tc>
          <w:tcPr>
            <w:tcW w:w="855" w:type="dxa"/>
            <w:vMerge w:val="restart"/>
            <w:noWrap w:val="0"/>
            <w:vAlign w:val="center"/>
          </w:tcPr>
          <w:p w14:paraId="6BE0C76D">
            <w:pPr>
              <w:jc w:val="center"/>
              <w:rPr>
                <w:highlight w:val="none"/>
              </w:rPr>
            </w:pPr>
            <w:r>
              <w:rPr>
                <w:rFonts w:hint="eastAsia"/>
                <w:highlight w:val="none"/>
              </w:rPr>
              <w:t>4</w:t>
            </w:r>
          </w:p>
        </w:tc>
        <w:tc>
          <w:tcPr>
            <w:tcW w:w="1554" w:type="dxa"/>
            <w:vMerge w:val="restart"/>
            <w:noWrap w:val="0"/>
            <w:vAlign w:val="center"/>
          </w:tcPr>
          <w:p w14:paraId="0AD95C9B">
            <w:pPr>
              <w:jc w:val="center"/>
              <w:rPr>
                <w:highlight w:val="none"/>
              </w:rPr>
            </w:pPr>
            <w:r>
              <w:rPr>
                <w:rFonts w:hint="eastAsia"/>
                <w:highlight w:val="none"/>
              </w:rPr>
              <w:t>防雷击</w:t>
            </w:r>
          </w:p>
        </w:tc>
        <w:tc>
          <w:tcPr>
            <w:tcW w:w="6979" w:type="dxa"/>
            <w:noWrap w:val="0"/>
            <w:vAlign w:val="center"/>
          </w:tcPr>
          <w:p w14:paraId="13945A7E">
            <w:pPr>
              <w:rPr>
                <w:highlight w:val="none"/>
              </w:rPr>
            </w:pPr>
            <w:r>
              <w:rPr>
                <w:rFonts w:hint="eastAsia"/>
                <w:highlight w:val="none"/>
              </w:rPr>
              <w:t>a) 应将各类机柜、设施和设备等通过接地系统安全接地。</w:t>
            </w:r>
          </w:p>
        </w:tc>
      </w:tr>
      <w:tr w14:paraId="7B14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55" w:type="dxa"/>
            <w:vMerge w:val="continue"/>
            <w:noWrap w:val="0"/>
            <w:vAlign w:val="center"/>
          </w:tcPr>
          <w:p w14:paraId="7D43CB77">
            <w:pPr>
              <w:jc w:val="center"/>
              <w:rPr>
                <w:highlight w:val="none"/>
              </w:rPr>
            </w:pPr>
          </w:p>
        </w:tc>
        <w:tc>
          <w:tcPr>
            <w:tcW w:w="1554" w:type="dxa"/>
            <w:vMerge w:val="continue"/>
            <w:noWrap w:val="0"/>
            <w:vAlign w:val="center"/>
          </w:tcPr>
          <w:p w14:paraId="0601D555">
            <w:pPr>
              <w:jc w:val="center"/>
              <w:rPr>
                <w:highlight w:val="none"/>
              </w:rPr>
            </w:pPr>
          </w:p>
        </w:tc>
        <w:tc>
          <w:tcPr>
            <w:tcW w:w="6979" w:type="dxa"/>
            <w:noWrap w:val="0"/>
            <w:vAlign w:val="center"/>
          </w:tcPr>
          <w:p w14:paraId="2457C20A">
            <w:pPr>
              <w:rPr>
                <w:highlight w:val="none"/>
              </w:rPr>
            </w:pPr>
            <w:r>
              <w:rPr>
                <w:rFonts w:hint="eastAsia"/>
                <w:highlight w:val="none"/>
              </w:rPr>
              <w:t>b) 应采取措施防止感应雷，例如设置防雷保安器或过压保护装置等。</w:t>
            </w:r>
          </w:p>
        </w:tc>
      </w:tr>
      <w:tr w14:paraId="5D45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jc w:val="center"/>
        </w:trPr>
        <w:tc>
          <w:tcPr>
            <w:tcW w:w="855" w:type="dxa"/>
            <w:vMerge w:val="restart"/>
            <w:noWrap w:val="0"/>
            <w:vAlign w:val="center"/>
          </w:tcPr>
          <w:p w14:paraId="20B64687">
            <w:pPr>
              <w:jc w:val="center"/>
              <w:rPr>
                <w:highlight w:val="none"/>
              </w:rPr>
            </w:pPr>
            <w:r>
              <w:rPr>
                <w:rFonts w:hint="eastAsia"/>
                <w:highlight w:val="none"/>
              </w:rPr>
              <w:t>5</w:t>
            </w:r>
          </w:p>
        </w:tc>
        <w:tc>
          <w:tcPr>
            <w:tcW w:w="1554" w:type="dxa"/>
            <w:vMerge w:val="restart"/>
            <w:noWrap w:val="0"/>
            <w:vAlign w:val="center"/>
          </w:tcPr>
          <w:p w14:paraId="643ECE20">
            <w:pPr>
              <w:jc w:val="center"/>
              <w:rPr>
                <w:highlight w:val="none"/>
              </w:rPr>
            </w:pPr>
            <w:r>
              <w:rPr>
                <w:rFonts w:hint="eastAsia"/>
                <w:highlight w:val="none"/>
              </w:rPr>
              <w:t>防火</w:t>
            </w:r>
          </w:p>
        </w:tc>
        <w:tc>
          <w:tcPr>
            <w:tcW w:w="6979" w:type="dxa"/>
            <w:noWrap w:val="0"/>
            <w:vAlign w:val="center"/>
          </w:tcPr>
          <w:p w14:paraId="358CD460">
            <w:pPr>
              <w:rPr>
                <w:highlight w:val="none"/>
              </w:rPr>
            </w:pPr>
            <w:r>
              <w:rPr>
                <w:rFonts w:hint="eastAsia"/>
                <w:highlight w:val="none"/>
              </w:rPr>
              <w:t>a) 机房应设置火灾自动消防系统，能够自动检测火情、自动报警，并自动灭火。</w:t>
            </w:r>
          </w:p>
        </w:tc>
      </w:tr>
      <w:tr w14:paraId="625F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855" w:type="dxa"/>
            <w:vMerge w:val="continue"/>
            <w:noWrap w:val="0"/>
            <w:vAlign w:val="center"/>
          </w:tcPr>
          <w:p w14:paraId="34A5D927">
            <w:pPr>
              <w:jc w:val="center"/>
              <w:rPr>
                <w:highlight w:val="none"/>
              </w:rPr>
            </w:pPr>
          </w:p>
        </w:tc>
        <w:tc>
          <w:tcPr>
            <w:tcW w:w="1554" w:type="dxa"/>
            <w:vMerge w:val="continue"/>
            <w:noWrap w:val="0"/>
            <w:vAlign w:val="center"/>
          </w:tcPr>
          <w:p w14:paraId="2802CF71">
            <w:pPr>
              <w:jc w:val="center"/>
              <w:rPr>
                <w:highlight w:val="none"/>
              </w:rPr>
            </w:pPr>
          </w:p>
        </w:tc>
        <w:tc>
          <w:tcPr>
            <w:tcW w:w="6979" w:type="dxa"/>
            <w:noWrap w:val="0"/>
            <w:vAlign w:val="center"/>
          </w:tcPr>
          <w:p w14:paraId="1E78B94D">
            <w:pPr>
              <w:rPr>
                <w:highlight w:val="none"/>
              </w:rPr>
            </w:pPr>
            <w:r>
              <w:rPr>
                <w:rFonts w:hint="eastAsia"/>
                <w:highlight w:val="none"/>
              </w:rPr>
              <w:t>b) 机房及相关的工作房间和辅助房应采用具有耐火等级的建筑材料。</w:t>
            </w:r>
          </w:p>
        </w:tc>
      </w:tr>
      <w:tr w14:paraId="4D96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blHeader/>
          <w:jc w:val="center"/>
        </w:trPr>
        <w:tc>
          <w:tcPr>
            <w:tcW w:w="855" w:type="dxa"/>
            <w:vMerge w:val="continue"/>
            <w:noWrap w:val="0"/>
            <w:vAlign w:val="center"/>
          </w:tcPr>
          <w:p w14:paraId="0AE2A9D7">
            <w:pPr>
              <w:jc w:val="center"/>
              <w:rPr>
                <w:highlight w:val="none"/>
              </w:rPr>
            </w:pPr>
          </w:p>
        </w:tc>
        <w:tc>
          <w:tcPr>
            <w:tcW w:w="1554" w:type="dxa"/>
            <w:vMerge w:val="continue"/>
            <w:noWrap w:val="0"/>
            <w:vAlign w:val="center"/>
          </w:tcPr>
          <w:p w14:paraId="1CE09059">
            <w:pPr>
              <w:jc w:val="center"/>
              <w:rPr>
                <w:highlight w:val="none"/>
              </w:rPr>
            </w:pPr>
          </w:p>
        </w:tc>
        <w:tc>
          <w:tcPr>
            <w:tcW w:w="6979" w:type="dxa"/>
            <w:noWrap w:val="0"/>
            <w:vAlign w:val="center"/>
          </w:tcPr>
          <w:p w14:paraId="65B0205E">
            <w:pPr>
              <w:rPr>
                <w:highlight w:val="none"/>
              </w:rPr>
            </w:pPr>
            <w:r>
              <w:rPr>
                <w:rFonts w:hint="eastAsia"/>
                <w:highlight w:val="none"/>
              </w:rPr>
              <w:t>c) 应对机房划分区域进行管理，区域和区域之间设置隔离防火措施。</w:t>
            </w:r>
          </w:p>
        </w:tc>
      </w:tr>
      <w:tr w14:paraId="1954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855" w:type="dxa"/>
            <w:vMerge w:val="restart"/>
            <w:noWrap w:val="0"/>
            <w:vAlign w:val="center"/>
          </w:tcPr>
          <w:p w14:paraId="4AA807AA">
            <w:pPr>
              <w:jc w:val="center"/>
              <w:rPr>
                <w:highlight w:val="none"/>
              </w:rPr>
            </w:pPr>
            <w:r>
              <w:rPr>
                <w:rFonts w:hint="eastAsia"/>
                <w:highlight w:val="none"/>
              </w:rPr>
              <w:t>6</w:t>
            </w:r>
          </w:p>
        </w:tc>
        <w:tc>
          <w:tcPr>
            <w:tcW w:w="1554" w:type="dxa"/>
            <w:vMerge w:val="restart"/>
            <w:noWrap w:val="0"/>
            <w:vAlign w:val="center"/>
          </w:tcPr>
          <w:p w14:paraId="04BBF4F0">
            <w:pPr>
              <w:jc w:val="center"/>
              <w:rPr>
                <w:highlight w:val="none"/>
              </w:rPr>
            </w:pPr>
            <w:r>
              <w:rPr>
                <w:rFonts w:hint="eastAsia"/>
                <w:highlight w:val="none"/>
              </w:rPr>
              <w:t>防水和防潮</w:t>
            </w:r>
          </w:p>
        </w:tc>
        <w:tc>
          <w:tcPr>
            <w:tcW w:w="6979" w:type="dxa"/>
            <w:noWrap w:val="0"/>
            <w:vAlign w:val="center"/>
          </w:tcPr>
          <w:p w14:paraId="63544681">
            <w:pPr>
              <w:rPr>
                <w:highlight w:val="none"/>
              </w:rPr>
            </w:pPr>
            <w:r>
              <w:rPr>
                <w:rFonts w:hint="eastAsia"/>
                <w:highlight w:val="none"/>
              </w:rPr>
              <w:t>a) 应采取措施防止雨水通过机房窗户、屋顶和墙壁渗透。</w:t>
            </w:r>
          </w:p>
        </w:tc>
      </w:tr>
      <w:tr w14:paraId="3806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855" w:type="dxa"/>
            <w:vMerge w:val="continue"/>
            <w:noWrap w:val="0"/>
            <w:vAlign w:val="center"/>
          </w:tcPr>
          <w:p w14:paraId="76A663A2">
            <w:pPr>
              <w:jc w:val="center"/>
              <w:rPr>
                <w:highlight w:val="none"/>
              </w:rPr>
            </w:pPr>
          </w:p>
        </w:tc>
        <w:tc>
          <w:tcPr>
            <w:tcW w:w="1554" w:type="dxa"/>
            <w:vMerge w:val="continue"/>
            <w:noWrap w:val="0"/>
            <w:vAlign w:val="center"/>
          </w:tcPr>
          <w:p w14:paraId="5DBEE53B">
            <w:pPr>
              <w:jc w:val="center"/>
              <w:rPr>
                <w:highlight w:val="none"/>
              </w:rPr>
            </w:pPr>
          </w:p>
        </w:tc>
        <w:tc>
          <w:tcPr>
            <w:tcW w:w="6979" w:type="dxa"/>
            <w:noWrap w:val="0"/>
            <w:vAlign w:val="center"/>
          </w:tcPr>
          <w:p w14:paraId="22CDBC02">
            <w:pPr>
              <w:rPr>
                <w:highlight w:val="none"/>
              </w:rPr>
            </w:pPr>
            <w:r>
              <w:rPr>
                <w:rFonts w:hint="eastAsia"/>
                <w:highlight w:val="none"/>
              </w:rPr>
              <w:t>b) 应采取措施防止机房内水蒸气结露和地下积水的转移与渗透。</w:t>
            </w:r>
          </w:p>
        </w:tc>
      </w:tr>
      <w:tr w14:paraId="171C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855" w:type="dxa"/>
            <w:vMerge w:val="continue"/>
            <w:noWrap w:val="0"/>
            <w:vAlign w:val="center"/>
          </w:tcPr>
          <w:p w14:paraId="7A5684C9">
            <w:pPr>
              <w:jc w:val="center"/>
              <w:rPr>
                <w:highlight w:val="none"/>
              </w:rPr>
            </w:pPr>
          </w:p>
        </w:tc>
        <w:tc>
          <w:tcPr>
            <w:tcW w:w="1554" w:type="dxa"/>
            <w:vMerge w:val="continue"/>
            <w:noWrap w:val="0"/>
            <w:vAlign w:val="center"/>
          </w:tcPr>
          <w:p w14:paraId="16B43DCC">
            <w:pPr>
              <w:jc w:val="center"/>
              <w:rPr>
                <w:highlight w:val="none"/>
              </w:rPr>
            </w:pPr>
          </w:p>
        </w:tc>
        <w:tc>
          <w:tcPr>
            <w:tcW w:w="6979" w:type="dxa"/>
            <w:noWrap w:val="0"/>
            <w:vAlign w:val="center"/>
          </w:tcPr>
          <w:p w14:paraId="39BC1DB4">
            <w:pPr>
              <w:rPr>
                <w:highlight w:val="none"/>
              </w:rPr>
            </w:pPr>
            <w:r>
              <w:rPr>
                <w:rFonts w:hint="eastAsia"/>
                <w:highlight w:val="none"/>
              </w:rPr>
              <w:t>c) 应安装对水敏感的检测仪表或元件，对机房进行防水检测和报警。</w:t>
            </w:r>
          </w:p>
        </w:tc>
      </w:tr>
      <w:tr w14:paraId="5E0A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blHeader/>
          <w:jc w:val="center"/>
        </w:trPr>
        <w:tc>
          <w:tcPr>
            <w:tcW w:w="855" w:type="dxa"/>
            <w:vMerge w:val="restart"/>
            <w:noWrap w:val="0"/>
            <w:vAlign w:val="center"/>
          </w:tcPr>
          <w:p w14:paraId="4942E157">
            <w:pPr>
              <w:jc w:val="center"/>
              <w:rPr>
                <w:highlight w:val="none"/>
              </w:rPr>
            </w:pPr>
            <w:r>
              <w:rPr>
                <w:rFonts w:hint="eastAsia"/>
                <w:highlight w:val="none"/>
              </w:rPr>
              <w:t>7</w:t>
            </w:r>
          </w:p>
        </w:tc>
        <w:tc>
          <w:tcPr>
            <w:tcW w:w="1554" w:type="dxa"/>
            <w:vMerge w:val="restart"/>
            <w:noWrap w:val="0"/>
            <w:vAlign w:val="center"/>
          </w:tcPr>
          <w:p w14:paraId="5B2D74B4">
            <w:pPr>
              <w:jc w:val="center"/>
              <w:rPr>
                <w:highlight w:val="none"/>
              </w:rPr>
            </w:pPr>
            <w:r>
              <w:rPr>
                <w:rFonts w:hint="eastAsia"/>
                <w:highlight w:val="none"/>
              </w:rPr>
              <w:t>防静电</w:t>
            </w:r>
          </w:p>
        </w:tc>
        <w:tc>
          <w:tcPr>
            <w:tcW w:w="6979" w:type="dxa"/>
            <w:noWrap w:val="0"/>
            <w:vAlign w:val="center"/>
          </w:tcPr>
          <w:p w14:paraId="3F466AB7">
            <w:pPr>
              <w:rPr>
                <w:highlight w:val="none"/>
              </w:rPr>
            </w:pPr>
            <w:r>
              <w:rPr>
                <w:rFonts w:hint="eastAsia"/>
                <w:highlight w:val="none"/>
              </w:rPr>
              <w:t>a) 应采用防静电地板或地面并采用必要的接地防静电措施。</w:t>
            </w:r>
          </w:p>
        </w:tc>
      </w:tr>
      <w:tr w14:paraId="7D66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855" w:type="dxa"/>
            <w:vMerge w:val="continue"/>
            <w:noWrap w:val="0"/>
            <w:vAlign w:val="center"/>
          </w:tcPr>
          <w:p w14:paraId="603BC175">
            <w:pPr>
              <w:jc w:val="center"/>
              <w:rPr>
                <w:highlight w:val="none"/>
              </w:rPr>
            </w:pPr>
          </w:p>
        </w:tc>
        <w:tc>
          <w:tcPr>
            <w:tcW w:w="1554" w:type="dxa"/>
            <w:vMerge w:val="continue"/>
            <w:noWrap w:val="0"/>
            <w:vAlign w:val="center"/>
          </w:tcPr>
          <w:p w14:paraId="1F86CCA5">
            <w:pPr>
              <w:jc w:val="center"/>
              <w:rPr>
                <w:highlight w:val="none"/>
              </w:rPr>
            </w:pPr>
          </w:p>
        </w:tc>
        <w:tc>
          <w:tcPr>
            <w:tcW w:w="6979" w:type="dxa"/>
            <w:noWrap w:val="0"/>
            <w:vAlign w:val="center"/>
          </w:tcPr>
          <w:p w14:paraId="572C9123">
            <w:pPr>
              <w:rPr>
                <w:highlight w:val="none"/>
              </w:rPr>
            </w:pPr>
            <w:r>
              <w:rPr>
                <w:rFonts w:hint="eastAsia"/>
                <w:highlight w:val="none"/>
              </w:rPr>
              <w:t>b) 应采取措施防止静电的产生，例如采用静电消除器、佩戴防静电手环等。</w:t>
            </w:r>
          </w:p>
        </w:tc>
      </w:tr>
      <w:tr w14:paraId="2023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blHeader/>
          <w:jc w:val="center"/>
        </w:trPr>
        <w:tc>
          <w:tcPr>
            <w:tcW w:w="855" w:type="dxa"/>
            <w:noWrap w:val="0"/>
            <w:vAlign w:val="center"/>
          </w:tcPr>
          <w:p w14:paraId="4E9D1242">
            <w:pPr>
              <w:jc w:val="center"/>
              <w:rPr>
                <w:highlight w:val="none"/>
              </w:rPr>
            </w:pPr>
            <w:r>
              <w:rPr>
                <w:rFonts w:hint="eastAsia"/>
                <w:highlight w:val="none"/>
              </w:rPr>
              <w:t>8</w:t>
            </w:r>
          </w:p>
        </w:tc>
        <w:tc>
          <w:tcPr>
            <w:tcW w:w="1554" w:type="dxa"/>
            <w:noWrap w:val="0"/>
            <w:vAlign w:val="center"/>
          </w:tcPr>
          <w:p w14:paraId="08D7582A">
            <w:pPr>
              <w:jc w:val="center"/>
              <w:rPr>
                <w:highlight w:val="none"/>
              </w:rPr>
            </w:pPr>
            <w:r>
              <w:rPr>
                <w:rFonts w:hint="eastAsia"/>
                <w:highlight w:val="none"/>
              </w:rPr>
              <w:t>温湿度控制</w:t>
            </w:r>
          </w:p>
        </w:tc>
        <w:tc>
          <w:tcPr>
            <w:tcW w:w="6979" w:type="dxa"/>
            <w:noWrap w:val="0"/>
            <w:vAlign w:val="center"/>
          </w:tcPr>
          <w:p w14:paraId="444380B8">
            <w:pPr>
              <w:rPr>
                <w:highlight w:val="none"/>
              </w:rPr>
            </w:pPr>
            <w:r>
              <w:rPr>
                <w:rFonts w:hint="eastAsia"/>
                <w:highlight w:val="none"/>
              </w:rPr>
              <w:t>a) 应设置温、湿度自动询节设施，使机房温、湿度的变化在设备运行所允许的范围之内。</w:t>
            </w:r>
          </w:p>
        </w:tc>
      </w:tr>
      <w:tr w14:paraId="4405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855" w:type="dxa"/>
            <w:vMerge w:val="restart"/>
            <w:noWrap w:val="0"/>
            <w:vAlign w:val="center"/>
          </w:tcPr>
          <w:p w14:paraId="3C07A6A7">
            <w:pPr>
              <w:jc w:val="center"/>
              <w:rPr>
                <w:highlight w:val="none"/>
              </w:rPr>
            </w:pPr>
            <w:r>
              <w:rPr>
                <w:rFonts w:hint="eastAsia"/>
                <w:highlight w:val="none"/>
              </w:rPr>
              <w:t>9</w:t>
            </w:r>
          </w:p>
        </w:tc>
        <w:tc>
          <w:tcPr>
            <w:tcW w:w="1554" w:type="dxa"/>
            <w:vMerge w:val="restart"/>
            <w:noWrap w:val="0"/>
            <w:vAlign w:val="center"/>
          </w:tcPr>
          <w:p w14:paraId="26264E85">
            <w:pPr>
              <w:jc w:val="center"/>
              <w:rPr>
                <w:highlight w:val="none"/>
              </w:rPr>
            </w:pPr>
            <w:r>
              <w:rPr>
                <w:rFonts w:hint="eastAsia"/>
                <w:highlight w:val="none"/>
              </w:rPr>
              <w:t>电力供应</w:t>
            </w:r>
          </w:p>
        </w:tc>
        <w:tc>
          <w:tcPr>
            <w:tcW w:w="6979" w:type="dxa"/>
            <w:noWrap w:val="0"/>
            <w:vAlign w:val="center"/>
          </w:tcPr>
          <w:p w14:paraId="120CFA5F">
            <w:pPr>
              <w:rPr>
                <w:highlight w:val="none"/>
              </w:rPr>
            </w:pPr>
            <w:r>
              <w:rPr>
                <w:rFonts w:hint="eastAsia"/>
                <w:highlight w:val="none"/>
              </w:rPr>
              <w:t>a) 应在机房供电线路上配置稳压器和过电压防护设备。</w:t>
            </w:r>
          </w:p>
        </w:tc>
      </w:tr>
      <w:tr w14:paraId="2A07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855" w:type="dxa"/>
            <w:vMerge w:val="continue"/>
            <w:noWrap w:val="0"/>
            <w:vAlign w:val="center"/>
          </w:tcPr>
          <w:p w14:paraId="698873E4">
            <w:pPr>
              <w:jc w:val="center"/>
              <w:rPr>
                <w:highlight w:val="none"/>
              </w:rPr>
            </w:pPr>
          </w:p>
        </w:tc>
        <w:tc>
          <w:tcPr>
            <w:tcW w:w="1554" w:type="dxa"/>
            <w:vMerge w:val="continue"/>
            <w:noWrap w:val="0"/>
            <w:vAlign w:val="center"/>
          </w:tcPr>
          <w:p w14:paraId="2CFBBEF6">
            <w:pPr>
              <w:jc w:val="center"/>
              <w:rPr>
                <w:highlight w:val="none"/>
              </w:rPr>
            </w:pPr>
          </w:p>
        </w:tc>
        <w:tc>
          <w:tcPr>
            <w:tcW w:w="6979" w:type="dxa"/>
            <w:noWrap w:val="0"/>
            <w:vAlign w:val="center"/>
          </w:tcPr>
          <w:p w14:paraId="67BAB217">
            <w:pPr>
              <w:rPr>
                <w:highlight w:val="none"/>
              </w:rPr>
            </w:pPr>
            <w:r>
              <w:rPr>
                <w:rFonts w:hint="eastAsia"/>
                <w:highlight w:val="none"/>
              </w:rPr>
              <w:t>b) 应提供短期的备用电力供应，至少满足设备在断电情况下的正常运行要求。</w:t>
            </w:r>
          </w:p>
        </w:tc>
      </w:tr>
      <w:tr w14:paraId="6CA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jc w:val="center"/>
        </w:trPr>
        <w:tc>
          <w:tcPr>
            <w:tcW w:w="855" w:type="dxa"/>
            <w:vMerge w:val="continue"/>
            <w:noWrap w:val="0"/>
            <w:vAlign w:val="center"/>
          </w:tcPr>
          <w:p w14:paraId="0D65A309">
            <w:pPr>
              <w:jc w:val="center"/>
              <w:rPr>
                <w:highlight w:val="none"/>
              </w:rPr>
            </w:pPr>
          </w:p>
        </w:tc>
        <w:tc>
          <w:tcPr>
            <w:tcW w:w="1554" w:type="dxa"/>
            <w:vMerge w:val="continue"/>
            <w:noWrap w:val="0"/>
            <w:vAlign w:val="center"/>
          </w:tcPr>
          <w:p w14:paraId="06D8A464">
            <w:pPr>
              <w:jc w:val="center"/>
              <w:rPr>
                <w:highlight w:val="none"/>
              </w:rPr>
            </w:pPr>
          </w:p>
        </w:tc>
        <w:tc>
          <w:tcPr>
            <w:tcW w:w="6979" w:type="dxa"/>
            <w:noWrap w:val="0"/>
            <w:vAlign w:val="center"/>
          </w:tcPr>
          <w:p w14:paraId="7CEB3D22">
            <w:pPr>
              <w:rPr>
                <w:highlight w:val="none"/>
              </w:rPr>
            </w:pPr>
            <w:r>
              <w:rPr>
                <w:rFonts w:hint="eastAsia"/>
                <w:highlight w:val="none"/>
              </w:rPr>
              <w:t>c) 应设置冗余或并行的电力电缆线路为计算机系统供电。</w:t>
            </w:r>
          </w:p>
        </w:tc>
      </w:tr>
      <w:tr w14:paraId="616E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855" w:type="dxa"/>
            <w:vMerge w:val="restart"/>
            <w:noWrap w:val="0"/>
            <w:vAlign w:val="center"/>
          </w:tcPr>
          <w:p w14:paraId="25E2216B">
            <w:pPr>
              <w:jc w:val="center"/>
              <w:rPr>
                <w:highlight w:val="none"/>
              </w:rPr>
            </w:pPr>
            <w:r>
              <w:rPr>
                <w:rFonts w:hint="eastAsia"/>
                <w:highlight w:val="none"/>
              </w:rPr>
              <w:t>1</w:t>
            </w:r>
            <w:r>
              <w:rPr>
                <w:highlight w:val="none"/>
              </w:rPr>
              <w:t>0</w:t>
            </w:r>
          </w:p>
        </w:tc>
        <w:tc>
          <w:tcPr>
            <w:tcW w:w="1554" w:type="dxa"/>
            <w:vMerge w:val="restart"/>
            <w:noWrap w:val="0"/>
            <w:vAlign w:val="center"/>
          </w:tcPr>
          <w:p w14:paraId="28393683">
            <w:pPr>
              <w:jc w:val="center"/>
              <w:rPr>
                <w:highlight w:val="none"/>
              </w:rPr>
            </w:pPr>
            <w:r>
              <w:rPr>
                <w:rFonts w:hint="eastAsia"/>
                <w:highlight w:val="none"/>
              </w:rPr>
              <w:t>电磁防护</w:t>
            </w:r>
          </w:p>
        </w:tc>
        <w:tc>
          <w:tcPr>
            <w:tcW w:w="6979" w:type="dxa"/>
            <w:noWrap w:val="0"/>
            <w:vAlign w:val="center"/>
          </w:tcPr>
          <w:p w14:paraId="29E37F5A">
            <w:pPr>
              <w:rPr>
                <w:highlight w:val="none"/>
              </w:rPr>
            </w:pPr>
            <w:r>
              <w:rPr>
                <w:rFonts w:hint="eastAsia"/>
                <w:highlight w:val="none"/>
              </w:rPr>
              <w:t>a) 电源线和通信线缆应隔离铺设，避免互相干扰。</w:t>
            </w:r>
          </w:p>
        </w:tc>
      </w:tr>
      <w:tr w14:paraId="2344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855" w:type="dxa"/>
            <w:vMerge w:val="continue"/>
            <w:noWrap w:val="0"/>
            <w:vAlign w:val="center"/>
          </w:tcPr>
          <w:p w14:paraId="712E7214">
            <w:pPr>
              <w:rPr>
                <w:highlight w:val="none"/>
              </w:rPr>
            </w:pPr>
          </w:p>
        </w:tc>
        <w:tc>
          <w:tcPr>
            <w:tcW w:w="1554" w:type="dxa"/>
            <w:vMerge w:val="continue"/>
            <w:noWrap w:val="0"/>
            <w:vAlign w:val="center"/>
          </w:tcPr>
          <w:p w14:paraId="4C1FD04A">
            <w:pPr>
              <w:rPr>
                <w:highlight w:val="none"/>
              </w:rPr>
            </w:pPr>
          </w:p>
        </w:tc>
        <w:tc>
          <w:tcPr>
            <w:tcW w:w="6979" w:type="dxa"/>
            <w:noWrap w:val="0"/>
            <w:vAlign w:val="center"/>
          </w:tcPr>
          <w:p w14:paraId="67490EFF">
            <w:pPr>
              <w:rPr>
                <w:highlight w:val="none"/>
              </w:rPr>
            </w:pPr>
            <w:r>
              <w:rPr>
                <w:rFonts w:hint="eastAsia"/>
                <w:highlight w:val="none"/>
              </w:rPr>
              <w:t>b) 应对关键设备实施电磁屏蔽。</w:t>
            </w:r>
          </w:p>
        </w:tc>
      </w:tr>
    </w:tbl>
    <w:p w14:paraId="68B69C5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2.安全通信网络</w:t>
      </w:r>
    </w:p>
    <w:p w14:paraId="343A6B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测评对象主要为网络互联设备、网络安全设备以及网络拓扑结构等三大类，具体为：路由器、交换机、无线接入设备和防火墙等提供网络通信功能的设备或相关组件，信息系统的整体网络拓扑结构，提供可信验证的设备或组件、提供集中审计功能的系统；涉及工作单元3个，具体如下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832"/>
        <w:gridCol w:w="6567"/>
      </w:tblGrid>
      <w:tr w14:paraId="21A2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blHeader/>
          <w:jc w:val="center"/>
        </w:trPr>
        <w:tc>
          <w:tcPr>
            <w:tcW w:w="880" w:type="dxa"/>
            <w:noWrap w:val="0"/>
            <w:vAlign w:val="center"/>
          </w:tcPr>
          <w:p w14:paraId="34E841C7">
            <w:pPr>
              <w:jc w:val="center"/>
              <w:rPr>
                <w:b/>
                <w:bCs/>
                <w:highlight w:val="none"/>
              </w:rPr>
            </w:pPr>
            <w:r>
              <w:rPr>
                <w:rFonts w:hint="eastAsia"/>
                <w:b/>
                <w:bCs/>
                <w:highlight w:val="none"/>
              </w:rPr>
              <w:t>序号</w:t>
            </w:r>
          </w:p>
        </w:tc>
        <w:tc>
          <w:tcPr>
            <w:tcW w:w="1832" w:type="dxa"/>
            <w:noWrap w:val="0"/>
            <w:vAlign w:val="center"/>
          </w:tcPr>
          <w:p w14:paraId="247950F5">
            <w:pPr>
              <w:jc w:val="center"/>
              <w:rPr>
                <w:b/>
                <w:bCs/>
                <w:highlight w:val="none"/>
              </w:rPr>
            </w:pPr>
            <w:r>
              <w:rPr>
                <w:rFonts w:hint="eastAsia"/>
                <w:b/>
                <w:bCs/>
                <w:highlight w:val="none"/>
              </w:rPr>
              <w:t>工作单元名称</w:t>
            </w:r>
          </w:p>
        </w:tc>
        <w:tc>
          <w:tcPr>
            <w:tcW w:w="6567" w:type="dxa"/>
            <w:noWrap w:val="0"/>
            <w:vAlign w:val="center"/>
          </w:tcPr>
          <w:p w14:paraId="093C29B5">
            <w:pPr>
              <w:jc w:val="center"/>
              <w:rPr>
                <w:b/>
                <w:bCs/>
                <w:highlight w:val="none"/>
              </w:rPr>
            </w:pPr>
            <w:r>
              <w:rPr>
                <w:rFonts w:hint="eastAsia"/>
                <w:b/>
                <w:bCs/>
                <w:highlight w:val="none"/>
              </w:rPr>
              <w:t>测评指标</w:t>
            </w:r>
          </w:p>
        </w:tc>
      </w:tr>
      <w:tr w14:paraId="14A1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blHeader/>
          <w:jc w:val="center"/>
        </w:trPr>
        <w:tc>
          <w:tcPr>
            <w:tcW w:w="880" w:type="dxa"/>
            <w:vMerge w:val="restart"/>
            <w:noWrap w:val="0"/>
            <w:vAlign w:val="center"/>
          </w:tcPr>
          <w:p w14:paraId="0676EFCA">
            <w:pPr>
              <w:jc w:val="center"/>
              <w:rPr>
                <w:highlight w:val="none"/>
              </w:rPr>
            </w:pPr>
            <w:r>
              <w:rPr>
                <w:rFonts w:hint="eastAsia"/>
                <w:highlight w:val="none"/>
              </w:rPr>
              <w:t>1</w:t>
            </w:r>
          </w:p>
        </w:tc>
        <w:tc>
          <w:tcPr>
            <w:tcW w:w="1832" w:type="dxa"/>
            <w:vMerge w:val="restart"/>
            <w:noWrap w:val="0"/>
            <w:vAlign w:val="center"/>
          </w:tcPr>
          <w:p w14:paraId="5CEFE5EE">
            <w:pPr>
              <w:jc w:val="center"/>
              <w:rPr>
                <w:highlight w:val="none"/>
              </w:rPr>
            </w:pPr>
            <w:r>
              <w:rPr>
                <w:rFonts w:hint="eastAsia"/>
                <w:highlight w:val="none"/>
              </w:rPr>
              <w:t>网络架构</w:t>
            </w:r>
          </w:p>
        </w:tc>
        <w:tc>
          <w:tcPr>
            <w:tcW w:w="6567" w:type="dxa"/>
            <w:noWrap w:val="0"/>
            <w:vAlign w:val="center"/>
          </w:tcPr>
          <w:p w14:paraId="741C2E77">
            <w:pPr>
              <w:rPr>
                <w:highlight w:val="none"/>
              </w:rPr>
            </w:pPr>
            <w:r>
              <w:rPr>
                <w:rFonts w:hint="eastAsia"/>
                <w:highlight w:val="none"/>
              </w:rPr>
              <w:t>a) 应保证网络设备的业务处理能力满足业务高峰期需要。</w:t>
            </w:r>
          </w:p>
        </w:tc>
      </w:tr>
      <w:tr w14:paraId="0D60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880" w:type="dxa"/>
            <w:vMerge w:val="continue"/>
            <w:noWrap w:val="0"/>
            <w:vAlign w:val="center"/>
          </w:tcPr>
          <w:p w14:paraId="026BB757">
            <w:pPr>
              <w:jc w:val="center"/>
              <w:rPr>
                <w:highlight w:val="none"/>
              </w:rPr>
            </w:pPr>
          </w:p>
        </w:tc>
        <w:tc>
          <w:tcPr>
            <w:tcW w:w="1832" w:type="dxa"/>
            <w:vMerge w:val="continue"/>
            <w:noWrap w:val="0"/>
            <w:vAlign w:val="center"/>
          </w:tcPr>
          <w:p w14:paraId="2842CBD8">
            <w:pPr>
              <w:jc w:val="center"/>
              <w:rPr>
                <w:highlight w:val="none"/>
              </w:rPr>
            </w:pPr>
          </w:p>
        </w:tc>
        <w:tc>
          <w:tcPr>
            <w:tcW w:w="6567" w:type="dxa"/>
            <w:noWrap w:val="0"/>
            <w:vAlign w:val="center"/>
          </w:tcPr>
          <w:p w14:paraId="15130D6B">
            <w:pPr>
              <w:rPr>
                <w:highlight w:val="none"/>
              </w:rPr>
            </w:pPr>
            <w:r>
              <w:rPr>
                <w:rFonts w:hint="eastAsia"/>
                <w:highlight w:val="none"/>
              </w:rPr>
              <w:t>b) 应保证网络各个部分的带宽满足业务高峰期需要。</w:t>
            </w:r>
          </w:p>
        </w:tc>
      </w:tr>
      <w:tr w14:paraId="5BED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blHeader/>
          <w:jc w:val="center"/>
        </w:trPr>
        <w:tc>
          <w:tcPr>
            <w:tcW w:w="880" w:type="dxa"/>
            <w:vMerge w:val="continue"/>
            <w:noWrap w:val="0"/>
            <w:vAlign w:val="center"/>
          </w:tcPr>
          <w:p w14:paraId="631A75CB">
            <w:pPr>
              <w:jc w:val="center"/>
              <w:rPr>
                <w:highlight w:val="none"/>
              </w:rPr>
            </w:pPr>
          </w:p>
        </w:tc>
        <w:tc>
          <w:tcPr>
            <w:tcW w:w="1832" w:type="dxa"/>
            <w:vMerge w:val="continue"/>
            <w:noWrap w:val="0"/>
            <w:vAlign w:val="center"/>
          </w:tcPr>
          <w:p w14:paraId="77ED9EBA">
            <w:pPr>
              <w:jc w:val="center"/>
              <w:rPr>
                <w:highlight w:val="none"/>
              </w:rPr>
            </w:pPr>
          </w:p>
        </w:tc>
        <w:tc>
          <w:tcPr>
            <w:tcW w:w="6567" w:type="dxa"/>
            <w:noWrap w:val="0"/>
            <w:vAlign w:val="center"/>
          </w:tcPr>
          <w:p w14:paraId="4F4C63DE">
            <w:pPr>
              <w:rPr>
                <w:highlight w:val="none"/>
              </w:rPr>
            </w:pPr>
            <w:r>
              <w:rPr>
                <w:rFonts w:hint="eastAsia"/>
                <w:highlight w:val="none"/>
              </w:rPr>
              <w:t>c) 应划分不同的网络区域，并按照方便管理和控制的原则为各网络区域分配地址。</w:t>
            </w:r>
          </w:p>
        </w:tc>
      </w:tr>
      <w:tr w14:paraId="181F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880" w:type="dxa"/>
            <w:vMerge w:val="continue"/>
            <w:noWrap w:val="0"/>
            <w:vAlign w:val="center"/>
          </w:tcPr>
          <w:p w14:paraId="19B7D470">
            <w:pPr>
              <w:jc w:val="center"/>
              <w:rPr>
                <w:highlight w:val="none"/>
              </w:rPr>
            </w:pPr>
          </w:p>
        </w:tc>
        <w:tc>
          <w:tcPr>
            <w:tcW w:w="1832" w:type="dxa"/>
            <w:vMerge w:val="continue"/>
            <w:noWrap w:val="0"/>
            <w:vAlign w:val="center"/>
          </w:tcPr>
          <w:p w14:paraId="7CF0587B">
            <w:pPr>
              <w:jc w:val="center"/>
              <w:rPr>
                <w:highlight w:val="none"/>
              </w:rPr>
            </w:pPr>
          </w:p>
        </w:tc>
        <w:tc>
          <w:tcPr>
            <w:tcW w:w="6567" w:type="dxa"/>
            <w:noWrap w:val="0"/>
            <w:vAlign w:val="center"/>
          </w:tcPr>
          <w:p w14:paraId="4CF54C89">
            <w:pPr>
              <w:rPr>
                <w:highlight w:val="none"/>
              </w:rPr>
            </w:pPr>
            <w:r>
              <w:rPr>
                <w:rFonts w:hint="eastAsia"/>
                <w:highlight w:val="none"/>
              </w:rPr>
              <w:t>d) 应避免将重要网络区域部署在边界处，重要网络区域与其他网络区域之间应采取可 靠的技术隔离手段。</w:t>
            </w:r>
          </w:p>
        </w:tc>
      </w:tr>
      <w:tr w14:paraId="4B0F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blHeader/>
          <w:jc w:val="center"/>
        </w:trPr>
        <w:tc>
          <w:tcPr>
            <w:tcW w:w="880" w:type="dxa"/>
            <w:vMerge w:val="continue"/>
            <w:noWrap w:val="0"/>
            <w:vAlign w:val="center"/>
          </w:tcPr>
          <w:p w14:paraId="30A1014F">
            <w:pPr>
              <w:jc w:val="center"/>
              <w:rPr>
                <w:highlight w:val="none"/>
              </w:rPr>
            </w:pPr>
          </w:p>
        </w:tc>
        <w:tc>
          <w:tcPr>
            <w:tcW w:w="1832" w:type="dxa"/>
            <w:vMerge w:val="continue"/>
            <w:noWrap w:val="0"/>
            <w:vAlign w:val="center"/>
          </w:tcPr>
          <w:p w14:paraId="3825BFC8">
            <w:pPr>
              <w:jc w:val="center"/>
              <w:rPr>
                <w:highlight w:val="none"/>
              </w:rPr>
            </w:pPr>
          </w:p>
        </w:tc>
        <w:tc>
          <w:tcPr>
            <w:tcW w:w="6567" w:type="dxa"/>
            <w:noWrap w:val="0"/>
            <w:vAlign w:val="center"/>
          </w:tcPr>
          <w:p w14:paraId="1DDD8DF6">
            <w:pPr>
              <w:rPr>
                <w:highlight w:val="none"/>
              </w:rPr>
            </w:pPr>
            <w:r>
              <w:rPr>
                <w:rFonts w:hint="eastAsia"/>
                <w:highlight w:val="none"/>
              </w:rPr>
              <w:t>e)应提供通信线路板、关健网络设备和关键计算设备的硬件冗余，保证系统的可用性。</w:t>
            </w:r>
          </w:p>
        </w:tc>
      </w:tr>
      <w:tr w14:paraId="2983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blHeader/>
          <w:jc w:val="center"/>
        </w:trPr>
        <w:tc>
          <w:tcPr>
            <w:tcW w:w="880" w:type="dxa"/>
            <w:vMerge w:val="restart"/>
            <w:noWrap w:val="0"/>
            <w:vAlign w:val="center"/>
          </w:tcPr>
          <w:p w14:paraId="36204B5B">
            <w:pPr>
              <w:jc w:val="center"/>
              <w:rPr>
                <w:highlight w:val="none"/>
              </w:rPr>
            </w:pPr>
            <w:r>
              <w:rPr>
                <w:rFonts w:hint="eastAsia"/>
                <w:highlight w:val="none"/>
              </w:rPr>
              <w:t>2</w:t>
            </w:r>
          </w:p>
        </w:tc>
        <w:tc>
          <w:tcPr>
            <w:tcW w:w="1832" w:type="dxa"/>
            <w:vMerge w:val="restart"/>
            <w:noWrap w:val="0"/>
            <w:vAlign w:val="center"/>
          </w:tcPr>
          <w:p w14:paraId="0379DD4A">
            <w:pPr>
              <w:jc w:val="center"/>
              <w:rPr>
                <w:highlight w:val="none"/>
              </w:rPr>
            </w:pPr>
            <w:r>
              <w:rPr>
                <w:rFonts w:hint="eastAsia"/>
                <w:highlight w:val="none"/>
              </w:rPr>
              <w:t>通信传输</w:t>
            </w:r>
          </w:p>
        </w:tc>
        <w:tc>
          <w:tcPr>
            <w:tcW w:w="6567" w:type="dxa"/>
            <w:noWrap w:val="0"/>
            <w:vAlign w:val="center"/>
          </w:tcPr>
          <w:p w14:paraId="3CDF7B24">
            <w:pPr>
              <w:rPr>
                <w:highlight w:val="none"/>
              </w:rPr>
            </w:pPr>
            <w:r>
              <w:rPr>
                <w:rFonts w:hint="eastAsia"/>
                <w:highlight w:val="none"/>
              </w:rPr>
              <w:t xml:space="preserve">a)应采用校验技术或密码技术保证通信过程中数据的完整性 </w:t>
            </w:r>
          </w:p>
        </w:tc>
      </w:tr>
      <w:tr w14:paraId="081A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880" w:type="dxa"/>
            <w:vMerge w:val="continue"/>
            <w:noWrap w:val="0"/>
            <w:vAlign w:val="center"/>
          </w:tcPr>
          <w:p w14:paraId="43F1977B">
            <w:pPr>
              <w:jc w:val="center"/>
              <w:rPr>
                <w:highlight w:val="none"/>
              </w:rPr>
            </w:pPr>
          </w:p>
        </w:tc>
        <w:tc>
          <w:tcPr>
            <w:tcW w:w="1832" w:type="dxa"/>
            <w:vMerge w:val="continue"/>
            <w:noWrap w:val="0"/>
            <w:vAlign w:val="center"/>
          </w:tcPr>
          <w:p w14:paraId="56C90BE1">
            <w:pPr>
              <w:jc w:val="center"/>
              <w:rPr>
                <w:highlight w:val="none"/>
              </w:rPr>
            </w:pPr>
          </w:p>
        </w:tc>
        <w:tc>
          <w:tcPr>
            <w:tcW w:w="6567" w:type="dxa"/>
            <w:noWrap w:val="0"/>
            <w:vAlign w:val="center"/>
          </w:tcPr>
          <w:p w14:paraId="10EAAB2F">
            <w:pPr>
              <w:rPr>
                <w:highlight w:val="none"/>
              </w:rPr>
            </w:pPr>
            <w:r>
              <w:rPr>
                <w:rFonts w:hint="eastAsia"/>
                <w:highlight w:val="none"/>
              </w:rPr>
              <w:t>b)应采用密码技术保证通信过程中数据的保密性</w:t>
            </w:r>
          </w:p>
        </w:tc>
      </w:tr>
      <w:tr w14:paraId="5456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blHeader/>
          <w:jc w:val="center"/>
        </w:trPr>
        <w:tc>
          <w:tcPr>
            <w:tcW w:w="880" w:type="dxa"/>
            <w:noWrap w:val="0"/>
            <w:vAlign w:val="center"/>
          </w:tcPr>
          <w:p w14:paraId="1244C95D">
            <w:pPr>
              <w:jc w:val="center"/>
              <w:rPr>
                <w:highlight w:val="none"/>
              </w:rPr>
            </w:pPr>
            <w:r>
              <w:rPr>
                <w:rFonts w:hint="eastAsia"/>
                <w:highlight w:val="none"/>
              </w:rPr>
              <w:t>3</w:t>
            </w:r>
          </w:p>
        </w:tc>
        <w:tc>
          <w:tcPr>
            <w:tcW w:w="1832" w:type="dxa"/>
            <w:noWrap w:val="0"/>
            <w:vAlign w:val="center"/>
          </w:tcPr>
          <w:p w14:paraId="41794C71">
            <w:pPr>
              <w:jc w:val="center"/>
              <w:rPr>
                <w:highlight w:val="none"/>
              </w:rPr>
            </w:pPr>
            <w:r>
              <w:rPr>
                <w:rFonts w:hint="eastAsia"/>
                <w:highlight w:val="none"/>
              </w:rPr>
              <w:t>可信验证</w:t>
            </w:r>
          </w:p>
        </w:tc>
        <w:tc>
          <w:tcPr>
            <w:tcW w:w="6567" w:type="dxa"/>
            <w:noWrap w:val="0"/>
            <w:vAlign w:val="center"/>
          </w:tcPr>
          <w:p w14:paraId="3BE73CC4">
            <w:pPr>
              <w:rPr>
                <w:highlight w:val="none"/>
              </w:rPr>
            </w:pPr>
            <w:r>
              <w:rPr>
                <w:rFonts w:hint="eastAsia"/>
                <w:highlight w:val="none"/>
              </w:rPr>
              <w:t>可基于可信根对通信设备的系统引导程序、系统程序、重要配登参数和通信应用程序等进行可信验证，并在应用程序的关键执行环节进行动态可信验证，在检测到其可信性受到 破坏后进行报警，并将验证结果形成审计记录送至安全管理中心。</w:t>
            </w:r>
          </w:p>
        </w:tc>
      </w:tr>
    </w:tbl>
    <w:p w14:paraId="400522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3.安全区域边界</w:t>
      </w:r>
    </w:p>
    <w:p w14:paraId="42C9E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测评对象主要为：网闸、防火墙、路由器、交换机和无线接入网关设备、抗ATP攻击系统、网络回溯系统、抗DDOS攻击系统、入侵保护系统、入侵检测系统、防病毒网关和UTM、综合安全审计系统、提供可信验证的设备或组件、提供集中审计功能的系统。涉及工作单元6个，具体如下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797"/>
        <w:gridCol w:w="6439"/>
      </w:tblGrid>
      <w:tr w14:paraId="5526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863" w:type="dxa"/>
            <w:noWrap w:val="0"/>
            <w:vAlign w:val="center"/>
          </w:tcPr>
          <w:p w14:paraId="7D626661">
            <w:pPr>
              <w:jc w:val="center"/>
              <w:rPr>
                <w:b/>
                <w:bCs/>
                <w:highlight w:val="none"/>
              </w:rPr>
            </w:pPr>
            <w:r>
              <w:rPr>
                <w:rFonts w:hint="eastAsia"/>
                <w:b/>
                <w:bCs/>
                <w:highlight w:val="none"/>
              </w:rPr>
              <w:t>序号</w:t>
            </w:r>
          </w:p>
        </w:tc>
        <w:tc>
          <w:tcPr>
            <w:tcW w:w="1797" w:type="dxa"/>
            <w:noWrap w:val="0"/>
            <w:vAlign w:val="center"/>
          </w:tcPr>
          <w:p w14:paraId="5C2EFCAA">
            <w:pPr>
              <w:jc w:val="center"/>
              <w:rPr>
                <w:b/>
                <w:bCs/>
                <w:highlight w:val="none"/>
              </w:rPr>
            </w:pPr>
            <w:r>
              <w:rPr>
                <w:rFonts w:hint="eastAsia"/>
                <w:b/>
                <w:bCs/>
                <w:highlight w:val="none"/>
              </w:rPr>
              <w:t>工作单元名称</w:t>
            </w:r>
          </w:p>
        </w:tc>
        <w:tc>
          <w:tcPr>
            <w:tcW w:w="6439" w:type="dxa"/>
            <w:noWrap w:val="0"/>
            <w:vAlign w:val="center"/>
          </w:tcPr>
          <w:p w14:paraId="771F9012">
            <w:pPr>
              <w:jc w:val="center"/>
              <w:rPr>
                <w:b/>
                <w:bCs/>
                <w:highlight w:val="none"/>
              </w:rPr>
            </w:pPr>
            <w:r>
              <w:rPr>
                <w:rFonts w:hint="eastAsia"/>
                <w:b/>
                <w:bCs/>
                <w:highlight w:val="none"/>
              </w:rPr>
              <w:t>测评指标</w:t>
            </w:r>
          </w:p>
        </w:tc>
      </w:tr>
      <w:tr w14:paraId="2AA5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restart"/>
            <w:noWrap w:val="0"/>
            <w:vAlign w:val="center"/>
          </w:tcPr>
          <w:p w14:paraId="71D04C89">
            <w:pPr>
              <w:jc w:val="center"/>
              <w:rPr>
                <w:rFonts w:hint="eastAsia" w:eastAsia="宋体"/>
                <w:highlight w:val="none"/>
                <w:lang w:val="en-US" w:eastAsia="zh-CN"/>
              </w:rPr>
            </w:pPr>
            <w:r>
              <w:rPr>
                <w:rFonts w:hint="eastAsia"/>
                <w:highlight w:val="none"/>
                <w:lang w:val="en-US" w:eastAsia="zh-CN"/>
              </w:rPr>
              <w:t>1</w:t>
            </w:r>
          </w:p>
        </w:tc>
        <w:tc>
          <w:tcPr>
            <w:tcW w:w="1797" w:type="dxa"/>
            <w:vMerge w:val="restart"/>
            <w:noWrap w:val="0"/>
            <w:vAlign w:val="center"/>
          </w:tcPr>
          <w:p w14:paraId="307A2733">
            <w:pPr>
              <w:jc w:val="center"/>
              <w:rPr>
                <w:highlight w:val="none"/>
              </w:rPr>
            </w:pPr>
            <w:r>
              <w:rPr>
                <w:rFonts w:hint="eastAsia"/>
                <w:highlight w:val="none"/>
              </w:rPr>
              <w:t>边界防护</w:t>
            </w:r>
          </w:p>
        </w:tc>
        <w:tc>
          <w:tcPr>
            <w:tcW w:w="6439" w:type="dxa"/>
            <w:noWrap w:val="0"/>
            <w:vAlign w:val="center"/>
          </w:tcPr>
          <w:p w14:paraId="6557002A">
            <w:pPr>
              <w:rPr>
                <w:highlight w:val="none"/>
              </w:rPr>
            </w:pPr>
            <w:r>
              <w:rPr>
                <w:rFonts w:hint="eastAsia"/>
                <w:highlight w:val="none"/>
              </w:rPr>
              <w:t>a) 应保证跨越边界的访问和数据流通过边界设备提供的受控接口进行通信。</w:t>
            </w:r>
          </w:p>
        </w:tc>
      </w:tr>
      <w:tr w14:paraId="59D2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4B52A0AC">
            <w:pPr>
              <w:jc w:val="center"/>
              <w:rPr>
                <w:highlight w:val="none"/>
              </w:rPr>
            </w:pPr>
          </w:p>
        </w:tc>
        <w:tc>
          <w:tcPr>
            <w:tcW w:w="1797" w:type="dxa"/>
            <w:vMerge w:val="continue"/>
            <w:noWrap w:val="0"/>
            <w:vAlign w:val="center"/>
          </w:tcPr>
          <w:p w14:paraId="615BA739">
            <w:pPr>
              <w:jc w:val="center"/>
              <w:rPr>
                <w:highlight w:val="none"/>
              </w:rPr>
            </w:pPr>
          </w:p>
        </w:tc>
        <w:tc>
          <w:tcPr>
            <w:tcW w:w="6439" w:type="dxa"/>
            <w:noWrap w:val="0"/>
            <w:vAlign w:val="center"/>
          </w:tcPr>
          <w:p w14:paraId="5FA0699F">
            <w:pPr>
              <w:rPr>
                <w:highlight w:val="none"/>
              </w:rPr>
            </w:pPr>
            <w:r>
              <w:rPr>
                <w:rFonts w:hint="eastAsia"/>
                <w:highlight w:val="none"/>
              </w:rPr>
              <w:t>b) 应能够对非授权设备私自联到内部网络的行为进行检查或限制。</w:t>
            </w:r>
          </w:p>
        </w:tc>
      </w:tr>
      <w:tr w14:paraId="264C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863" w:type="dxa"/>
            <w:vMerge w:val="continue"/>
            <w:noWrap w:val="0"/>
            <w:vAlign w:val="center"/>
          </w:tcPr>
          <w:p w14:paraId="081BFA12">
            <w:pPr>
              <w:jc w:val="center"/>
              <w:rPr>
                <w:highlight w:val="none"/>
              </w:rPr>
            </w:pPr>
          </w:p>
        </w:tc>
        <w:tc>
          <w:tcPr>
            <w:tcW w:w="1797" w:type="dxa"/>
            <w:vMerge w:val="continue"/>
            <w:noWrap w:val="0"/>
            <w:vAlign w:val="center"/>
          </w:tcPr>
          <w:p w14:paraId="60A55621">
            <w:pPr>
              <w:jc w:val="center"/>
              <w:rPr>
                <w:highlight w:val="none"/>
              </w:rPr>
            </w:pPr>
          </w:p>
        </w:tc>
        <w:tc>
          <w:tcPr>
            <w:tcW w:w="6439" w:type="dxa"/>
            <w:noWrap w:val="0"/>
            <w:vAlign w:val="center"/>
          </w:tcPr>
          <w:p w14:paraId="3552CC5D">
            <w:pPr>
              <w:rPr>
                <w:highlight w:val="none"/>
              </w:rPr>
            </w:pPr>
            <w:r>
              <w:rPr>
                <w:rFonts w:hint="eastAsia"/>
                <w:highlight w:val="none"/>
              </w:rPr>
              <w:t>c) 应能够对内部用户非授权联到外部网络的行为进行检查或限制。</w:t>
            </w:r>
          </w:p>
        </w:tc>
      </w:tr>
      <w:tr w14:paraId="4388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753ECA02">
            <w:pPr>
              <w:jc w:val="center"/>
              <w:rPr>
                <w:highlight w:val="none"/>
              </w:rPr>
            </w:pPr>
          </w:p>
        </w:tc>
        <w:tc>
          <w:tcPr>
            <w:tcW w:w="1797" w:type="dxa"/>
            <w:vMerge w:val="continue"/>
            <w:noWrap w:val="0"/>
            <w:vAlign w:val="center"/>
          </w:tcPr>
          <w:p w14:paraId="7DB7B450">
            <w:pPr>
              <w:jc w:val="center"/>
              <w:rPr>
                <w:highlight w:val="none"/>
              </w:rPr>
            </w:pPr>
          </w:p>
        </w:tc>
        <w:tc>
          <w:tcPr>
            <w:tcW w:w="6439" w:type="dxa"/>
            <w:noWrap w:val="0"/>
            <w:vAlign w:val="center"/>
          </w:tcPr>
          <w:p w14:paraId="65C91A04">
            <w:pPr>
              <w:rPr>
                <w:highlight w:val="none"/>
              </w:rPr>
            </w:pPr>
            <w:r>
              <w:rPr>
                <w:rFonts w:hint="eastAsia"/>
                <w:highlight w:val="none"/>
              </w:rPr>
              <w:t>d) 应限制无线网络的使用，保证无线网络通过受控的边界设备接入内部网络。</w:t>
            </w:r>
          </w:p>
        </w:tc>
      </w:tr>
      <w:tr w14:paraId="2093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blHeader/>
          <w:jc w:val="center"/>
        </w:trPr>
        <w:tc>
          <w:tcPr>
            <w:tcW w:w="863" w:type="dxa"/>
            <w:vMerge w:val="restart"/>
            <w:noWrap w:val="0"/>
            <w:vAlign w:val="center"/>
          </w:tcPr>
          <w:p w14:paraId="31685703">
            <w:pPr>
              <w:jc w:val="center"/>
              <w:rPr>
                <w:rFonts w:hint="eastAsia" w:eastAsia="宋体"/>
                <w:highlight w:val="none"/>
                <w:lang w:val="en-US" w:eastAsia="zh-CN"/>
              </w:rPr>
            </w:pPr>
            <w:r>
              <w:rPr>
                <w:rFonts w:hint="eastAsia"/>
                <w:highlight w:val="none"/>
                <w:lang w:val="en-US" w:eastAsia="zh-CN"/>
              </w:rPr>
              <w:t>2</w:t>
            </w:r>
          </w:p>
        </w:tc>
        <w:tc>
          <w:tcPr>
            <w:tcW w:w="1797" w:type="dxa"/>
            <w:vMerge w:val="restart"/>
            <w:noWrap w:val="0"/>
            <w:vAlign w:val="center"/>
          </w:tcPr>
          <w:p w14:paraId="4E06DA34">
            <w:pPr>
              <w:jc w:val="center"/>
              <w:rPr>
                <w:highlight w:val="none"/>
              </w:rPr>
            </w:pPr>
            <w:r>
              <w:rPr>
                <w:rFonts w:hint="eastAsia"/>
                <w:highlight w:val="none"/>
              </w:rPr>
              <w:t>访问控制</w:t>
            </w:r>
          </w:p>
        </w:tc>
        <w:tc>
          <w:tcPr>
            <w:tcW w:w="6439" w:type="dxa"/>
            <w:noWrap w:val="0"/>
            <w:vAlign w:val="center"/>
          </w:tcPr>
          <w:p w14:paraId="7289DC34">
            <w:pPr>
              <w:rPr>
                <w:highlight w:val="none"/>
              </w:rPr>
            </w:pPr>
            <w:r>
              <w:rPr>
                <w:rFonts w:hint="eastAsia"/>
                <w:highlight w:val="none"/>
              </w:rPr>
              <w:t>a)应在网络边界或区域之间根据访问控制策略设置访问控制规则，默认情况下除允许通信外受控接口拒绝所有通信。</w:t>
            </w:r>
          </w:p>
        </w:tc>
      </w:tr>
      <w:tr w14:paraId="2E1C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790AAC02">
            <w:pPr>
              <w:jc w:val="center"/>
              <w:rPr>
                <w:highlight w:val="none"/>
              </w:rPr>
            </w:pPr>
          </w:p>
        </w:tc>
        <w:tc>
          <w:tcPr>
            <w:tcW w:w="1797" w:type="dxa"/>
            <w:vMerge w:val="continue"/>
            <w:noWrap w:val="0"/>
            <w:vAlign w:val="center"/>
          </w:tcPr>
          <w:p w14:paraId="6F3B3F60">
            <w:pPr>
              <w:jc w:val="center"/>
              <w:rPr>
                <w:highlight w:val="none"/>
              </w:rPr>
            </w:pPr>
          </w:p>
        </w:tc>
        <w:tc>
          <w:tcPr>
            <w:tcW w:w="6439" w:type="dxa"/>
            <w:noWrap w:val="0"/>
            <w:vAlign w:val="center"/>
          </w:tcPr>
          <w:p w14:paraId="303B2331">
            <w:pPr>
              <w:rPr>
                <w:highlight w:val="none"/>
              </w:rPr>
            </w:pPr>
            <w:r>
              <w:rPr>
                <w:rFonts w:hint="eastAsia"/>
                <w:highlight w:val="none"/>
              </w:rPr>
              <w:t>b)应删除多余或无效的访问控制规则，优化访问控制列表，并保证访问控制规则数量最小化。</w:t>
            </w:r>
          </w:p>
        </w:tc>
      </w:tr>
      <w:tr w14:paraId="2166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2C7C7A35">
            <w:pPr>
              <w:jc w:val="center"/>
              <w:rPr>
                <w:highlight w:val="none"/>
              </w:rPr>
            </w:pPr>
          </w:p>
        </w:tc>
        <w:tc>
          <w:tcPr>
            <w:tcW w:w="1797" w:type="dxa"/>
            <w:vMerge w:val="continue"/>
            <w:noWrap w:val="0"/>
            <w:vAlign w:val="center"/>
          </w:tcPr>
          <w:p w14:paraId="3A023032">
            <w:pPr>
              <w:jc w:val="center"/>
              <w:rPr>
                <w:highlight w:val="none"/>
              </w:rPr>
            </w:pPr>
          </w:p>
        </w:tc>
        <w:tc>
          <w:tcPr>
            <w:tcW w:w="6439" w:type="dxa"/>
            <w:noWrap w:val="0"/>
            <w:vAlign w:val="center"/>
          </w:tcPr>
          <w:p w14:paraId="19BA292D">
            <w:pPr>
              <w:rPr>
                <w:highlight w:val="none"/>
              </w:rPr>
            </w:pPr>
            <w:r>
              <w:rPr>
                <w:rFonts w:hint="eastAsia"/>
                <w:highlight w:val="none"/>
              </w:rPr>
              <w:t>c) 应对源地址、目的地址、源端口、目的端口和协议等进行检查，以允许／拒绝数据包进出。</w:t>
            </w:r>
          </w:p>
        </w:tc>
      </w:tr>
      <w:tr w14:paraId="6F0D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17F228F1">
            <w:pPr>
              <w:jc w:val="center"/>
              <w:rPr>
                <w:highlight w:val="none"/>
              </w:rPr>
            </w:pPr>
          </w:p>
        </w:tc>
        <w:tc>
          <w:tcPr>
            <w:tcW w:w="1797" w:type="dxa"/>
            <w:vMerge w:val="continue"/>
            <w:noWrap w:val="0"/>
            <w:vAlign w:val="center"/>
          </w:tcPr>
          <w:p w14:paraId="6EFCF09A">
            <w:pPr>
              <w:jc w:val="center"/>
              <w:rPr>
                <w:highlight w:val="none"/>
              </w:rPr>
            </w:pPr>
          </w:p>
        </w:tc>
        <w:tc>
          <w:tcPr>
            <w:tcW w:w="6439" w:type="dxa"/>
            <w:noWrap w:val="0"/>
            <w:vAlign w:val="center"/>
          </w:tcPr>
          <w:p w14:paraId="01E3E765">
            <w:pPr>
              <w:rPr>
                <w:highlight w:val="none"/>
              </w:rPr>
            </w:pPr>
            <w:r>
              <w:rPr>
                <w:rFonts w:hint="eastAsia"/>
                <w:highlight w:val="none"/>
              </w:rPr>
              <w:t>d) 应能根据会话状态信息为进出数据流提供明确的允许／拒绝访问的能力。</w:t>
            </w:r>
          </w:p>
        </w:tc>
      </w:tr>
      <w:tr w14:paraId="6142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542DBDC6">
            <w:pPr>
              <w:jc w:val="center"/>
              <w:rPr>
                <w:highlight w:val="none"/>
              </w:rPr>
            </w:pPr>
          </w:p>
        </w:tc>
        <w:tc>
          <w:tcPr>
            <w:tcW w:w="1797" w:type="dxa"/>
            <w:vMerge w:val="continue"/>
            <w:noWrap w:val="0"/>
            <w:vAlign w:val="center"/>
          </w:tcPr>
          <w:p w14:paraId="2550613C">
            <w:pPr>
              <w:jc w:val="center"/>
              <w:rPr>
                <w:highlight w:val="none"/>
              </w:rPr>
            </w:pPr>
          </w:p>
        </w:tc>
        <w:tc>
          <w:tcPr>
            <w:tcW w:w="6439" w:type="dxa"/>
            <w:noWrap w:val="0"/>
            <w:vAlign w:val="center"/>
          </w:tcPr>
          <w:p w14:paraId="703BBC25">
            <w:pPr>
              <w:rPr>
                <w:highlight w:val="none"/>
              </w:rPr>
            </w:pPr>
            <w:r>
              <w:rPr>
                <w:rFonts w:hint="eastAsia"/>
                <w:highlight w:val="none"/>
              </w:rPr>
              <w:t>e) 应对进出网络的数据流实现基于应用协议和应用内容的访问控制。</w:t>
            </w:r>
          </w:p>
        </w:tc>
      </w:tr>
      <w:tr w14:paraId="16CE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restart"/>
            <w:noWrap w:val="0"/>
            <w:vAlign w:val="center"/>
          </w:tcPr>
          <w:p w14:paraId="14C3C6E5">
            <w:pPr>
              <w:jc w:val="center"/>
              <w:rPr>
                <w:rFonts w:hint="eastAsia" w:eastAsia="宋体"/>
                <w:highlight w:val="none"/>
                <w:lang w:val="en-US" w:eastAsia="zh-CN"/>
              </w:rPr>
            </w:pPr>
            <w:r>
              <w:rPr>
                <w:rFonts w:hint="eastAsia"/>
                <w:highlight w:val="none"/>
                <w:lang w:val="en-US" w:eastAsia="zh-CN"/>
              </w:rPr>
              <w:t>3</w:t>
            </w:r>
          </w:p>
        </w:tc>
        <w:tc>
          <w:tcPr>
            <w:tcW w:w="1797" w:type="dxa"/>
            <w:vMerge w:val="restart"/>
            <w:noWrap w:val="0"/>
            <w:vAlign w:val="center"/>
          </w:tcPr>
          <w:p w14:paraId="5C2D5BC8">
            <w:pPr>
              <w:jc w:val="center"/>
              <w:rPr>
                <w:highlight w:val="none"/>
              </w:rPr>
            </w:pPr>
            <w:r>
              <w:rPr>
                <w:rFonts w:hint="eastAsia"/>
                <w:highlight w:val="none"/>
              </w:rPr>
              <w:t>入侵防范</w:t>
            </w:r>
          </w:p>
        </w:tc>
        <w:tc>
          <w:tcPr>
            <w:tcW w:w="6439" w:type="dxa"/>
            <w:noWrap w:val="0"/>
            <w:vAlign w:val="center"/>
          </w:tcPr>
          <w:p w14:paraId="2DEDE018">
            <w:pPr>
              <w:rPr>
                <w:highlight w:val="none"/>
              </w:rPr>
            </w:pPr>
            <w:r>
              <w:rPr>
                <w:rFonts w:hint="eastAsia"/>
                <w:highlight w:val="none"/>
              </w:rPr>
              <w:t>a）应在关键网络节点处检测、防止或限制从外部发起的网络攻击行为。</w:t>
            </w:r>
          </w:p>
        </w:tc>
      </w:tr>
      <w:tr w14:paraId="472D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72459B4A">
            <w:pPr>
              <w:jc w:val="center"/>
              <w:rPr>
                <w:highlight w:val="none"/>
              </w:rPr>
            </w:pPr>
          </w:p>
        </w:tc>
        <w:tc>
          <w:tcPr>
            <w:tcW w:w="1797" w:type="dxa"/>
            <w:vMerge w:val="continue"/>
            <w:noWrap w:val="0"/>
            <w:vAlign w:val="center"/>
          </w:tcPr>
          <w:p w14:paraId="4E76B561">
            <w:pPr>
              <w:jc w:val="center"/>
              <w:rPr>
                <w:highlight w:val="none"/>
              </w:rPr>
            </w:pPr>
          </w:p>
        </w:tc>
        <w:tc>
          <w:tcPr>
            <w:tcW w:w="6439" w:type="dxa"/>
            <w:noWrap w:val="0"/>
            <w:vAlign w:val="center"/>
          </w:tcPr>
          <w:p w14:paraId="463BC71E">
            <w:pPr>
              <w:rPr>
                <w:highlight w:val="none"/>
              </w:rPr>
            </w:pPr>
            <w:r>
              <w:rPr>
                <w:rFonts w:hint="eastAsia"/>
                <w:highlight w:val="none"/>
              </w:rPr>
              <w:t>b）应在关键网络节点处检测、防止或限制从内部发起的网络攻击行为。</w:t>
            </w:r>
          </w:p>
        </w:tc>
      </w:tr>
      <w:tr w14:paraId="5E44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2FD93723">
            <w:pPr>
              <w:jc w:val="center"/>
              <w:rPr>
                <w:highlight w:val="none"/>
              </w:rPr>
            </w:pPr>
          </w:p>
        </w:tc>
        <w:tc>
          <w:tcPr>
            <w:tcW w:w="1797" w:type="dxa"/>
            <w:vMerge w:val="continue"/>
            <w:noWrap w:val="0"/>
            <w:vAlign w:val="center"/>
          </w:tcPr>
          <w:p w14:paraId="55813280">
            <w:pPr>
              <w:jc w:val="center"/>
              <w:rPr>
                <w:highlight w:val="none"/>
              </w:rPr>
            </w:pPr>
          </w:p>
        </w:tc>
        <w:tc>
          <w:tcPr>
            <w:tcW w:w="6439" w:type="dxa"/>
            <w:noWrap w:val="0"/>
            <w:vAlign w:val="center"/>
          </w:tcPr>
          <w:p w14:paraId="7BD4D12E">
            <w:pPr>
              <w:rPr>
                <w:highlight w:val="none"/>
              </w:rPr>
            </w:pPr>
            <w:r>
              <w:rPr>
                <w:rFonts w:hint="eastAsia"/>
                <w:highlight w:val="none"/>
              </w:rPr>
              <w:t>c）应采取技术措施对网络行为进行分析，实现对网络攻击特别是新型网络攻击行为的分析。</w:t>
            </w:r>
          </w:p>
        </w:tc>
      </w:tr>
      <w:tr w14:paraId="1ED1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blHeader/>
          <w:jc w:val="center"/>
        </w:trPr>
        <w:tc>
          <w:tcPr>
            <w:tcW w:w="863" w:type="dxa"/>
            <w:vMerge w:val="continue"/>
            <w:noWrap w:val="0"/>
            <w:vAlign w:val="center"/>
          </w:tcPr>
          <w:p w14:paraId="1B1F1E44">
            <w:pPr>
              <w:jc w:val="center"/>
              <w:rPr>
                <w:highlight w:val="none"/>
              </w:rPr>
            </w:pPr>
          </w:p>
        </w:tc>
        <w:tc>
          <w:tcPr>
            <w:tcW w:w="1797" w:type="dxa"/>
            <w:vMerge w:val="continue"/>
            <w:noWrap w:val="0"/>
            <w:vAlign w:val="center"/>
          </w:tcPr>
          <w:p w14:paraId="2CF58540">
            <w:pPr>
              <w:jc w:val="center"/>
              <w:rPr>
                <w:highlight w:val="none"/>
              </w:rPr>
            </w:pPr>
          </w:p>
        </w:tc>
        <w:tc>
          <w:tcPr>
            <w:tcW w:w="6439" w:type="dxa"/>
            <w:noWrap w:val="0"/>
            <w:vAlign w:val="center"/>
          </w:tcPr>
          <w:p w14:paraId="6E2C1EA3">
            <w:pPr>
              <w:rPr>
                <w:highlight w:val="none"/>
              </w:rPr>
            </w:pPr>
            <w:r>
              <w:rPr>
                <w:rFonts w:hint="eastAsia"/>
                <w:highlight w:val="none"/>
              </w:rPr>
              <w:t>d）当检测到攻击行为时，记录攻击源 IP、攻击类型、攻击目标、攻击时间，在发生严重 入侵事件时应提供报警。</w:t>
            </w:r>
          </w:p>
        </w:tc>
      </w:tr>
      <w:tr w14:paraId="39DB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restart"/>
            <w:noWrap w:val="0"/>
            <w:vAlign w:val="center"/>
          </w:tcPr>
          <w:p w14:paraId="4430C575">
            <w:pPr>
              <w:jc w:val="center"/>
              <w:rPr>
                <w:rFonts w:hint="eastAsia" w:eastAsia="宋体"/>
                <w:highlight w:val="none"/>
                <w:lang w:val="en-US" w:eastAsia="zh-CN"/>
              </w:rPr>
            </w:pPr>
            <w:r>
              <w:rPr>
                <w:rFonts w:hint="eastAsia"/>
                <w:highlight w:val="none"/>
                <w:lang w:val="en-US" w:eastAsia="zh-CN"/>
              </w:rPr>
              <w:t>4</w:t>
            </w:r>
          </w:p>
        </w:tc>
        <w:tc>
          <w:tcPr>
            <w:tcW w:w="1797" w:type="dxa"/>
            <w:vMerge w:val="restart"/>
            <w:noWrap w:val="0"/>
            <w:vAlign w:val="center"/>
          </w:tcPr>
          <w:p w14:paraId="1204A75A">
            <w:pPr>
              <w:jc w:val="center"/>
              <w:rPr>
                <w:highlight w:val="none"/>
              </w:rPr>
            </w:pPr>
            <w:r>
              <w:rPr>
                <w:rFonts w:hint="eastAsia"/>
                <w:highlight w:val="none"/>
              </w:rPr>
              <w:t>恶意代码和垃圾邮件防范</w:t>
            </w:r>
          </w:p>
        </w:tc>
        <w:tc>
          <w:tcPr>
            <w:tcW w:w="6439" w:type="dxa"/>
            <w:noWrap w:val="0"/>
            <w:vAlign w:val="center"/>
          </w:tcPr>
          <w:p w14:paraId="6EB104E1">
            <w:pPr>
              <w:rPr>
                <w:highlight w:val="none"/>
              </w:rPr>
            </w:pPr>
            <w:r>
              <w:rPr>
                <w:rFonts w:hint="eastAsia"/>
                <w:highlight w:val="none"/>
              </w:rPr>
              <w:t>a）应在关键网络节点处对恶意代码进行检测和清除，并维护恶意代码防护机制的升级 和更新。</w:t>
            </w:r>
          </w:p>
        </w:tc>
      </w:tr>
      <w:tr w14:paraId="6FAE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04196860">
            <w:pPr>
              <w:jc w:val="center"/>
              <w:rPr>
                <w:highlight w:val="none"/>
              </w:rPr>
            </w:pPr>
          </w:p>
        </w:tc>
        <w:tc>
          <w:tcPr>
            <w:tcW w:w="1797" w:type="dxa"/>
            <w:vMerge w:val="continue"/>
            <w:noWrap w:val="0"/>
            <w:vAlign w:val="center"/>
          </w:tcPr>
          <w:p w14:paraId="139E7DAD">
            <w:pPr>
              <w:jc w:val="center"/>
              <w:rPr>
                <w:highlight w:val="none"/>
              </w:rPr>
            </w:pPr>
          </w:p>
        </w:tc>
        <w:tc>
          <w:tcPr>
            <w:tcW w:w="6439" w:type="dxa"/>
            <w:noWrap w:val="0"/>
            <w:vAlign w:val="center"/>
          </w:tcPr>
          <w:p w14:paraId="73B1EBDB">
            <w:pPr>
              <w:rPr>
                <w:highlight w:val="none"/>
              </w:rPr>
            </w:pPr>
            <w:r>
              <w:rPr>
                <w:rFonts w:hint="eastAsia"/>
                <w:highlight w:val="none"/>
              </w:rPr>
              <w:t>b）应在关键网络节点处对垃圾邮件进行检测和防护，并维护垃圾邮件防护机制的升级 和更新。</w:t>
            </w:r>
          </w:p>
        </w:tc>
      </w:tr>
      <w:tr w14:paraId="7B0E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blHeader/>
          <w:jc w:val="center"/>
        </w:trPr>
        <w:tc>
          <w:tcPr>
            <w:tcW w:w="863" w:type="dxa"/>
            <w:vMerge w:val="restart"/>
            <w:noWrap w:val="0"/>
            <w:vAlign w:val="center"/>
          </w:tcPr>
          <w:p w14:paraId="57E265AC">
            <w:pPr>
              <w:jc w:val="center"/>
              <w:rPr>
                <w:rFonts w:hint="eastAsia" w:eastAsia="宋体"/>
                <w:highlight w:val="none"/>
                <w:lang w:val="en-US" w:eastAsia="zh-CN"/>
              </w:rPr>
            </w:pPr>
            <w:r>
              <w:rPr>
                <w:rFonts w:hint="eastAsia"/>
                <w:highlight w:val="none"/>
                <w:lang w:val="en-US" w:eastAsia="zh-CN"/>
              </w:rPr>
              <w:t>5</w:t>
            </w:r>
          </w:p>
        </w:tc>
        <w:tc>
          <w:tcPr>
            <w:tcW w:w="1797" w:type="dxa"/>
            <w:vMerge w:val="restart"/>
            <w:noWrap w:val="0"/>
            <w:vAlign w:val="center"/>
          </w:tcPr>
          <w:p w14:paraId="3405E7B4">
            <w:pPr>
              <w:jc w:val="center"/>
              <w:rPr>
                <w:highlight w:val="none"/>
              </w:rPr>
            </w:pPr>
            <w:r>
              <w:rPr>
                <w:rFonts w:hint="eastAsia"/>
                <w:highlight w:val="none"/>
              </w:rPr>
              <w:t>安全审计</w:t>
            </w:r>
          </w:p>
        </w:tc>
        <w:tc>
          <w:tcPr>
            <w:tcW w:w="6439" w:type="dxa"/>
            <w:noWrap w:val="0"/>
            <w:vAlign w:val="center"/>
          </w:tcPr>
          <w:p w14:paraId="24FFE5B1">
            <w:pPr>
              <w:rPr>
                <w:highlight w:val="none"/>
              </w:rPr>
            </w:pPr>
            <w:r>
              <w:rPr>
                <w:rFonts w:hint="eastAsia"/>
                <w:highlight w:val="none"/>
              </w:rPr>
              <w:t>a）应在网络边界、重要网络节点进行安全审计，审计覆盖到每个用户，对重要的用户行 为和重要安全事件进行审计。</w:t>
            </w:r>
          </w:p>
        </w:tc>
      </w:tr>
      <w:tr w14:paraId="6646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02B6EE0C">
            <w:pPr>
              <w:jc w:val="center"/>
              <w:rPr>
                <w:highlight w:val="none"/>
              </w:rPr>
            </w:pPr>
          </w:p>
        </w:tc>
        <w:tc>
          <w:tcPr>
            <w:tcW w:w="1797" w:type="dxa"/>
            <w:vMerge w:val="continue"/>
            <w:noWrap w:val="0"/>
            <w:vAlign w:val="center"/>
          </w:tcPr>
          <w:p w14:paraId="27492EBC">
            <w:pPr>
              <w:jc w:val="center"/>
              <w:rPr>
                <w:highlight w:val="none"/>
              </w:rPr>
            </w:pPr>
          </w:p>
        </w:tc>
        <w:tc>
          <w:tcPr>
            <w:tcW w:w="6439" w:type="dxa"/>
            <w:noWrap w:val="0"/>
            <w:vAlign w:val="center"/>
          </w:tcPr>
          <w:p w14:paraId="16EC153D">
            <w:pPr>
              <w:rPr>
                <w:highlight w:val="none"/>
              </w:rPr>
            </w:pPr>
            <w:r>
              <w:rPr>
                <w:rFonts w:hint="eastAsia"/>
                <w:highlight w:val="none"/>
              </w:rPr>
              <w:t>b）审计记录应包括事件的日期和时间、用户、事件类型、事件是否成功及其他与审计相关的信息。</w:t>
            </w:r>
          </w:p>
        </w:tc>
      </w:tr>
      <w:tr w14:paraId="2360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04F7F327">
            <w:pPr>
              <w:jc w:val="center"/>
              <w:rPr>
                <w:highlight w:val="none"/>
              </w:rPr>
            </w:pPr>
          </w:p>
        </w:tc>
        <w:tc>
          <w:tcPr>
            <w:tcW w:w="1797" w:type="dxa"/>
            <w:vMerge w:val="continue"/>
            <w:noWrap w:val="0"/>
            <w:vAlign w:val="center"/>
          </w:tcPr>
          <w:p w14:paraId="1CB12AD2">
            <w:pPr>
              <w:jc w:val="center"/>
              <w:rPr>
                <w:highlight w:val="none"/>
              </w:rPr>
            </w:pPr>
          </w:p>
        </w:tc>
        <w:tc>
          <w:tcPr>
            <w:tcW w:w="6439" w:type="dxa"/>
            <w:noWrap w:val="0"/>
            <w:vAlign w:val="center"/>
          </w:tcPr>
          <w:p w14:paraId="56C311BE">
            <w:pPr>
              <w:rPr>
                <w:highlight w:val="none"/>
              </w:rPr>
            </w:pPr>
            <w:r>
              <w:rPr>
                <w:rFonts w:hint="eastAsia"/>
                <w:highlight w:val="none"/>
              </w:rPr>
              <w:t>c）应对审计记录进行保护，定期备份，避免受到未预期的删除、修改或覆盖等。</w:t>
            </w:r>
          </w:p>
        </w:tc>
      </w:tr>
      <w:tr w14:paraId="5000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6D18784C">
            <w:pPr>
              <w:jc w:val="center"/>
              <w:rPr>
                <w:highlight w:val="none"/>
              </w:rPr>
            </w:pPr>
          </w:p>
        </w:tc>
        <w:tc>
          <w:tcPr>
            <w:tcW w:w="1797" w:type="dxa"/>
            <w:vMerge w:val="continue"/>
            <w:noWrap w:val="0"/>
            <w:vAlign w:val="center"/>
          </w:tcPr>
          <w:p w14:paraId="22EBAD31">
            <w:pPr>
              <w:jc w:val="center"/>
              <w:rPr>
                <w:highlight w:val="none"/>
              </w:rPr>
            </w:pPr>
          </w:p>
        </w:tc>
        <w:tc>
          <w:tcPr>
            <w:tcW w:w="6439" w:type="dxa"/>
            <w:noWrap w:val="0"/>
            <w:vAlign w:val="center"/>
          </w:tcPr>
          <w:p w14:paraId="7622C953">
            <w:pPr>
              <w:rPr>
                <w:highlight w:val="none"/>
              </w:rPr>
            </w:pPr>
            <w:r>
              <w:rPr>
                <w:rFonts w:hint="eastAsia"/>
                <w:highlight w:val="none"/>
              </w:rPr>
              <w:t>d）应能对远程访问的用户行为、访问物联网的用户行为等单独进行行为审计和数据分析</w:t>
            </w:r>
          </w:p>
        </w:tc>
      </w:tr>
      <w:tr w14:paraId="41DC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blHeader/>
          <w:jc w:val="center"/>
        </w:trPr>
        <w:tc>
          <w:tcPr>
            <w:tcW w:w="863" w:type="dxa"/>
            <w:noWrap w:val="0"/>
            <w:vAlign w:val="center"/>
          </w:tcPr>
          <w:p w14:paraId="4CDCF9AC">
            <w:pPr>
              <w:jc w:val="center"/>
              <w:rPr>
                <w:rFonts w:hint="eastAsia" w:eastAsia="宋体"/>
                <w:highlight w:val="none"/>
                <w:lang w:val="en-US" w:eastAsia="zh-CN"/>
              </w:rPr>
            </w:pPr>
            <w:r>
              <w:rPr>
                <w:rFonts w:hint="eastAsia"/>
                <w:highlight w:val="none"/>
                <w:lang w:val="en-US" w:eastAsia="zh-CN"/>
              </w:rPr>
              <w:t>6</w:t>
            </w:r>
          </w:p>
        </w:tc>
        <w:tc>
          <w:tcPr>
            <w:tcW w:w="1797" w:type="dxa"/>
            <w:noWrap w:val="0"/>
            <w:vAlign w:val="center"/>
          </w:tcPr>
          <w:p w14:paraId="634DB22D">
            <w:pPr>
              <w:jc w:val="center"/>
              <w:rPr>
                <w:highlight w:val="none"/>
              </w:rPr>
            </w:pPr>
            <w:r>
              <w:rPr>
                <w:rFonts w:hint="eastAsia"/>
                <w:highlight w:val="none"/>
              </w:rPr>
              <w:t>可信验证</w:t>
            </w:r>
          </w:p>
        </w:tc>
        <w:tc>
          <w:tcPr>
            <w:tcW w:w="6439" w:type="dxa"/>
            <w:noWrap w:val="0"/>
            <w:vAlign w:val="center"/>
          </w:tcPr>
          <w:p w14:paraId="796F89D4">
            <w:pPr>
              <w:rPr>
                <w:highlight w:val="none"/>
              </w:rPr>
            </w:pPr>
            <w:r>
              <w:rPr>
                <w:rFonts w:hint="eastAsia"/>
                <w:highlight w:val="none"/>
              </w:rPr>
              <w:t xml:space="preserve">可信验证 可基于可信针对边界设备的系统引导程序、系统程序、重要配置参数和边界防护应用程序进行可信验证，并在应用程序的关键执行环节进行动态可信验证，在检测到其可信性受到破坏后进行报警，并将其验证结果形成审计记录并送至安全管理中心。 </w:t>
            </w:r>
          </w:p>
        </w:tc>
      </w:tr>
    </w:tbl>
    <w:p w14:paraId="0419A33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4.安全计算环境</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801"/>
        <w:gridCol w:w="6453"/>
      </w:tblGrid>
      <w:tr w14:paraId="3314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865" w:type="dxa"/>
            <w:noWrap w:val="0"/>
            <w:vAlign w:val="center"/>
          </w:tcPr>
          <w:p w14:paraId="34BF7D05">
            <w:pPr>
              <w:jc w:val="center"/>
              <w:rPr>
                <w:b/>
                <w:bCs/>
                <w:highlight w:val="none"/>
              </w:rPr>
            </w:pPr>
            <w:r>
              <w:rPr>
                <w:rFonts w:hint="eastAsia"/>
                <w:b/>
                <w:bCs/>
                <w:highlight w:val="none"/>
              </w:rPr>
              <w:t>序号</w:t>
            </w:r>
          </w:p>
        </w:tc>
        <w:tc>
          <w:tcPr>
            <w:tcW w:w="1801" w:type="dxa"/>
            <w:noWrap w:val="0"/>
            <w:vAlign w:val="center"/>
          </w:tcPr>
          <w:p w14:paraId="1D035813">
            <w:pPr>
              <w:jc w:val="center"/>
              <w:rPr>
                <w:b/>
                <w:bCs/>
                <w:highlight w:val="none"/>
              </w:rPr>
            </w:pPr>
            <w:r>
              <w:rPr>
                <w:rFonts w:hint="eastAsia"/>
                <w:b/>
                <w:bCs/>
                <w:highlight w:val="none"/>
              </w:rPr>
              <w:t>工作单元名称</w:t>
            </w:r>
          </w:p>
        </w:tc>
        <w:tc>
          <w:tcPr>
            <w:tcW w:w="6453" w:type="dxa"/>
            <w:noWrap w:val="0"/>
            <w:vAlign w:val="center"/>
          </w:tcPr>
          <w:p w14:paraId="5F59809C">
            <w:pPr>
              <w:jc w:val="center"/>
              <w:rPr>
                <w:b/>
                <w:bCs/>
                <w:highlight w:val="none"/>
              </w:rPr>
            </w:pPr>
            <w:r>
              <w:rPr>
                <w:rFonts w:hint="eastAsia"/>
                <w:b/>
                <w:bCs/>
                <w:highlight w:val="none"/>
              </w:rPr>
              <w:t>测评指标</w:t>
            </w:r>
          </w:p>
        </w:tc>
      </w:tr>
      <w:tr w14:paraId="43C7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jc w:val="center"/>
        </w:trPr>
        <w:tc>
          <w:tcPr>
            <w:tcW w:w="865" w:type="dxa"/>
            <w:vMerge w:val="restart"/>
            <w:noWrap w:val="0"/>
            <w:vAlign w:val="center"/>
          </w:tcPr>
          <w:p w14:paraId="09BDD107">
            <w:pPr>
              <w:jc w:val="center"/>
              <w:rPr>
                <w:rFonts w:hint="eastAsia" w:eastAsia="宋体"/>
                <w:highlight w:val="none"/>
                <w:lang w:val="en-US" w:eastAsia="zh-CN"/>
              </w:rPr>
            </w:pPr>
            <w:r>
              <w:rPr>
                <w:rFonts w:hint="eastAsia"/>
                <w:highlight w:val="none"/>
                <w:lang w:val="en-US" w:eastAsia="zh-CN"/>
              </w:rPr>
              <w:t>1</w:t>
            </w:r>
          </w:p>
        </w:tc>
        <w:tc>
          <w:tcPr>
            <w:tcW w:w="1801" w:type="dxa"/>
            <w:vMerge w:val="restart"/>
            <w:noWrap w:val="0"/>
            <w:vAlign w:val="center"/>
          </w:tcPr>
          <w:p w14:paraId="006BCAC5">
            <w:pPr>
              <w:jc w:val="center"/>
              <w:rPr>
                <w:highlight w:val="none"/>
              </w:rPr>
            </w:pPr>
            <w:r>
              <w:rPr>
                <w:rFonts w:hint="eastAsia"/>
                <w:highlight w:val="none"/>
              </w:rPr>
              <w:t>身份鉴别</w:t>
            </w:r>
          </w:p>
        </w:tc>
        <w:tc>
          <w:tcPr>
            <w:tcW w:w="6453" w:type="dxa"/>
            <w:noWrap w:val="0"/>
            <w:vAlign w:val="center"/>
          </w:tcPr>
          <w:p w14:paraId="22AAE44A">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a)应对登录的用户进行身份标识和鉴别，身份标识具有唯一性，身份鉴别信息具有复杂度要求并定期更换。</w:t>
            </w:r>
          </w:p>
        </w:tc>
      </w:tr>
      <w:tr w14:paraId="59E3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865" w:type="dxa"/>
            <w:vMerge w:val="continue"/>
            <w:noWrap w:val="0"/>
            <w:vAlign w:val="center"/>
          </w:tcPr>
          <w:p w14:paraId="2D6D85D1">
            <w:pPr>
              <w:jc w:val="center"/>
              <w:rPr>
                <w:highlight w:val="none"/>
              </w:rPr>
            </w:pPr>
          </w:p>
        </w:tc>
        <w:tc>
          <w:tcPr>
            <w:tcW w:w="1801" w:type="dxa"/>
            <w:vMerge w:val="continue"/>
            <w:noWrap w:val="0"/>
            <w:vAlign w:val="center"/>
          </w:tcPr>
          <w:p w14:paraId="5E29CF58">
            <w:pPr>
              <w:jc w:val="center"/>
              <w:rPr>
                <w:highlight w:val="none"/>
              </w:rPr>
            </w:pPr>
          </w:p>
        </w:tc>
        <w:tc>
          <w:tcPr>
            <w:tcW w:w="6453" w:type="dxa"/>
            <w:noWrap w:val="0"/>
            <w:vAlign w:val="center"/>
          </w:tcPr>
          <w:p w14:paraId="5CC4EDF2">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b)应具有登录失败处理功能，应配置并启用结束会话、限制非法登录次数和当登录连接超时自动退出等相关措施。</w:t>
            </w:r>
          </w:p>
        </w:tc>
      </w:tr>
      <w:tr w14:paraId="2636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blHeader/>
          <w:jc w:val="center"/>
        </w:trPr>
        <w:tc>
          <w:tcPr>
            <w:tcW w:w="865" w:type="dxa"/>
            <w:vMerge w:val="continue"/>
            <w:noWrap w:val="0"/>
            <w:vAlign w:val="center"/>
          </w:tcPr>
          <w:p w14:paraId="7FF0054A">
            <w:pPr>
              <w:jc w:val="center"/>
              <w:rPr>
                <w:highlight w:val="none"/>
              </w:rPr>
            </w:pPr>
          </w:p>
        </w:tc>
        <w:tc>
          <w:tcPr>
            <w:tcW w:w="1801" w:type="dxa"/>
            <w:vMerge w:val="continue"/>
            <w:noWrap w:val="0"/>
            <w:vAlign w:val="center"/>
          </w:tcPr>
          <w:p w14:paraId="65745BB8">
            <w:pPr>
              <w:jc w:val="center"/>
              <w:rPr>
                <w:highlight w:val="none"/>
              </w:rPr>
            </w:pPr>
          </w:p>
        </w:tc>
        <w:tc>
          <w:tcPr>
            <w:tcW w:w="6453" w:type="dxa"/>
            <w:noWrap w:val="0"/>
            <w:vAlign w:val="center"/>
          </w:tcPr>
          <w:p w14:paraId="05EE7B08">
            <w:pPr>
              <w:rPr>
                <w:rFonts w:hint="eastAsia" w:ascii="Times New Roman" w:hAnsi="Times New Roman" w:eastAsia="宋体" w:cs="Times New Roman"/>
                <w:highlight w:val="none"/>
              </w:rPr>
            </w:pPr>
            <w:r>
              <w:rPr>
                <w:rFonts w:hint="eastAsia" w:ascii="Times New Roman" w:hAnsi="Times New Roman" w:eastAsia="宋体" w:cs="Times New Roman"/>
                <w:highlight w:val="none"/>
              </w:rPr>
              <w:t>c)当进行远程管理时，应采取必要措施防止鉴别信息在网络传输过程中被窃听。</w:t>
            </w:r>
          </w:p>
        </w:tc>
      </w:tr>
      <w:tr w14:paraId="488A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865" w:type="dxa"/>
            <w:vMerge w:val="continue"/>
            <w:noWrap w:val="0"/>
            <w:vAlign w:val="center"/>
          </w:tcPr>
          <w:p w14:paraId="49A25917">
            <w:pPr>
              <w:jc w:val="center"/>
              <w:rPr>
                <w:highlight w:val="none"/>
              </w:rPr>
            </w:pPr>
          </w:p>
        </w:tc>
        <w:tc>
          <w:tcPr>
            <w:tcW w:w="1801" w:type="dxa"/>
            <w:vMerge w:val="continue"/>
            <w:noWrap w:val="0"/>
            <w:vAlign w:val="center"/>
          </w:tcPr>
          <w:p w14:paraId="64247E81">
            <w:pPr>
              <w:jc w:val="center"/>
              <w:rPr>
                <w:highlight w:val="none"/>
              </w:rPr>
            </w:pPr>
          </w:p>
        </w:tc>
        <w:tc>
          <w:tcPr>
            <w:tcW w:w="6453" w:type="dxa"/>
            <w:noWrap w:val="0"/>
            <w:vAlign w:val="center"/>
          </w:tcPr>
          <w:p w14:paraId="68491096">
            <w:pPr>
              <w:rPr>
                <w:rFonts w:hint="eastAsia" w:ascii="Times New Roman" w:hAnsi="Times New Roman" w:eastAsia="宋体" w:cs="Times New Roman"/>
                <w:highlight w:val="none"/>
              </w:rPr>
            </w:pPr>
            <w:r>
              <w:rPr>
                <w:rFonts w:hint="eastAsia" w:ascii="Times New Roman" w:hAnsi="Times New Roman" w:eastAsia="宋体" w:cs="Times New Roman"/>
                <w:highlight w:val="none"/>
              </w:rPr>
              <w:t>d)应采用口令、密码技术、生物技术等两种或两种以上组合术来实现。</w:t>
            </w:r>
          </w:p>
        </w:tc>
      </w:tr>
      <w:tr w14:paraId="138A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865" w:type="dxa"/>
            <w:vMerge w:val="restart"/>
            <w:noWrap w:val="0"/>
            <w:vAlign w:val="center"/>
          </w:tcPr>
          <w:p w14:paraId="1D54F022">
            <w:pPr>
              <w:jc w:val="center"/>
              <w:rPr>
                <w:rFonts w:hint="eastAsia" w:eastAsia="宋体"/>
                <w:highlight w:val="none"/>
                <w:lang w:val="en-US" w:eastAsia="zh-CN"/>
              </w:rPr>
            </w:pPr>
            <w:r>
              <w:rPr>
                <w:rFonts w:hint="eastAsia"/>
                <w:highlight w:val="none"/>
                <w:lang w:val="en-US" w:eastAsia="zh-CN"/>
              </w:rPr>
              <w:t>2</w:t>
            </w:r>
          </w:p>
        </w:tc>
        <w:tc>
          <w:tcPr>
            <w:tcW w:w="1801" w:type="dxa"/>
            <w:vMerge w:val="restart"/>
            <w:noWrap w:val="0"/>
            <w:vAlign w:val="center"/>
          </w:tcPr>
          <w:p w14:paraId="6E879AAD">
            <w:pPr>
              <w:jc w:val="center"/>
              <w:rPr>
                <w:highlight w:val="none"/>
              </w:rPr>
            </w:pPr>
            <w:r>
              <w:rPr>
                <w:rFonts w:hint="eastAsia"/>
                <w:highlight w:val="none"/>
              </w:rPr>
              <w:t>访问控制</w:t>
            </w:r>
          </w:p>
        </w:tc>
        <w:tc>
          <w:tcPr>
            <w:tcW w:w="6453" w:type="dxa"/>
            <w:noWrap w:val="0"/>
            <w:vAlign w:val="center"/>
          </w:tcPr>
          <w:p w14:paraId="1496F0E7">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a)应对登陆的用户分配账户和权限</w:t>
            </w:r>
          </w:p>
        </w:tc>
      </w:tr>
      <w:tr w14:paraId="0529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865" w:type="dxa"/>
            <w:vMerge w:val="continue"/>
            <w:noWrap w:val="0"/>
            <w:vAlign w:val="center"/>
          </w:tcPr>
          <w:p w14:paraId="242D504A">
            <w:pPr>
              <w:jc w:val="center"/>
              <w:rPr>
                <w:highlight w:val="none"/>
              </w:rPr>
            </w:pPr>
          </w:p>
        </w:tc>
        <w:tc>
          <w:tcPr>
            <w:tcW w:w="1801" w:type="dxa"/>
            <w:vMerge w:val="continue"/>
            <w:noWrap w:val="0"/>
            <w:vAlign w:val="center"/>
          </w:tcPr>
          <w:p w14:paraId="7ED4C9C1">
            <w:pPr>
              <w:jc w:val="center"/>
              <w:rPr>
                <w:highlight w:val="none"/>
              </w:rPr>
            </w:pPr>
          </w:p>
        </w:tc>
        <w:tc>
          <w:tcPr>
            <w:tcW w:w="6453" w:type="dxa"/>
            <w:noWrap w:val="0"/>
            <w:vAlign w:val="center"/>
          </w:tcPr>
          <w:p w14:paraId="07AF56FB">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b)应重命名或删除默认账户，修改默认账户的默认口令。</w:t>
            </w:r>
          </w:p>
        </w:tc>
      </w:tr>
      <w:tr w14:paraId="194B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865" w:type="dxa"/>
            <w:vMerge w:val="continue"/>
            <w:noWrap w:val="0"/>
            <w:vAlign w:val="center"/>
          </w:tcPr>
          <w:p w14:paraId="35D1BF55">
            <w:pPr>
              <w:jc w:val="center"/>
              <w:rPr>
                <w:highlight w:val="none"/>
              </w:rPr>
            </w:pPr>
          </w:p>
        </w:tc>
        <w:tc>
          <w:tcPr>
            <w:tcW w:w="1801" w:type="dxa"/>
            <w:vMerge w:val="continue"/>
            <w:noWrap w:val="0"/>
            <w:vAlign w:val="center"/>
          </w:tcPr>
          <w:p w14:paraId="3EDFC686">
            <w:pPr>
              <w:jc w:val="center"/>
              <w:rPr>
                <w:highlight w:val="none"/>
              </w:rPr>
            </w:pPr>
          </w:p>
        </w:tc>
        <w:tc>
          <w:tcPr>
            <w:tcW w:w="6453" w:type="dxa"/>
            <w:noWrap w:val="0"/>
            <w:vAlign w:val="center"/>
          </w:tcPr>
          <w:p w14:paraId="5C23F52C">
            <w:pPr>
              <w:rPr>
                <w:rFonts w:hint="eastAsia" w:ascii="Times New Roman" w:hAnsi="Times New Roman" w:eastAsia="宋体" w:cs="Times New Roman"/>
                <w:highlight w:val="none"/>
              </w:rPr>
            </w:pPr>
            <w:r>
              <w:rPr>
                <w:rFonts w:hint="eastAsia" w:ascii="Times New Roman" w:hAnsi="Times New Roman" w:eastAsia="宋体" w:cs="Times New Roman"/>
                <w:highlight w:val="none"/>
              </w:rPr>
              <w:t>c)应及时删除或停用多余的、过期的账户，避免共享账户的存在。</w:t>
            </w:r>
          </w:p>
        </w:tc>
      </w:tr>
      <w:tr w14:paraId="4B59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jc w:val="center"/>
        </w:trPr>
        <w:tc>
          <w:tcPr>
            <w:tcW w:w="865" w:type="dxa"/>
            <w:vMerge w:val="continue"/>
            <w:noWrap w:val="0"/>
            <w:vAlign w:val="center"/>
          </w:tcPr>
          <w:p w14:paraId="6F220FFD">
            <w:pPr>
              <w:jc w:val="center"/>
              <w:rPr>
                <w:highlight w:val="none"/>
              </w:rPr>
            </w:pPr>
          </w:p>
        </w:tc>
        <w:tc>
          <w:tcPr>
            <w:tcW w:w="1801" w:type="dxa"/>
            <w:vMerge w:val="continue"/>
            <w:noWrap w:val="0"/>
            <w:vAlign w:val="center"/>
          </w:tcPr>
          <w:p w14:paraId="68D2337D">
            <w:pPr>
              <w:jc w:val="center"/>
              <w:rPr>
                <w:highlight w:val="none"/>
              </w:rPr>
            </w:pPr>
          </w:p>
        </w:tc>
        <w:tc>
          <w:tcPr>
            <w:tcW w:w="6453" w:type="dxa"/>
            <w:noWrap w:val="0"/>
            <w:vAlign w:val="center"/>
          </w:tcPr>
          <w:p w14:paraId="0632B665">
            <w:pPr>
              <w:rPr>
                <w:rFonts w:hint="eastAsia" w:ascii="Times New Roman" w:hAnsi="Times New Roman" w:eastAsia="宋体" w:cs="Times New Roman"/>
                <w:highlight w:val="none"/>
              </w:rPr>
            </w:pPr>
            <w:r>
              <w:rPr>
                <w:rFonts w:hint="eastAsia" w:ascii="Times New Roman" w:hAnsi="Times New Roman" w:eastAsia="宋体" w:cs="Times New Roman"/>
                <w:highlight w:val="none"/>
              </w:rPr>
              <w:t>d)应授予管理用户所需的最小权限，实现管理用户的权限分离。</w:t>
            </w:r>
          </w:p>
        </w:tc>
      </w:tr>
      <w:tr w14:paraId="4510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jc w:val="center"/>
        </w:trPr>
        <w:tc>
          <w:tcPr>
            <w:tcW w:w="865" w:type="dxa"/>
            <w:vMerge w:val="continue"/>
            <w:noWrap w:val="0"/>
            <w:vAlign w:val="center"/>
          </w:tcPr>
          <w:p w14:paraId="70C91E99">
            <w:pPr>
              <w:jc w:val="center"/>
              <w:rPr>
                <w:highlight w:val="none"/>
              </w:rPr>
            </w:pPr>
          </w:p>
        </w:tc>
        <w:tc>
          <w:tcPr>
            <w:tcW w:w="1801" w:type="dxa"/>
            <w:vMerge w:val="continue"/>
            <w:noWrap w:val="0"/>
            <w:vAlign w:val="center"/>
          </w:tcPr>
          <w:p w14:paraId="77ECB651">
            <w:pPr>
              <w:jc w:val="center"/>
              <w:rPr>
                <w:highlight w:val="none"/>
              </w:rPr>
            </w:pPr>
          </w:p>
        </w:tc>
        <w:tc>
          <w:tcPr>
            <w:tcW w:w="6453" w:type="dxa"/>
            <w:noWrap w:val="0"/>
            <w:vAlign w:val="center"/>
          </w:tcPr>
          <w:p w14:paraId="359AF8CF">
            <w:pPr>
              <w:rPr>
                <w:rFonts w:hint="eastAsia" w:ascii="Times New Roman" w:hAnsi="Times New Roman" w:eastAsia="宋体" w:cs="Times New Roman"/>
                <w:highlight w:val="none"/>
              </w:rPr>
            </w:pPr>
            <w:r>
              <w:rPr>
                <w:rFonts w:hint="eastAsia" w:ascii="Times New Roman" w:hAnsi="Times New Roman" w:eastAsia="宋体" w:cs="Times New Roman"/>
                <w:highlight w:val="none"/>
              </w:rPr>
              <w:t>e)应由授权主体配置访问控制策略，访问控制策略规定主体对客体的访问规则</w:t>
            </w:r>
          </w:p>
        </w:tc>
      </w:tr>
      <w:tr w14:paraId="13F1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jc w:val="center"/>
        </w:trPr>
        <w:tc>
          <w:tcPr>
            <w:tcW w:w="865" w:type="dxa"/>
            <w:vMerge w:val="continue"/>
            <w:noWrap w:val="0"/>
            <w:vAlign w:val="center"/>
          </w:tcPr>
          <w:p w14:paraId="64CF8685">
            <w:pPr>
              <w:jc w:val="center"/>
              <w:rPr>
                <w:highlight w:val="none"/>
              </w:rPr>
            </w:pPr>
          </w:p>
        </w:tc>
        <w:tc>
          <w:tcPr>
            <w:tcW w:w="1801" w:type="dxa"/>
            <w:vMerge w:val="continue"/>
            <w:noWrap w:val="0"/>
            <w:vAlign w:val="center"/>
          </w:tcPr>
          <w:p w14:paraId="40678232">
            <w:pPr>
              <w:jc w:val="center"/>
              <w:rPr>
                <w:highlight w:val="none"/>
              </w:rPr>
            </w:pPr>
          </w:p>
        </w:tc>
        <w:tc>
          <w:tcPr>
            <w:tcW w:w="6453" w:type="dxa"/>
            <w:noWrap w:val="0"/>
            <w:vAlign w:val="center"/>
          </w:tcPr>
          <w:p w14:paraId="4941D3C0">
            <w:pPr>
              <w:rPr>
                <w:rFonts w:hint="eastAsia" w:ascii="Times New Roman" w:hAnsi="Times New Roman" w:eastAsia="宋体" w:cs="Times New Roman"/>
                <w:highlight w:val="none"/>
              </w:rPr>
            </w:pPr>
            <w:r>
              <w:rPr>
                <w:rFonts w:hint="eastAsia" w:ascii="Times New Roman" w:hAnsi="Times New Roman" w:eastAsia="宋体" w:cs="Times New Roman"/>
                <w:highlight w:val="none"/>
              </w:rPr>
              <w:t>f)访问控制的粒度应达到主体为用户级或进程级，客体为文件、数据库表级。</w:t>
            </w:r>
          </w:p>
        </w:tc>
      </w:tr>
      <w:tr w14:paraId="2E1F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blHeader/>
          <w:jc w:val="center"/>
        </w:trPr>
        <w:tc>
          <w:tcPr>
            <w:tcW w:w="865" w:type="dxa"/>
            <w:vMerge w:val="continue"/>
            <w:noWrap w:val="0"/>
            <w:vAlign w:val="center"/>
          </w:tcPr>
          <w:p w14:paraId="784E2BED">
            <w:pPr>
              <w:jc w:val="center"/>
              <w:rPr>
                <w:highlight w:val="none"/>
              </w:rPr>
            </w:pPr>
          </w:p>
        </w:tc>
        <w:tc>
          <w:tcPr>
            <w:tcW w:w="1801" w:type="dxa"/>
            <w:vMerge w:val="continue"/>
            <w:noWrap w:val="0"/>
            <w:vAlign w:val="center"/>
          </w:tcPr>
          <w:p w14:paraId="1DB8BF0A">
            <w:pPr>
              <w:jc w:val="center"/>
              <w:rPr>
                <w:highlight w:val="none"/>
              </w:rPr>
            </w:pPr>
          </w:p>
        </w:tc>
        <w:tc>
          <w:tcPr>
            <w:tcW w:w="6453" w:type="dxa"/>
            <w:noWrap w:val="0"/>
            <w:vAlign w:val="center"/>
          </w:tcPr>
          <w:p w14:paraId="18C94DDD">
            <w:pPr>
              <w:rPr>
                <w:rFonts w:hint="eastAsia" w:ascii="Times New Roman" w:hAnsi="Times New Roman" w:eastAsia="宋体" w:cs="Times New Roman"/>
                <w:highlight w:val="none"/>
              </w:rPr>
            </w:pPr>
            <w:r>
              <w:rPr>
                <w:rFonts w:hint="eastAsia" w:ascii="Times New Roman" w:hAnsi="Times New Roman" w:eastAsia="宋体" w:cs="Times New Roman"/>
                <w:highlight w:val="none"/>
              </w:rPr>
              <w:t>g)应对重要主体和客体设置安全标记，并控制主体对有安全标记信息资源的访问。</w:t>
            </w:r>
          </w:p>
        </w:tc>
      </w:tr>
      <w:tr w14:paraId="4BC8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blHeader/>
          <w:jc w:val="center"/>
        </w:trPr>
        <w:tc>
          <w:tcPr>
            <w:tcW w:w="865" w:type="dxa"/>
            <w:vMerge w:val="restart"/>
            <w:noWrap w:val="0"/>
            <w:vAlign w:val="center"/>
          </w:tcPr>
          <w:p w14:paraId="1CFB6EA0">
            <w:pPr>
              <w:jc w:val="center"/>
              <w:rPr>
                <w:rFonts w:hint="eastAsia" w:eastAsia="宋体"/>
                <w:highlight w:val="none"/>
                <w:lang w:val="en-US" w:eastAsia="zh-CN"/>
              </w:rPr>
            </w:pPr>
            <w:r>
              <w:rPr>
                <w:rFonts w:hint="eastAsia"/>
                <w:highlight w:val="none"/>
                <w:lang w:val="en-US" w:eastAsia="zh-CN"/>
              </w:rPr>
              <w:t>3</w:t>
            </w:r>
          </w:p>
        </w:tc>
        <w:tc>
          <w:tcPr>
            <w:tcW w:w="1801" w:type="dxa"/>
            <w:vMerge w:val="restart"/>
            <w:noWrap w:val="0"/>
            <w:vAlign w:val="center"/>
          </w:tcPr>
          <w:p w14:paraId="317DF86A">
            <w:pPr>
              <w:jc w:val="center"/>
              <w:rPr>
                <w:highlight w:val="none"/>
              </w:rPr>
            </w:pPr>
            <w:r>
              <w:rPr>
                <w:rFonts w:hint="eastAsia"/>
                <w:highlight w:val="none"/>
              </w:rPr>
              <w:t>安全审计</w:t>
            </w:r>
          </w:p>
        </w:tc>
        <w:tc>
          <w:tcPr>
            <w:tcW w:w="6453" w:type="dxa"/>
            <w:noWrap w:val="0"/>
            <w:vAlign w:val="center"/>
          </w:tcPr>
          <w:p w14:paraId="03027C7D">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a)应启用安全审计功能，审计覆盖到每个用户，对重要的用户行为和重要安全事件进行审计。</w:t>
            </w:r>
          </w:p>
        </w:tc>
      </w:tr>
      <w:tr w14:paraId="34DB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blHeader/>
          <w:jc w:val="center"/>
        </w:trPr>
        <w:tc>
          <w:tcPr>
            <w:tcW w:w="865" w:type="dxa"/>
            <w:vMerge w:val="continue"/>
            <w:noWrap w:val="0"/>
            <w:vAlign w:val="center"/>
          </w:tcPr>
          <w:p w14:paraId="22BE4B29">
            <w:pPr>
              <w:jc w:val="center"/>
              <w:rPr>
                <w:highlight w:val="none"/>
              </w:rPr>
            </w:pPr>
          </w:p>
        </w:tc>
        <w:tc>
          <w:tcPr>
            <w:tcW w:w="1801" w:type="dxa"/>
            <w:vMerge w:val="continue"/>
            <w:noWrap w:val="0"/>
            <w:vAlign w:val="center"/>
          </w:tcPr>
          <w:p w14:paraId="225CC8E5">
            <w:pPr>
              <w:jc w:val="center"/>
              <w:rPr>
                <w:highlight w:val="none"/>
              </w:rPr>
            </w:pPr>
          </w:p>
        </w:tc>
        <w:tc>
          <w:tcPr>
            <w:tcW w:w="6453" w:type="dxa"/>
            <w:noWrap w:val="0"/>
            <w:vAlign w:val="center"/>
          </w:tcPr>
          <w:p w14:paraId="2156141D">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b)审计记录应包括事件的日期和时间、用户、事件类型、事件是否成功及其他与审计相关的信息。</w:t>
            </w:r>
          </w:p>
        </w:tc>
      </w:tr>
      <w:tr w14:paraId="01CD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865" w:type="dxa"/>
            <w:vMerge w:val="continue"/>
            <w:noWrap w:val="0"/>
            <w:vAlign w:val="center"/>
          </w:tcPr>
          <w:p w14:paraId="0E122A3F">
            <w:pPr>
              <w:jc w:val="center"/>
              <w:rPr>
                <w:highlight w:val="none"/>
              </w:rPr>
            </w:pPr>
          </w:p>
        </w:tc>
        <w:tc>
          <w:tcPr>
            <w:tcW w:w="1801" w:type="dxa"/>
            <w:vMerge w:val="continue"/>
            <w:noWrap w:val="0"/>
            <w:vAlign w:val="center"/>
          </w:tcPr>
          <w:p w14:paraId="35AC4E07">
            <w:pPr>
              <w:jc w:val="center"/>
              <w:rPr>
                <w:highlight w:val="none"/>
              </w:rPr>
            </w:pPr>
          </w:p>
        </w:tc>
        <w:tc>
          <w:tcPr>
            <w:tcW w:w="6453" w:type="dxa"/>
            <w:noWrap w:val="0"/>
            <w:vAlign w:val="center"/>
          </w:tcPr>
          <w:p w14:paraId="64E4E447">
            <w:pPr>
              <w:rPr>
                <w:rFonts w:hint="eastAsia" w:ascii="Times New Roman" w:hAnsi="Times New Roman" w:eastAsia="宋体" w:cs="Times New Roman"/>
                <w:highlight w:val="none"/>
              </w:rPr>
            </w:pPr>
            <w:r>
              <w:rPr>
                <w:rFonts w:hint="eastAsia" w:ascii="Times New Roman" w:hAnsi="Times New Roman" w:eastAsia="宋体" w:cs="Times New Roman"/>
                <w:highlight w:val="none"/>
              </w:rPr>
              <w:t>c)应对设计记录进行保护，定期备份，避免受到未预期的删除、修改或覆盖等；</w:t>
            </w:r>
          </w:p>
        </w:tc>
      </w:tr>
      <w:tr w14:paraId="3C94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jc w:val="center"/>
        </w:trPr>
        <w:tc>
          <w:tcPr>
            <w:tcW w:w="865" w:type="dxa"/>
            <w:vMerge w:val="continue"/>
            <w:noWrap w:val="0"/>
            <w:vAlign w:val="center"/>
          </w:tcPr>
          <w:p w14:paraId="2186086E">
            <w:pPr>
              <w:jc w:val="center"/>
              <w:rPr>
                <w:highlight w:val="none"/>
              </w:rPr>
            </w:pPr>
          </w:p>
        </w:tc>
        <w:tc>
          <w:tcPr>
            <w:tcW w:w="1801" w:type="dxa"/>
            <w:vMerge w:val="continue"/>
            <w:noWrap w:val="0"/>
            <w:vAlign w:val="center"/>
          </w:tcPr>
          <w:p w14:paraId="0590BD88">
            <w:pPr>
              <w:jc w:val="center"/>
              <w:rPr>
                <w:highlight w:val="none"/>
              </w:rPr>
            </w:pPr>
          </w:p>
        </w:tc>
        <w:tc>
          <w:tcPr>
            <w:tcW w:w="6453" w:type="dxa"/>
            <w:noWrap w:val="0"/>
            <w:vAlign w:val="center"/>
          </w:tcPr>
          <w:p w14:paraId="64183BE4">
            <w:pPr>
              <w:rPr>
                <w:rFonts w:hint="eastAsia" w:ascii="Times New Roman" w:hAnsi="Times New Roman" w:eastAsia="宋体" w:cs="Times New Roman"/>
                <w:highlight w:val="none"/>
              </w:rPr>
            </w:pPr>
            <w:r>
              <w:rPr>
                <w:rFonts w:hint="eastAsia" w:ascii="Times New Roman" w:hAnsi="Times New Roman" w:eastAsia="宋体" w:cs="Times New Roman"/>
                <w:highlight w:val="none"/>
              </w:rPr>
              <w:t>d)应对审计进程进行保护，防止未经授权的中断</w:t>
            </w:r>
          </w:p>
        </w:tc>
      </w:tr>
      <w:tr w14:paraId="4ACD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blHeader/>
          <w:jc w:val="center"/>
        </w:trPr>
        <w:tc>
          <w:tcPr>
            <w:tcW w:w="865" w:type="dxa"/>
            <w:vMerge w:val="restart"/>
            <w:noWrap w:val="0"/>
            <w:vAlign w:val="center"/>
          </w:tcPr>
          <w:p w14:paraId="35A0262C">
            <w:pPr>
              <w:jc w:val="center"/>
              <w:rPr>
                <w:rFonts w:hint="eastAsia" w:eastAsia="宋体"/>
                <w:highlight w:val="none"/>
                <w:lang w:val="en-US" w:eastAsia="zh-CN"/>
              </w:rPr>
            </w:pPr>
            <w:r>
              <w:rPr>
                <w:rFonts w:hint="eastAsia"/>
                <w:highlight w:val="none"/>
                <w:lang w:val="en-US" w:eastAsia="zh-CN"/>
              </w:rPr>
              <w:t>4</w:t>
            </w:r>
          </w:p>
        </w:tc>
        <w:tc>
          <w:tcPr>
            <w:tcW w:w="1801" w:type="dxa"/>
            <w:vMerge w:val="restart"/>
            <w:noWrap w:val="0"/>
            <w:vAlign w:val="center"/>
          </w:tcPr>
          <w:p w14:paraId="4175C740">
            <w:pPr>
              <w:jc w:val="center"/>
              <w:rPr>
                <w:highlight w:val="none"/>
              </w:rPr>
            </w:pPr>
            <w:r>
              <w:rPr>
                <w:rFonts w:hint="eastAsia"/>
                <w:highlight w:val="none"/>
              </w:rPr>
              <w:t>入侵防范</w:t>
            </w:r>
          </w:p>
        </w:tc>
        <w:tc>
          <w:tcPr>
            <w:tcW w:w="6453" w:type="dxa"/>
            <w:noWrap w:val="0"/>
            <w:vAlign w:val="center"/>
          </w:tcPr>
          <w:p w14:paraId="37A9F654">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a)应遵循最小安装的原则，仅安装需要的组件和应用程序。</w:t>
            </w:r>
          </w:p>
        </w:tc>
      </w:tr>
      <w:tr w14:paraId="7D2F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jc w:val="center"/>
        </w:trPr>
        <w:tc>
          <w:tcPr>
            <w:tcW w:w="865" w:type="dxa"/>
            <w:vMerge w:val="continue"/>
            <w:noWrap w:val="0"/>
            <w:vAlign w:val="center"/>
          </w:tcPr>
          <w:p w14:paraId="7B70B56D">
            <w:pPr>
              <w:jc w:val="center"/>
              <w:rPr>
                <w:highlight w:val="none"/>
              </w:rPr>
            </w:pPr>
          </w:p>
        </w:tc>
        <w:tc>
          <w:tcPr>
            <w:tcW w:w="1801" w:type="dxa"/>
            <w:vMerge w:val="continue"/>
            <w:noWrap w:val="0"/>
            <w:vAlign w:val="center"/>
          </w:tcPr>
          <w:p w14:paraId="2DB16F21">
            <w:pPr>
              <w:jc w:val="center"/>
              <w:rPr>
                <w:highlight w:val="none"/>
              </w:rPr>
            </w:pPr>
          </w:p>
        </w:tc>
        <w:tc>
          <w:tcPr>
            <w:tcW w:w="6453" w:type="dxa"/>
            <w:noWrap w:val="0"/>
            <w:vAlign w:val="center"/>
          </w:tcPr>
          <w:p w14:paraId="6A2D4F69">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b)应关闭不需要的系统服务、默认共享和高危端口。</w:t>
            </w:r>
          </w:p>
        </w:tc>
      </w:tr>
      <w:tr w14:paraId="684F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blHeader/>
          <w:jc w:val="center"/>
        </w:trPr>
        <w:tc>
          <w:tcPr>
            <w:tcW w:w="865" w:type="dxa"/>
            <w:vMerge w:val="continue"/>
            <w:noWrap w:val="0"/>
            <w:vAlign w:val="center"/>
          </w:tcPr>
          <w:p w14:paraId="35747A97">
            <w:pPr>
              <w:jc w:val="center"/>
              <w:rPr>
                <w:highlight w:val="none"/>
              </w:rPr>
            </w:pPr>
          </w:p>
        </w:tc>
        <w:tc>
          <w:tcPr>
            <w:tcW w:w="1801" w:type="dxa"/>
            <w:vMerge w:val="continue"/>
            <w:noWrap w:val="0"/>
            <w:vAlign w:val="center"/>
          </w:tcPr>
          <w:p w14:paraId="50E7C7B7">
            <w:pPr>
              <w:jc w:val="center"/>
              <w:rPr>
                <w:highlight w:val="none"/>
              </w:rPr>
            </w:pPr>
          </w:p>
        </w:tc>
        <w:tc>
          <w:tcPr>
            <w:tcW w:w="6453" w:type="dxa"/>
            <w:noWrap w:val="0"/>
            <w:vAlign w:val="center"/>
          </w:tcPr>
          <w:p w14:paraId="17BC64BE">
            <w:pPr>
              <w:rPr>
                <w:rFonts w:hint="eastAsia" w:ascii="Times New Roman" w:hAnsi="Times New Roman" w:eastAsia="宋体" w:cs="Times New Roman"/>
                <w:highlight w:val="none"/>
              </w:rPr>
            </w:pPr>
            <w:r>
              <w:rPr>
                <w:rFonts w:hint="eastAsia" w:ascii="Times New Roman" w:hAnsi="Times New Roman" w:eastAsia="宋体" w:cs="Times New Roman"/>
                <w:highlight w:val="none"/>
              </w:rPr>
              <w:t>c)应通过设定终端接入方式或网络地址范围对通过网络进行管理的管理终端进行限制。</w:t>
            </w:r>
          </w:p>
        </w:tc>
      </w:tr>
      <w:tr w14:paraId="3085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jc w:val="center"/>
        </w:trPr>
        <w:tc>
          <w:tcPr>
            <w:tcW w:w="865" w:type="dxa"/>
            <w:vMerge w:val="continue"/>
            <w:noWrap w:val="0"/>
            <w:vAlign w:val="center"/>
          </w:tcPr>
          <w:p w14:paraId="32604222">
            <w:pPr>
              <w:jc w:val="center"/>
              <w:rPr>
                <w:highlight w:val="none"/>
              </w:rPr>
            </w:pPr>
          </w:p>
        </w:tc>
        <w:tc>
          <w:tcPr>
            <w:tcW w:w="1801" w:type="dxa"/>
            <w:vMerge w:val="continue"/>
            <w:noWrap w:val="0"/>
            <w:vAlign w:val="center"/>
          </w:tcPr>
          <w:p w14:paraId="4BF741AF">
            <w:pPr>
              <w:jc w:val="center"/>
              <w:rPr>
                <w:highlight w:val="none"/>
              </w:rPr>
            </w:pPr>
          </w:p>
        </w:tc>
        <w:tc>
          <w:tcPr>
            <w:tcW w:w="6453" w:type="dxa"/>
            <w:noWrap w:val="0"/>
            <w:vAlign w:val="center"/>
          </w:tcPr>
          <w:p w14:paraId="5D91E4BE">
            <w:pPr>
              <w:rPr>
                <w:rFonts w:hint="eastAsia" w:ascii="Times New Roman" w:hAnsi="Times New Roman" w:eastAsia="宋体" w:cs="Times New Roman"/>
                <w:highlight w:val="none"/>
              </w:rPr>
            </w:pPr>
            <w:r>
              <w:rPr>
                <w:rFonts w:hint="eastAsia" w:ascii="Times New Roman" w:hAnsi="Times New Roman" w:eastAsia="宋体" w:cs="Times New Roman"/>
                <w:highlight w:val="none"/>
              </w:rPr>
              <w:t>d)应提供数据有效性检验功能，保证通过人机接口输入或通过通信接口输入的内容符合系统设定要求。</w:t>
            </w:r>
          </w:p>
        </w:tc>
      </w:tr>
      <w:tr w14:paraId="2E10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blHeader/>
          <w:jc w:val="center"/>
        </w:trPr>
        <w:tc>
          <w:tcPr>
            <w:tcW w:w="865" w:type="dxa"/>
            <w:vMerge w:val="continue"/>
            <w:noWrap w:val="0"/>
            <w:vAlign w:val="center"/>
          </w:tcPr>
          <w:p w14:paraId="17FD75A4">
            <w:pPr>
              <w:jc w:val="center"/>
              <w:rPr>
                <w:highlight w:val="none"/>
              </w:rPr>
            </w:pPr>
          </w:p>
        </w:tc>
        <w:tc>
          <w:tcPr>
            <w:tcW w:w="1801" w:type="dxa"/>
            <w:vMerge w:val="continue"/>
            <w:noWrap w:val="0"/>
            <w:vAlign w:val="center"/>
          </w:tcPr>
          <w:p w14:paraId="3E7F488C">
            <w:pPr>
              <w:jc w:val="center"/>
              <w:rPr>
                <w:highlight w:val="none"/>
              </w:rPr>
            </w:pPr>
          </w:p>
        </w:tc>
        <w:tc>
          <w:tcPr>
            <w:tcW w:w="6453" w:type="dxa"/>
            <w:noWrap w:val="0"/>
            <w:vAlign w:val="center"/>
          </w:tcPr>
          <w:p w14:paraId="472AA00F">
            <w:pPr>
              <w:rPr>
                <w:rFonts w:hint="eastAsia" w:ascii="Times New Roman" w:hAnsi="Times New Roman" w:eastAsia="宋体" w:cs="Times New Roman"/>
                <w:highlight w:val="none"/>
              </w:rPr>
            </w:pPr>
            <w:r>
              <w:rPr>
                <w:rFonts w:hint="eastAsia" w:ascii="Times New Roman" w:hAnsi="Times New Roman" w:eastAsia="宋体" w:cs="Times New Roman"/>
                <w:highlight w:val="none"/>
              </w:rPr>
              <w:t>e)应能发现可能存在的已知漏洞，并在经过充分测试评估后，及时修补漏洞。</w:t>
            </w:r>
          </w:p>
        </w:tc>
      </w:tr>
      <w:tr w14:paraId="1849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blHeader/>
          <w:jc w:val="center"/>
        </w:trPr>
        <w:tc>
          <w:tcPr>
            <w:tcW w:w="865" w:type="dxa"/>
            <w:vMerge w:val="continue"/>
            <w:noWrap w:val="0"/>
            <w:vAlign w:val="center"/>
          </w:tcPr>
          <w:p w14:paraId="5602C95F">
            <w:pPr>
              <w:jc w:val="center"/>
              <w:rPr>
                <w:highlight w:val="none"/>
              </w:rPr>
            </w:pPr>
          </w:p>
        </w:tc>
        <w:tc>
          <w:tcPr>
            <w:tcW w:w="1801" w:type="dxa"/>
            <w:vMerge w:val="continue"/>
            <w:noWrap w:val="0"/>
            <w:vAlign w:val="center"/>
          </w:tcPr>
          <w:p w14:paraId="4159FE28">
            <w:pPr>
              <w:jc w:val="center"/>
              <w:rPr>
                <w:highlight w:val="none"/>
              </w:rPr>
            </w:pPr>
          </w:p>
        </w:tc>
        <w:tc>
          <w:tcPr>
            <w:tcW w:w="6453" w:type="dxa"/>
            <w:noWrap w:val="0"/>
            <w:vAlign w:val="center"/>
          </w:tcPr>
          <w:p w14:paraId="4C2BCF2A">
            <w:pPr>
              <w:rPr>
                <w:rFonts w:hint="eastAsia" w:ascii="Times New Roman" w:hAnsi="Times New Roman" w:eastAsia="宋体" w:cs="Times New Roman"/>
                <w:highlight w:val="none"/>
              </w:rPr>
            </w:pPr>
            <w:r>
              <w:rPr>
                <w:rFonts w:hint="eastAsia" w:ascii="Times New Roman" w:hAnsi="Times New Roman" w:eastAsia="宋体" w:cs="Times New Roman"/>
                <w:highlight w:val="none"/>
              </w:rPr>
              <w:t>f)应能够检测到对重要节点进行入侵的行为，并在发生严重入侵事件时提供报警。</w:t>
            </w:r>
          </w:p>
        </w:tc>
      </w:tr>
      <w:tr w14:paraId="7651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blHeader/>
          <w:jc w:val="center"/>
        </w:trPr>
        <w:tc>
          <w:tcPr>
            <w:tcW w:w="865" w:type="dxa"/>
            <w:noWrap w:val="0"/>
            <w:vAlign w:val="center"/>
          </w:tcPr>
          <w:p w14:paraId="01FBEBF6">
            <w:pPr>
              <w:jc w:val="center"/>
              <w:rPr>
                <w:rFonts w:hint="eastAsia" w:eastAsia="宋体"/>
                <w:highlight w:val="none"/>
                <w:lang w:val="en-US" w:eastAsia="zh-CN"/>
              </w:rPr>
            </w:pPr>
            <w:r>
              <w:rPr>
                <w:rFonts w:hint="eastAsia"/>
                <w:highlight w:val="none"/>
                <w:lang w:val="en-US" w:eastAsia="zh-CN"/>
              </w:rPr>
              <w:t>5</w:t>
            </w:r>
          </w:p>
        </w:tc>
        <w:tc>
          <w:tcPr>
            <w:tcW w:w="1801" w:type="dxa"/>
            <w:noWrap w:val="0"/>
            <w:vAlign w:val="center"/>
          </w:tcPr>
          <w:p w14:paraId="31B917E5">
            <w:pPr>
              <w:jc w:val="center"/>
              <w:rPr>
                <w:highlight w:val="none"/>
              </w:rPr>
            </w:pPr>
            <w:r>
              <w:rPr>
                <w:rFonts w:hint="eastAsia"/>
                <w:highlight w:val="none"/>
              </w:rPr>
              <w:t>恶意代码防范</w:t>
            </w:r>
          </w:p>
        </w:tc>
        <w:tc>
          <w:tcPr>
            <w:tcW w:w="6453" w:type="dxa"/>
            <w:noWrap w:val="0"/>
            <w:vAlign w:val="center"/>
          </w:tcPr>
          <w:p w14:paraId="39799072">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应采用免受恶意代码攻击的技术措施或主动免疫可信验证机制及时识别入侵和病</w:t>
            </w:r>
          </w:p>
          <w:p w14:paraId="5A36A952">
            <w:pPr>
              <w:rPr>
                <w:rFonts w:hint="eastAsia" w:ascii="Times New Roman" w:hAnsi="Times New Roman" w:eastAsia="宋体" w:cs="Times New Roman"/>
                <w:highlight w:val="none"/>
              </w:rPr>
            </w:pPr>
            <w:r>
              <w:rPr>
                <w:rFonts w:hint="eastAsia" w:ascii="Times New Roman" w:hAnsi="Times New Roman" w:eastAsia="宋体" w:cs="Times New Roman"/>
                <w:highlight w:val="none"/>
              </w:rPr>
              <w:t>毒行为，并将其有效阻断</w:t>
            </w:r>
          </w:p>
        </w:tc>
      </w:tr>
      <w:tr w14:paraId="0E83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blHeader/>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F7FDD7E">
            <w:pPr>
              <w:jc w:val="center"/>
              <w:rPr>
                <w:rFonts w:hint="eastAsia" w:eastAsia="宋体"/>
                <w:highlight w:val="none"/>
                <w:lang w:val="en-US" w:eastAsia="zh-CN"/>
              </w:rPr>
            </w:pPr>
            <w:r>
              <w:rPr>
                <w:rFonts w:hint="eastAsia"/>
                <w:highlight w:val="none"/>
                <w:lang w:val="en-US" w:eastAsia="zh-CN"/>
              </w:rPr>
              <w:t>6</w:t>
            </w:r>
          </w:p>
        </w:tc>
        <w:tc>
          <w:tcPr>
            <w:tcW w:w="1801" w:type="dxa"/>
            <w:tcBorders>
              <w:top w:val="single" w:color="auto" w:sz="4" w:space="0"/>
              <w:left w:val="single" w:color="auto" w:sz="4" w:space="0"/>
              <w:bottom w:val="single" w:color="auto" w:sz="4" w:space="0"/>
              <w:right w:val="single" w:color="auto" w:sz="4" w:space="0"/>
            </w:tcBorders>
            <w:noWrap w:val="0"/>
            <w:vAlign w:val="center"/>
          </w:tcPr>
          <w:p w14:paraId="6D85AB60">
            <w:pPr>
              <w:jc w:val="center"/>
              <w:rPr>
                <w:highlight w:val="none"/>
              </w:rPr>
            </w:pPr>
            <w:r>
              <w:rPr>
                <w:rFonts w:hint="eastAsia"/>
                <w:highlight w:val="none"/>
              </w:rPr>
              <w:t>可信验证</w:t>
            </w:r>
          </w:p>
        </w:tc>
        <w:tc>
          <w:tcPr>
            <w:tcW w:w="6453" w:type="dxa"/>
            <w:tcBorders>
              <w:top w:val="single" w:color="auto" w:sz="4" w:space="0"/>
              <w:left w:val="single" w:color="auto" w:sz="4" w:space="0"/>
              <w:bottom w:val="single" w:color="auto" w:sz="4" w:space="0"/>
              <w:right w:val="single" w:color="auto" w:sz="4" w:space="0"/>
            </w:tcBorders>
            <w:noWrap w:val="0"/>
            <w:vAlign w:val="center"/>
          </w:tcPr>
          <w:p w14:paraId="23005508">
            <w:pPr>
              <w:rPr>
                <w:rFonts w:hint="eastAsia" w:ascii="Times New Roman" w:hAnsi="Times New Roman" w:eastAsia="宋体" w:cs="Times New Roman"/>
                <w:highlight w:val="none"/>
              </w:rPr>
            </w:pPr>
            <w:r>
              <w:rPr>
                <w:rFonts w:hint="eastAsia" w:ascii="Times New Roman" w:hAnsi="Times New Roman" w:eastAsia="宋体" w:cs="Times New Roman"/>
                <w:highlight w:val="none"/>
              </w:rPr>
              <w:t>可基于可信根对计算设备的系统引导程序、系统程序、重要配置参数和应用程序等 进行可信验证，并在检测到其可信性受到破坏后进行报警，并将验证结果形成审计记录送至安全管理中心。</w:t>
            </w:r>
          </w:p>
        </w:tc>
      </w:tr>
      <w:tr w14:paraId="4656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blHeader/>
          <w:jc w:val="center"/>
        </w:trPr>
        <w:tc>
          <w:tcPr>
            <w:tcW w:w="865" w:type="dxa"/>
            <w:vMerge w:val="restart"/>
            <w:tcBorders>
              <w:top w:val="single" w:color="auto" w:sz="4" w:space="0"/>
              <w:left w:val="single" w:color="auto" w:sz="4" w:space="0"/>
              <w:right w:val="single" w:color="auto" w:sz="4" w:space="0"/>
            </w:tcBorders>
            <w:noWrap w:val="0"/>
            <w:vAlign w:val="center"/>
          </w:tcPr>
          <w:p w14:paraId="79BFFAEA">
            <w:pPr>
              <w:jc w:val="center"/>
              <w:rPr>
                <w:rFonts w:hint="eastAsia" w:eastAsia="宋体"/>
                <w:highlight w:val="none"/>
                <w:lang w:val="en-US" w:eastAsia="zh-CN"/>
              </w:rPr>
            </w:pPr>
            <w:r>
              <w:rPr>
                <w:rFonts w:hint="eastAsia"/>
                <w:highlight w:val="none"/>
                <w:lang w:val="en-US" w:eastAsia="zh-CN"/>
              </w:rPr>
              <w:t>7</w:t>
            </w:r>
          </w:p>
        </w:tc>
        <w:tc>
          <w:tcPr>
            <w:tcW w:w="1801" w:type="dxa"/>
            <w:vMerge w:val="restart"/>
            <w:tcBorders>
              <w:top w:val="single" w:color="auto" w:sz="4" w:space="0"/>
              <w:left w:val="single" w:color="auto" w:sz="4" w:space="0"/>
              <w:right w:val="single" w:color="auto" w:sz="4" w:space="0"/>
            </w:tcBorders>
            <w:noWrap w:val="0"/>
            <w:vAlign w:val="center"/>
          </w:tcPr>
          <w:p w14:paraId="34C8EEEA">
            <w:pPr>
              <w:jc w:val="center"/>
              <w:rPr>
                <w:highlight w:val="none"/>
              </w:rPr>
            </w:pPr>
            <w:r>
              <w:rPr>
                <w:rFonts w:hint="eastAsia"/>
                <w:highlight w:val="none"/>
              </w:rPr>
              <w:t>数据完整性</w:t>
            </w:r>
          </w:p>
        </w:tc>
        <w:tc>
          <w:tcPr>
            <w:tcW w:w="6453" w:type="dxa"/>
            <w:tcBorders>
              <w:top w:val="single" w:color="auto" w:sz="4" w:space="0"/>
              <w:left w:val="single" w:color="auto" w:sz="4" w:space="0"/>
              <w:bottom w:val="single" w:color="auto" w:sz="4" w:space="0"/>
              <w:right w:val="single" w:color="auto" w:sz="4" w:space="0"/>
            </w:tcBorders>
            <w:noWrap w:val="0"/>
            <w:vAlign w:val="center"/>
          </w:tcPr>
          <w:p w14:paraId="3A30C1C3">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a)应采用校验技术或密码技术保证重要数据在传输过程中的完整性，包括但不限于鉴别数据、重要业务数据、重要审计数据、重要配置数据、重要视频数据和重要个人信息等。</w:t>
            </w:r>
          </w:p>
        </w:tc>
      </w:tr>
      <w:tr w14:paraId="59F8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blHeader/>
          <w:jc w:val="center"/>
        </w:trPr>
        <w:tc>
          <w:tcPr>
            <w:tcW w:w="865" w:type="dxa"/>
            <w:vMerge w:val="continue"/>
            <w:tcBorders>
              <w:left w:val="single" w:color="auto" w:sz="4" w:space="0"/>
              <w:bottom w:val="single" w:color="auto" w:sz="4" w:space="0"/>
              <w:right w:val="single" w:color="auto" w:sz="4" w:space="0"/>
            </w:tcBorders>
            <w:noWrap w:val="0"/>
            <w:vAlign w:val="center"/>
          </w:tcPr>
          <w:p w14:paraId="7AA426C6">
            <w:pPr>
              <w:jc w:val="center"/>
              <w:rPr>
                <w:highlight w:val="none"/>
              </w:rPr>
            </w:pPr>
          </w:p>
        </w:tc>
        <w:tc>
          <w:tcPr>
            <w:tcW w:w="1801" w:type="dxa"/>
            <w:vMerge w:val="continue"/>
            <w:tcBorders>
              <w:left w:val="single" w:color="auto" w:sz="4" w:space="0"/>
              <w:bottom w:val="single" w:color="auto" w:sz="4" w:space="0"/>
              <w:right w:val="single" w:color="auto" w:sz="4" w:space="0"/>
            </w:tcBorders>
            <w:noWrap w:val="0"/>
            <w:vAlign w:val="center"/>
          </w:tcPr>
          <w:p w14:paraId="3F28DBEF">
            <w:pPr>
              <w:jc w:val="center"/>
              <w:rPr>
                <w:highlight w:val="none"/>
              </w:rPr>
            </w:pPr>
          </w:p>
        </w:tc>
        <w:tc>
          <w:tcPr>
            <w:tcW w:w="6453" w:type="dxa"/>
            <w:tcBorders>
              <w:top w:val="single" w:color="auto" w:sz="4" w:space="0"/>
              <w:left w:val="single" w:color="auto" w:sz="4" w:space="0"/>
              <w:bottom w:val="single" w:color="auto" w:sz="4" w:space="0"/>
              <w:right w:val="single" w:color="auto" w:sz="4" w:space="0"/>
            </w:tcBorders>
            <w:noWrap w:val="0"/>
            <w:vAlign w:val="center"/>
          </w:tcPr>
          <w:p w14:paraId="2D9BE564">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b)应采用校验技术或密码技术保证重要数据在存储过程中的完整性，包括但不限于鉴别数据、重要业务数据、重要审计数据、重要配置数据、重要视频数据和重要个人信息等。</w:t>
            </w:r>
          </w:p>
        </w:tc>
      </w:tr>
      <w:tr w14:paraId="4087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65" w:type="dxa"/>
            <w:vMerge w:val="restart"/>
            <w:tcBorders>
              <w:top w:val="single" w:color="auto" w:sz="4" w:space="0"/>
              <w:left w:val="single" w:color="auto" w:sz="4" w:space="0"/>
              <w:right w:val="single" w:color="auto" w:sz="4" w:space="0"/>
            </w:tcBorders>
            <w:noWrap w:val="0"/>
            <w:vAlign w:val="center"/>
          </w:tcPr>
          <w:p w14:paraId="3433C6CC">
            <w:pPr>
              <w:jc w:val="center"/>
              <w:rPr>
                <w:rFonts w:hint="eastAsia" w:eastAsia="宋体"/>
                <w:highlight w:val="none"/>
                <w:lang w:val="en-US" w:eastAsia="zh-CN"/>
              </w:rPr>
            </w:pPr>
            <w:r>
              <w:rPr>
                <w:rFonts w:hint="eastAsia"/>
                <w:highlight w:val="none"/>
                <w:lang w:val="en-US" w:eastAsia="zh-CN"/>
              </w:rPr>
              <w:t>8</w:t>
            </w:r>
          </w:p>
        </w:tc>
        <w:tc>
          <w:tcPr>
            <w:tcW w:w="1801" w:type="dxa"/>
            <w:vMerge w:val="restart"/>
            <w:tcBorders>
              <w:top w:val="single" w:color="auto" w:sz="4" w:space="0"/>
              <w:left w:val="single" w:color="auto" w:sz="4" w:space="0"/>
              <w:right w:val="single" w:color="auto" w:sz="4" w:space="0"/>
            </w:tcBorders>
            <w:noWrap w:val="0"/>
            <w:vAlign w:val="center"/>
          </w:tcPr>
          <w:p w14:paraId="75E8CF14">
            <w:pPr>
              <w:jc w:val="center"/>
              <w:rPr>
                <w:highlight w:val="none"/>
              </w:rPr>
            </w:pPr>
            <w:r>
              <w:rPr>
                <w:rFonts w:hint="eastAsia"/>
                <w:highlight w:val="none"/>
              </w:rPr>
              <w:t>数据保密性</w:t>
            </w:r>
          </w:p>
        </w:tc>
        <w:tc>
          <w:tcPr>
            <w:tcW w:w="6453" w:type="dxa"/>
            <w:tcBorders>
              <w:top w:val="single" w:color="auto" w:sz="4" w:space="0"/>
              <w:left w:val="single" w:color="auto" w:sz="4" w:space="0"/>
              <w:bottom w:val="single" w:color="auto" w:sz="4" w:space="0"/>
              <w:right w:val="single" w:color="auto" w:sz="4" w:space="0"/>
            </w:tcBorders>
            <w:noWrap w:val="0"/>
            <w:vAlign w:val="center"/>
          </w:tcPr>
          <w:p w14:paraId="637081E7">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a)应采用密码技术保证重要数据在传输过程中的保密性，包括但不限千鉴别数据、重要业务数据和重要个人信息等。</w:t>
            </w:r>
          </w:p>
        </w:tc>
      </w:tr>
      <w:tr w14:paraId="417B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jc w:val="center"/>
        </w:trPr>
        <w:tc>
          <w:tcPr>
            <w:tcW w:w="865" w:type="dxa"/>
            <w:vMerge w:val="continue"/>
            <w:tcBorders>
              <w:left w:val="single" w:color="auto" w:sz="4" w:space="0"/>
              <w:bottom w:val="single" w:color="auto" w:sz="4" w:space="0"/>
              <w:right w:val="single" w:color="auto" w:sz="4" w:space="0"/>
            </w:tcBorders>
            <w:noWrap w:val="0"/>
            <w:vAlign w:val="center"/>
          </w:tcPr>
          <w:p w14:paraId="7C911DCA">
            <w:pPr>
              <w:jc w:val="center"/>
              <w:rPr>
                <w:highlight w:val="none"/>
              </w:rPr>
            </w:pPr>
          </w:p>
        </w:tc>
        <w:tc>
          <w:tcPr>
            <w:tcW w:w="1801" w:type="dxa"/>
            <w:vMerge w:val="continue"/>
            <w:tcBorders>
              <w:left w:val="single" w:color="auto" w:sz="4" w:space="0"/>
              <w:bottom w:val="single" w:color="auto" w:sz="4" w:space="0"/>
              <w:right w:val="single" w:color="auto" w:sz="4" w:space="0"/>
            </w:tcBorders>
            <w:noWrap w:val="0"/>
            <w:vAlign w:val="center"/>
          </w:tcPr>
          <w:p w14:paraId="211B9618">
            <w:pPr>
              <w:jc w:val="center"/>
              <w:rPr>
                <w:highlight w:val="none"/>
              </w:rPr>
            </w:pPr>
          </w:p>
        </w:tc>
        <w:tc>
          <w:tcPr>
            <w:tcW w:w="6453" w:type="dxa"/>
            <w:tcBorders>
              <w:top w:val="single" w:color="auto" w:sz="4" w:space="0"/>
              <w:left w:val="single" w:color="auto" w:sz="4" w:space="0"/>
              <w:bottom w:val="single" w:color="auto" w:sz="4" w:space="0"/>
              <w:right w:val="single" w:color="auto" w:sz="4" w:space="0"/>
            </w:tcBorders>
            <w:noWrap w:val="0"/>
            <w:vAlign w:val="center"/>
          </w:tcPr>
          <w:p w14:paraId="1DD9EC1F">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b)应采用密码技术保证重要数据在存储过程中的保密性，包括但不限于鉴别数据、重要业务数据和重要个人信息等。</w:t>
            </w:r>
          </w:p>
        </w:tc>
      </w:tr>
      <w:tr w14:paraId="5F22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65" w:type="dxa"/>
            <w:vMerge w:val="restart"/>
            <w:tcBorders>
              <w:top w:val="single" w:color="auto" w:sz="4" w:space="0"/>
              <w:left w:val="single" w:color="auto" w:sz="4" w:space="0"/>
              <w:right w:val="single" w:color="auto" w:sz="4" w:space="0"/>
            </w:tcBorders>
            <w:noWrap w:val="0"/>
            <w:vAlign w:val="center"/>
          </w:tcPr>
          <w:p w14:paraId="63A8098A">
            <w:pPr>
              <w:jc w:val="center"/>
              <w:rPr>
                <w:rFonts w:hint="eastAsia" w:eastAsia="宋体"/>
                <w:highlight w:val="none"/>
                <w:lang w:val="en-US" w:eastAsia="zh-CN"/>
              </w:rPr>
            </w:pPr>
            <w:r>
              <w:rPr>
                <w:rFonts w:hint="eastAsia"/>
                <w:highlight w:val="none"/>
                <w:lang w:val="en-US" w:eastAsia="zh-CN"/>
              </w:rPr>
              <w:t>9</w:t>
            </w:r>
          </w:p>
        </w:tc>
        <w:tc>
          <w:tcPr>
            <w:tcW w:w="1801" w:type="dxa"/>
            <w:vMerge w:val="restart"/>
            <w:tcBorders>
              <w:top w:val="single" w:color="auto" w:sz="4" w:space="0"/>
              <w:left w:val="single" w:color="auto" w:sz="4" w:space="0"/>
              <w:right w:val="single" w:color="auto" w:sz="4" w:space="0"/>
            </w:tcBorders>
            <w:noWrap w:val="0"/>
            <w:vAlign w:val="center"/>
          </w:tcPr>
          <w:p w14:paraId="762EE7F3">
            <w:pPr>
              <w:jc w:val="center"/>
              <w:rPr>
                <w:highlight w:val="none"/>
              </w:rPr>
            </w:pPr>
            <w:r>
              <w:rPr>
                <w:rFonts w:hint="eastAsia"/>
                <w:highlight w:val="none"/>
              </w:rPr>
              <w:t>数据备份和恢复</w:t>
            </w:r>
          </w:p>
        </w:tc>
        <w:tc>
          <w:tcPr>
            <w:tcW w:w="6453" w:type="dxa"/>
            <w:tcBorders>
              <w:top w:val="single" w:color="auto" w:sz="4" w:space="0"/>
              <w:left w:val="single" w:color="auto" w:sz="4" w:space="0"/>
              <w:bottom w:val="single" w:color="auto" w:sz="4" w:space="0"/>
              <w:right w:val="single" w:color="auto" w:sz="4" w:space="0"/>
            </w:tcBorders>
            <w:noWrap w:val="0"/>
            <w:vAlign w:val="center"/>
          </w:tcPr>
          <w:p w14:paraId="7EDA47F7">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a)应提供重要数据的本地数据备份与恢复功能。</w:t>
            </w:r>
          </w:p>
        </w:tc>
      </w:tr>
      <w:tr w14:paraId="7F49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865" w:type="dxa"/>
            <w:vMerge w:val="continue"/>
            <w:tcBorders>
              <w:left w:val="single" w:color="auto" w:sz="4" w:space="0"/>
              <w:bottom w:val="single" w:color="auto" w:sz="4" w:space="0"/>
              <w:right w:val="single" w:color="auto" w:sz="4" w:space="0"/>
            </w:tcBorders>
            <w:noWrap w:val="0"/>
            <w:vAlign w:val="center"/>
          </w:tcPr>
          <w:p w14:paraId="5F9302AD">
            <w:pPr>
              <w:jc w:val="center"/>
              <w:rPr>
                <w:highlight w:val="none"/>
              </w:rPr>
            </w:pPr>
          </w:p>
        </w:tc>
        <w:tc>
          <w:tcPr>
            <w:tcW w:w="1801" w:type="dxa"/>
            <w:vMerge w:val="continue"/>
            <w:tcBorders>
              <w:left w:val="single" w:color="auto" w:sz="4" w:space="0"/>
              <w:bottom w:val="single" w:color="auto" w:sz="4" w:space="0"/>
              <w:right w:val="single" w:color="auto" w:sz="4" w:space="0"/>
            </w:tcBorders>
            <w:noWrap w:val="0"/>
            <w:vAlign w:val="center"/>
          </w:tcPr>
          <w:p w14:paraId="280C3946">
            <w:pPr>
              <w:jc w:val="center"/>
              <w:rPr>
                <w:highlight w:val="none"/>
              </w:rPr>
            </w:pPr>
          </w:p>
        </w:tc>
        <w:tc>
          <w:tcPr>
            <w:tcW w:w="6453" w:type="dxa"/>
            <w:tcBorders>
              <w:top w:val="single" w:color="auto" w:sz="4" w:space="0"/>
              <w:left w:val="single" w:color="auto" w:sz="4" w:space="0"/>
              <w:bottom w:val="single" w:color="auto" w:sz="4" w:space="0"/>
              <w:right w:val="single" w:color="auto" w:sz="4" w:space="0"/>
            </w:tcBorders>
            <w:noWrap w:val="0"/>
            <w:vAlign w:val="center"/>
          </w:tcPr>
          <w:p w14:paraId="002BE68E">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b)应提供异地数据备份功能，利用通信网络将重要数据定时批量传送至备用场地。</w:t>
            </w:r>
          </w:p>
        </w:tc>
      </w:tr>
      <w:tr w14:paraId="0439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865" w:type="dxa"/>
            <w:vMerge w:val="restart"/>
            <w:tcBorders>
              <w:top w:val="single" w:color="auto" w:sz="4" w:space="0"/>
              <w:left w:val="single" w:color="auto" w:sz="4" w:space="0"/>
              <w:right w:val="single" w:color="auto" w:sz="4" w:space="0"/>
            </w:tcBorders>
            <w:noWrap w:val="0"/>
            <w:vAlign w:val="center"/>
          </w:tcPr>
          <w:p w14:paraId="06890B8B">
            <w:pPr>
              <w:jc w:val="center"/>
              <w:rPr>
                <w:rFonts w:hint="default" w:eastAsia="宋体"/>
                <w:highlight w:val="none"/>
                <w:lang w:val="en-US" w:eastAsia="zh-CN"/>
              </w:rPr>
            </w:pPr>
            <w:r>
              <w:rPr>
                <w:rFonts w:hint="eastAsia"/>
                <w:highlight w:val="none"/>
                <w:lang w:val="en-US" w:eastAsia="zh-CN"/>
              </w:rPr>
              <w:t>10</w:t>
            </w:r>
          </w:p>
        </w:tc>
        <w:tc>
          <w:tcPr>
            <w:tcW w:w="1801" w:type="dxa"/>
            <w:vMerge w:val="restart"/>
            <w:tcBorders>
              <w:top w:val="single" w:color="auto" w:sz="4" w:space="0"/>
              <w:left w:val="single" w:color="auto" w:sz="4" w:space="0"/>
              <w:right w:val="single" w:color="auto" w:sz="4" w:space="0"/>
            </w:tcBorders>
            <w:noWrap w:val="0"/>
            <w:vAlign w:val="center"/>
          </w:tcPr>
          <w:p w14:paraId="45F37906">
            <w:pPr>
              <w:jc w:val="center"/>
              <w:rPr>
                <w:highlight w:val="none"/>
              </w:rPr>
            </w:pPr>
            <w:r>
              <w:rPr>
                <w:rFonts w:hint="eastAsia"/>
                <w:highlight w:val="none"/>
              </w:rPr>
              <w:t>剩余信息保护</w:t>
            </w:r>
          </w:p>
        </w:tc>
        <w:tc>
          <w:tcPr>
            <w:tcW w:w="6453" w:type="dxa"/>
            <w:tcBorders>
              <w:top w:val="single" w:color="auto" w:sz="4" w:space="0"/>
              <w:left w:val="single" w:color="auto" w:sz="4" w:space="0"/>
              <w:bottom w:val="single" w:color="auto" w:sz="4" w:space="0"/>
              <w:right w:val="single" w:color="auto" w:sz="4" w:space="0"/>
            </w:tcBorders>
            <w:noWrap w:val="0"/>
            <w:vAlign w:val="center"/>
          </w:tcPr>
          <w:p w14:paraId="2E9979CC">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a)应保证鉴别信息所在的存储空间被释放或重新分配前得到完全清除。</w:t>
            </w:r>
          </w:p>
        </w:tc>
      </w:tr>
      <w:tr w14:paraId="4CDE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65" w:type="dxa"/>
            <w:vMerge w:val="continue"/>
            <w:tcBorders>
              <w:left w:val="single" w:color="auto" w:sz="4" w:space="0"/>
              <w:bottom w:val="single" w:color="auto" w:sz="4" w:space="0"/>
              <w:right w:val="single" w:color="auto" w:sz="4" w:space="0"/>
            </w:tcBorders>
            <w:noWrap w:val="0"/>
            <w:vAlign w:val="center"/>
          </w:tcPr>
          <w:p w14:paraId="3023178F">
            <w:pPr>
              <w:rPr>
                <w:highlight w:val="none"/>
              </w:rPr>
            </w:pPr>
          </w:p>
        </w:tc>
        <w:tc>
          <w:tcPr>
            <w:tcW w:w="1801" w:type="dxa"/>
            <w:vMerge w:val="continue"/>
            <w:tcBorders>
              <w:left w:val="single" w:color="auto" w:sz="4" w:space="0"/>
              <w:bottom w:val="single" w:color="auto" w:sz="4" w:space="0"/>
              <w:right w:val="single" w:color="auto" w:sz="4" w:space="0"/>
            </w:tcBorders>
            <w:noWrap w:val="0"/>
            <w:vAlign w:val="center"/>
          </w:tcPr>
          <w:p w14:paraId="7A765B0B">
            <w:pPr>
              <w:rPr>
                <w:highlight w:val="none"/>
              </w:rPr>
            </w:pPr>
          </w:p>
        </w:tc>
        <w:tc>
          <w:tcPr>
            <w:tcW w:w="6453" w:type="dxa"/>
            <w:tcBorders>
              <w:top w:val="single" w:color="auto" w:sz="4" w:space="0"/>
              <w:left w:val="single" w:color="auto" w:sz="4" w:space="0"/>
              <w:bottom w:val="single" w:color="auto" w:sz="4" w:space="0"/>
              <w:right w:val="single" w:color="auto" w:sz="4" w:space="0"/>
            </w:tcBorders>
            <w:noWrap w:val="0"/>
            <w:vAlign w:val="center"/>
          </w:tcPr>
          <w:p w14:paraId="4BF5B470">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b)应保证存有敏感数据的存储空间被释放或重新分配前得到完全清除。</w:t>
            </w:r>
          </w:p>
        </w:tc>
      </w:tr>
      <w:tr w14:paraId="1DE0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865" w:type="dxa"/>
            <w:vMerge w:val="restart"/>
            <w:tcBorders>
              <w:top w:val="single" w:color="auto" w:sz="4" w:space="0"/>
              <w:left w:val="single" w:color="auto" w:sz="4" w:space="0"/>
              <w:right w:val="single" w:color="auto" w:sz="4" w:space="0"/>
            </w:tcBorders>
            <w:noWrap w:val="0"/>
            <w:vAlign w:val="center"/>
          </w:tcPr>
          <w:p w14:paraId="068F8689">
            <w:pPr>
              <w:rPr>
                <w:rFonts w:hint="default" w:eastAsia="宋体"/>
                <w:highlight w:val="none"/>
                <w:lang w:val="en-US" w:eastAsia="zh-CN"/>
              </w:rPr>
            </w:pPr>
            <w:r>
              <w:rPr>
                <w:rFonts w:hint="eastAsia"/>
                <w:highlight w:val="none"/>
                <w:lang w:val="en-US" w:eastAsia="zh-CN"/>
              </w:rPr>
              <w:t>11</w:t>
            </w:r>
          </w:p>
        </w:tc>
        <w:tc>
          <w:tcPr>
            <w:tcW w:w="1801" w:type="dxa"/>
            <w:vMerge w:val="restart"/>
            <w:tcBorders>
              <w:top w:val="single" w:color="auto" w:sz="4" w:space="0"/>
              <w:left w:val="single" w:color="auto" w:sz="4" w:space="0"/>
              <w:right w:val="single" w:color="auto" w:sz="4" w:space="0"/>
            </w:tcBorders>
            <w:noWrap w:val="0"/>
            <w:vAlign w:val="center"/>
          </w:tcPr>
          <w:p w14:paraId="20C40599">
            <w:pPr>
              <w:rPr>
                <w:highlight w:val="none"/>
              </w:rPr>
            </w:pPr>
            <w:r>
              <w:rPr>
                <w:rFonts w:hint="eastAsia"/>
                <w:highlight w:val="none"/>
              </w:rPr>
              <w:t>个人信息保护</w:t>
            </w:r>
          </w:p>
        </w:tc>
        <w:tc>
          <w:tcPr>
            <w:tcW w:w="6453" w:type="dxa"/>
            <w:tcBorders>
              <w:top w:val="single" w:color="auto" w:sz="4" w:space="0"/>
              <w:left w:val="single" w:color="auto" w:sz="4" w:space="0"/>
              <w:bottom w:val="single" w:color="auto" w:sz="4" w:space="0"/>
              <w:right w:val="single" w:color="auto" w:sz="4" w:space="0"/>
            </w:tcBorders>
            <w:noWrap w:val="0"/>
            <w:vAlign w:val="center"/>
          </w:tcPr>
          <w:p w14:paraId="1AF0E9DB">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a)应仅采集和保存业务必需的用户个人信息。</w:t>
            </w:r>
          </w:p>
        </w:tc>
      </w:tr>
      <w:tr w14:paraId="72D8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jc w:val="center"/>
        </w:trPr>
        <w:tc>
          <w:tcPr>
            <w:tcW w:w="865" w:type="dxa"/>
            <w:vMerge w:val="continue"/>
            <w:tcBorders>
              <w:left w:val="single" w:color="auto" w:sz="4" w:space="0"/>
              <w:bottom w:val="single" w:color="auto" w:sz="4" w:space="0"/>
              <w:right w:val="single" w:color="auto" w:sz="4" w:space="0"/>
            </w:tcBorders>
            <w:noWrap w:val="0"/>
            <w:vAlign w:val="center"/>
          </w:tcPr>
          <w:p w14:paraId="4FAA70F0">
            <w:pPr>
              <w:rPr>
                <w:highlight w:val="none"/>
              </w:rPr>
            </w:pPr>
          </w:p>
        </w:tc>
        <w:tc>
          <w:tcPr>
            <w:tcW w:w="1801" w:type="dxa"/>
            <w:vMerge w:val="continue"/>
            <w:tcBorders>
              <w:left w:val="single" w:color="auto" w:sz="4" w:space="0"/>
              <w:bottom w:val="single" w:color="auto" w:sz="4" w:space="0"/>
              <w:right w:val="single" w:color="auto" w:sz="4" w:space="0"/>
            </w:tcBorders>
            <w:noWrap w:val="0"/>
            <w:vAlign w:val="center"/>
          </w:tcPr>
          <w:p w14:paraId="36106FC8">
            <w:pPr>
              <w:rPr>
                <w:highlight w:val="none"/>
              </w:rPr>
            </w:pPr>
          </w:p>
        </w:tc>
        <w:tc>
          <w:tcPr>
            <w:tcW w:w="6453" w:type="dxa"/>
            <w:tcBorders>
              <w:top w:val="single" w:color="auto" w:sz="4" w:space="0"/>
              <w:left w:val="single" w:color="auto" w:sz="4" w:space="0"/>
              <w:bottom w:val="single" w:color="auto" w:sz="4" w:space="0"/>
              <w:right w:val="single" w:color="auto" w:sz="4" w:space="0"/>
            </w:tcBorders>
            <w:noWrap w:val="0"/>
            <w:vAlign w:val="center"/>
          </w:tcPr>
          <w:p w14:paraId="1D122BCB">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b)应禁止未授权访问和非法使用用户个人信息。</w:t>
            </w:r>
          </w:p>
        </w:tc>
      </w:tr>
    </w:tbl>
    <w:p w14:paraId="2D42AD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5.安全管理中心</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785"/>
        <w:gridCol w:w="6397"/>
      </w:tblGrid>
      <w:tr w14:paraId="7DF8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57" w:type="dxa"/>
            <w:noWrap w:val="0"/>
            <w:vAlign w:val="center"/>
          </w:tcPr>
          <w:p w14:paraId="675826CC">
            <w:pPr>
              <w:jc w:val="center"/>
              <w:rPr>
                <w:b/>
                <w:bCs/>
                <w:highlight w:val="none"/>
              </w:rPr>
            </w:pPr>
            <w:r>
              <w:rPr>
                <w:rFonts w:hint="eastAsia"/>
                <w:b/>
                <w:bCs/>
                <w:highlight w:val="none"/>
              </w:rPr>
              <w:t>序号</w:t>
            </w:r>
          </w:p>
        </w:tc>
        <w:tc>
          <w:tcPr>
            <w:tcW w:w="1785" w:type="dxa"/>
            <w:noWrap w:val="0"/>
            <w:vAlign w:val="center"/>
          </w:tcPr>
          <w:p w14:paraId="53E4AE5A">
            <w:pPr>
              <w:jc w:val="center"/>
              <w:rPr>
                <w:b/>
                <w:bCs/>
                <w:highlight w:val="none"/>
              </w:rPr>
            </w:pPr>
            <w:r>
              <w:rPr>
                <w:rFonts w:hint="eastAsia"/>
                <w:b/>
                <w:bCs/>
                <w:highlight w:val="none"/>
              </w:rPr>
              <w:t>工作单元名称</w:t>
            </w:r>
          </w:p>
        </w:tc>
        <w:tc>
          <w:tcPr>
            <w:tcW w:w="6397" w:type="dxa"/>
            <w:noWrap w:val="0"/>
            <w:vAlign w:val="center"/>
          </w:tcPr>
          <w:p w14:paraId="4AF2D016">
            <w:pPr>
              <w:jc w:val="center"/>
              <w:rPr>
                <w:b/>
                <w:bCs/>
                <w:highlight w:val="none"/>
              </w:rPr>
            </w:pPr>
            <w:r>
              <w:rPr>
                <w:rFonts w:hint="eastAsia"/>
                <w:b/>
                <w:bCs/>
                <w:highlight w:val="none"/>
              </w:rPr>
              <w:t>测评指标</w:t>
            </w:r>
          </w:p>
        </w:tc>
      </w:tr>
      <w:tr w14:paraId="64B3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jc w:val="center"/>
        </w:trPr>
        <w:tc>
          <w:tcPr>
            <w:tcW w:w="857" w:type="dxa"/>
            <w:vMerge w:val="restart"/>
            <w:noWrap w:val="0"/>
            <w:vAlign w:val="center"/>
          </w:tcPr>
          <w:p w14:paraId="73AE6847">
            <w:pPr>
              <w:jc w:val="center"/>
              <w:rPr>
                <w:rFonts w:hint="eastAsia" w:eastAsia="宋体"/>
                <w:highlight w:val="none"/>
                <w:lang w:val="en-US" w:eastAsia="zh-CN"/>
              </w:rPr>
            </w:pPr>
            <w:r>
              <w:rPr>
                <w:rFonts w:hint="eastAsia"/>
                <w:highlight w:val="none"/>
                <w:lang w:val="en-US" w:eastAsia="zh-CN"/>
              </w:rPr>
              <w:t>1</w:t>
            </w:r>
          </w:p>
        </w:tc>
        <w:tc>
          <w:tcPr>
            <w:tcW w:w="1785" w:type="dxa"/>
            <w:vMerge w:val="restart"/>
            <w:noWrap w:val="0"/>
            <w:vAlign w:val="center"/>
          </w:tcPr>
          <w:p w14:paraId="0475EB7D">
            <w:pPr>
              <w:jc w:val="center"/>
              <w:rPr>
                <w:highlight w:val="none"/>
              </w:rPr>
            </w:pPr>
            <w:r>
              <w:rPr>
                <w:rFonts w:hint="eastAsia"/>
                <w:highlight w:val="none"/>
              </w:rPr>
              <w:t>系统管理</w:t>
            </w:r>
          </w:p>
        </w:tc>
        <w:tc>
          <w:tcPr>
            <w:tcW w:w="6397" w:type="dxa"/>
            <w:noWrap w:val="0"/>
            <w:vAlign w:val="center"/>
          </w:tcPr>
          <w:p w14:paraId="6D6023AA">
            <w:pPr>
              <w:rPr>
                <w:rFonts w:hint="eastAsia" w:eastAsia="宋体"/>
                <w:highlight w:val="none"/>
                <w:lang w:eastAsia="zh-CN"/>
              </w:rPr>
            </w:pPr>
            <w:r>
              <w:rPr>
                <w:rFonts w:hint="eastAsia"/>
                <w:highlight w:val="none"/>
              </w:rPr>
              <w:t>a) 应对系统管理员进行身份鉴别，只允许其通过特定的命令或操作界面进行系统管理</w:t>
            </w:r>
          </w:p>
          <w:p w14:paraId="6510461E">
            <w:pPr>
              <w:rPr>
                <w:highlight w:val="none"/>
              </w:rPr>
            </w:pPr>
            <w:r>
              <w:rPr>
                <w:rFonts w:hint="eastAsia"/>
                <w:highlight w:val="none"/>
              </w:rPr>
              <w:t>操作，并对这些操作进行审计。</w:t>
            </w:r>
          </w:p>
        </w:tc>
      </w:tr>
      <w:tr w14:paraId="1EA9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blHeader/>
          <w:jc w:val="center"/>
        </w:trPr>
        <w:tc>
          <w:tcPr>
            <w:tcW w:w="857" w:type="dxa"/>
            <w:vMerge w:val="continue"/>
            <w:noWrap w:val="0"/>
            <w:vAlign w:val="center"/>
          </w:tcPr>
          <w:p w14:paraId="5EEEC7B1">
            <w:pPr>
              <w:jc w:val="center"/>
              <w:rPr>
                <w:highlight w:val="none"/>
              </w:rPr>
            </w:pPr>
          </w:p>
        </w:tc>
        <w:tc>
          <w:tcPr>
            <w:tcW w:w="1785" w:type="dxa"/>
            <w:vMerge w:val="continue"/>
            <w:noWrap w:val="0"/>
            <w:vAlign w:val="center"/>
          </w:tcPr>
          <w:p w14:paraId="4B7AFBAA">
            <w:pPr>
              <w:jc w:val="center"/>
              <w:rPr>
                <w:highlight w:val="none"/>
              </w:rPr>
            </w:pPr>
          </w:p>
        </w:tc>
        <w:tc>
          <w:tcPr>
            <w:tcW w:w="6397" w:type="dxa"/>
            <w:noWrap w:val="0"/>
            <w:vAlign w:val="center"/>
          </w:tcPr>
          <w:p w14:paraId="07DF10F9">
            <w:pPr>
              <w:rPr>
                <w:rFonts w:hint="eastAsia" w:eastAsia="宋体"/>
                <w:highlight w:val="none"/>
                <w:lang w:eastAsia="zh-CN"/>
              </w:rPr>
            </w:pPr>
            <w:r>
              <w:rPr>
                <w:rFonts w:hint="eastAsia"/>
                <w:highlight w:val="none"/>
              </w:rPr>
              <w:t>b) 应通过系统管理员对系统的资源和运行进行配置、控制和管理，包括用户身份、资源</w:t>
            </w:r>
          </w:p>
          <w:p w14:paraId="4EA64456">
            <w:pPr>
              <w:rPr>
                <w:highlight w:val="none"/>
              </w:rPr>
            </w:pPr>
            <w:r>
              <w:rPr>
                <w:rFonts w:hint="eastAsia"/>
                <w:highlight w:val="none"/>
              </w:rPr>
              <w:t>配置、系统加载和启动、系统运行的异常处理、数据和设备的备份与恢复等。</w:t>
            </w:r>
          </w:p>
        </w:tc>
      </w:tr>
      <w:tr w14:paraId="0EE5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jc w:val="center"/>
        </w:trPr>
        <w:tc>
          <w:tcPr>
            <w:tcW w:w="857" w:type="dxa"/>
            <w:vMerge w:val="restart"/>
            <w:noWrap w:val="0"/>
            <w:vAlign w:val="center"/>
          </w:tcPr>
          <w:p w14:paraId="54C629BD">
            <w:pPr>
              <w:jc w:val="center"/>
              <w:rPr>
                <w:rFonts w:hint="eastAsia" w:eastAsia="宋体"/>
                <w:highlight w:val="none"/>
                <w:lang w:val="en-US" w:eastAsia="zh-CN"/>
              </w:rPr>
            </w:pPr>
            <w:r>
              <w:rPr>
                <w:rFonts w:hint="eastAsia"/>
                <w:highlight w:val="none"/>
                <w:lang w:val="en-US" w:eastAsia="zh-CN"/>
              </w:rPr>
              <w:t>2</w:t>
            </w:r>
          </w:p>
        </w:tc>
        <w:tc>
          <w:tcPr>
            <w:tcW w:w="1785" w:type="dxa"/>
            <w:vMerge w:val="restart"/>
            <w:noWrap w:val="0"/>
            <w:vAlign w:val="center"/>
          </w:tcPr>
          <w:p w14:paraId="7D375F20">
            <w:pPr>
              <w:jc w:val="center"/>
              <w:rPr>
                <w:highlight w:val="none"/>
              </w:rPr>
            </w:pPr>
            <w:r>
              <w:rPr>
                <w:rFonts w:hint="eastAsia"/>
                <w:highlight w:val="none"/>
              </w:rPr>
              <w:t>审计管理</w:t>
            </w:r>
          </w:p>
        </w:tc>
        <w:tc>
          <w:tcPr>
            <w:tcW w:w="6397" w:type="dxa"/>
            <w:noWrap w:val="0"/>
            <w:vAlign w:val="center"/>
          </w:tcPr>
          <w:p w14:paraId="78F3AA5A">
            <w:pPr>
              <w:rPr>
                <w:rFonts w:hint="eastAsia" w:eastAsia="宋体"/>
                <w:highlight w:val="none"/>
                <w:lang w:eastAsia="zh-CN"/>
              </w:rPr>
            </w:pPr>
            <w:r>
              <w:rPr>
                <w:rFonts w:hint="eastAsia"/>
                <w:highlight w:val="none"/>
              </w:rPr>
              <w:t>a) 应对审计管理员进行身份鉴别，只允许其通过特定的命令或操作界面进行安全审计</w:t>
            </w:r>
          </w:p>
          <w:p w14:paraId="12DD7D34">
            <w:pPr>
              <w:rPr>
                <w:highlight w:val="none"/>
              </w:rPr>
            </w:pPr>
            <w:r>
              <w:rPr>
                <w:rFonts w:hint="eastAsia"/>
                <w:highlight w:val="none"/>
              </w:rPr>
              <w:t>操作，并对这些操作进行审计。</w:t>
            </w:r>
          </w:p>
        </w:tc>
      </w:tr>
      <w:tr w14:paraId="2617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jc w:val="center"/>
        </w:trPr>
        <w:tc>
          <w:tcPr>
            <w:tcW w:w="857" w:type="dxa"/>
            <w:vMerge w:val="continue"/>
            <w:noWrap w:val="0"/>
            <w:vAlign w:val="center"/>
          </w:tcPr>
          <w:p w14:paraId="6E9B466D">
            <w:pPr>
              <w:jc w:val="center"/>
              <w:rPr>
                <w:highlight w:val="none"/>
              </w:rPr>
            </w:pPr>
          </w:p>
        </w:tc>
        <w:tc>
          <w:tcPr>
            <w:tcW w:w="1785" w:type="dxa"/>
            <w:vMerge w:val="continue"/>
            <w:noWrap w:val="0"/>
            <w:vAlign w:val="center"/>
          </w:tcPr>
          <w:p w14:paraId="7C397AED">
            <w:pPr>
              <w:jc w:val="center"/>
              <w:rPr>
                <w:highlight w:val="none"/>
              </w:rPr>
            </w:pPr>
          </w:p>
        </w:tc>
        <w:tc>
          <w:tcPr>
            <w:tcW w:w="6397" w:type="dxa"/>
            <w:noWrap w:val="0"/>
            <w:vAlign w:val="center"/>
          </w:tcPr>
          <w:p w14:paraId="280BDB85">
            <w:pPr>
              <w:rPr>
                <w:rFonts w:hint="eastAsia" w:eastAsia="宋体"/>
                <w:highlight w:val="none"/>
                <w:lang w:eastAsia="zh-CN"/>
              </w:rPr>
            </w:pPr>
            <w:r>
              <w:rPr>
                <w:rFonts w:hint="eastAsia"/>
                <w:highlight w:val="none"/>
              </w:rPr>
              <w:t>b) 应通过审计管理员对审计记录进行分析，并根据分析结果进行处理，包括根据安全</w:t>
            </w:r>
          </w:p>
          <w:p w14:paraId="1FA8DF4F">
            <w:pPr>
              <w:rPr>
                <w:highlight w:val="none"/>
              </w:rPr>
            </w:pPr>
            <w:r>
              <w:rPr>
                <w:rFonts w:hint="eastAsia"/>
                <w:highlight w:val="none"/>
              </w:rPr>
              <w:t>审计策略对审计记录进行存储、管理和查询等。</w:t>
            </w:r>
          </w:p>
        </w:tc>
      </w:tr>
      <w:tr w14:paraId="64E8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jc w:val="center"/>
        </w:trPr>
        <w:tc>
          <w:tcPr>
            <w:tcW w:w="857" w:type="dxa"/>
            <w:vMerge w:val="restart"/>
            <w:noWrap w:val="0"/>
            <w:vAlign w:val="center"/>
          </w:tcPr>
          <w:p w14:paraId="6CE12681">
            <w:pPr>
              <w:jc w:val="center"/>
              <w:rPr>
                <w:rFonts w:hint="eastAsia" w:eastAsia="宋体"/>
                <w:highlight w:val="none"/>
                <w:lang w:val="en-US" w:eastAsia="zh-CN"/>
              </w:rPr>
            </w:pPr>
            <w:r>
              <w:rPr>
                <w:rFonts w:hint="eastAsia"/>
                <w:highlight w:val="none"/>
                <w:lang w:val="en-US" w:eastAsia="zh-CN"/>
              </w:rPr>
              <w:t>3</w:t>
            </w:r>
          </w:p>
        </w:tc>
        <w:tc>
          <w:tcPr>
            <w:tcW w:w="1785" w:type="dxa"/>
            <w:vMerge w:val="restart"/>
            <w:noWrap w:val="0"/>
            <w:vAlign w:val="center"/>
          </w:tcPr>
          <w:p w14:paraId="56D22353">
            <w:pPr>
              <w:jc w:val="center"/>
              <w:rPr>
                <w:highlight w:val="none"/>
              </w:rPr>
            </w:pPr>
            <w:r>
              <w:rPr>
                <w:rFonts w:hint="eastAsia"/>
                <w:highlight w:val="none"/>
              </w:rPr>
              <w:t>安全管理</w:t>
            </w:r>
          </w:p>
        </w:tc>
        <w:tc>
          <w:tcPr>
            <w:tcW w:w="6397" w:type="dxa"/>
            <w:noWrap w:val="0"/>
            <w:vAlign w:val="center"/>
          </w:tcPr>
          <w:p w14:paraId="1E61976A">
            <w:pPr>
              <w:rPr>
                <w:rFonts w:hint="eastAsia" w:eastAsia="宋体"/>
                <w:highlight w:val="none"/>
                <w:lang w:eastAsia="zh-CN"/>
              </w:rPr>
            </w:pPr>
            <w:r>
              <w:rPr>
                <w:rFonts w:hint="eastAsia"/>
                <w:highlight w:val="none"/>
              </w:rPr>
              <w:t>a) 应对安全管理员进行身份鉴别，只允许其通过特定的命令或操作界面进行安全管理</w:t>
            </w:r>
          </w:p>
          <w:p w14:paraId="22E2D0D9">
            <w:pPr>
              <w:rPr>
                <w:highlight w:val="none"/>
              </w:rPr>
            </w:pPr>
            <w:r>
              <w:rPr>
                <w:rFonts w:hint="eastAsia"/>
                <w:highlight w:val="none"/>
              </w:rPr>
              <w:t>操作，并对这些操作进行审计。</w:t>
            </w:r>
          </w:p>
        </w:tc>
      </w:tr>
      <w:tr w14:paraId="7C80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blHeader/>
          <w:jc w:val="center"/>
        </w:trPr>
        <w:tc>
          <w:tcPr>
            <w:tcW w:w="857" w:type="dxa"/>
            <w:vMerge w:val="continue"/>
            <w:noWrap w:val="0"/>
            <w:vAlign w:val="center"/>
          </w:tcPr>
          <w:p w14:paraId="0B4D4989">
            <w:pPr>
              <w:jc w:val="center"/>
              <w:rPr>
                <w:highlight w:val="none"/>
              </w:rPr>
            </w:pPr>
          </w:p>
        </w:tc>
        <w:tc>
          <w:tcPr>
            <w:tcW w:w="1785" w:type="dxa"/>
            <w:vMerge w:val="continue"/>
            <w:noWrap w:val="0"/>
            <w:vAlign w:val="center"/>
          </w:tcPr>
          <w:p w14:paraId="3634F0E8">
            <w:pPr>
              <w:jc w:val="center"/>
              <w:rPr>
                <w:highlight w:val="none"/>
              </w:rPr>
            </w:pPr>
          </w:p>
        </w:tc>
        <w:tc>
          <w:tcPr>
            <w:tcW w:w="6397" w:type="dxa"/>
            <w:noWrap w:val="0"/>
            <w:vAlign w:val="center"/>
          </w:tcPr>
          <w:p w14:paraId="13D8591C">
            <w:pPr>
              <w:rPr>
                <w:rFonts w:hint="eastAsia" w:eastAsia="宋体"/>
                <w:highlight w:val="none"/>
                <w:lang w:eastAsia="zh-CN"/>
              </w:rPr>
            </w:pPr>
            <w:r>
              <w:rPr>
                <w:rFonts w:hint="eastAsia"/>
                <w:highlight w:val="none"/>
              </w:rPr>
              <w:t>b) 应通过安全管理员对系统中的安全策略进行配置，包括安全参数的设置，主体、客体</w:t>
            </w:r>
          </w:p>
          <w:p w14:paraId="5202CB83">
            <w:pPr>
              <w:rPr>
                <w:highlight w:val="none"/>
              </w:rPr>
            </w:pPr>
            <w:r>
              <w:rPr>
                <w:rFonts w:hint="eastAsia"/>
                <w:highlight w:val="none"/>
              </w:rPr>
              <w:t>进行统 一 安全标记，对主体进行授权，配置可信验证策略等。</w:t>
            </w:r>
          </w:p>
        </w:tc>
      </w:tr>
      <w:tr w14:paraId="709F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857" w:type="dxa"/>
            <w:vMerge w:val="restart"/>
            <w:noWrap w:val="0"/>
            <w:vAlign w:val="center"/>
          </w:tcPr>
          <w:p w14:paraId="27DA4B30">
            <w:pPr>
              <w:jc w:val="center"/>
              <w:rPr>
                <w:rFonts w:hint="eastAsia" w:eastAsia="宋体"/>
                <w:highlight w:val="none"/>
                <w:lang w:val="en-US" w:eastAsia="zh-CN"/>
              </w:rPr>
            </w:pPr>
            <w:r>
              <w:rPr>
                <w:rFonts w:hint="eastAsia"/>
                <w:highlight w:val="none"/>
                <w:lang w:val="en-US" w:eastAsia="zh-CN"/>
              </w:rPr>
              <w:t>4</w:t>
            </w:r>
          </w:p>
        </w:tc>
        <w:tc>
          <w:tcPr>
            <w:tcW w:w="1785" w:type="dxa"/>
            <w:vMerge w:val="restart"/>
            <w:noWrap w:val="0"/>
            <w:vAlign w:val="center"/>
          </w:tcPr>
          <w:p w14:paraId="796DBCE5">
            <w:pPr>
              <w:jc w:val="center"/>
              <w:rPr>
                <w:highlight w:val="none"/>
              </w:rPr>
            </w:pPr>
            <w:r>
              <w:rPr>
                <w:rFonts w:hint="eastAsia"/>
                <w:highlight w:val="none"/>
              </w:rPr>
              <w:t>集中管控</w:t>
            </w:r>
          </w:p>
        </w:tc>
        <w:tc>
          <w:tcPr>
            <w:tcW w:w="6397" w:type="dxa"/>
            <w:noWrap w:val="0"/>
            <w:vAlign w:val="center"/>
          </w:tcPr>
          <w:p w14:paraId="56BC4D1F">
            <w:pPr>
              <w:rPr>
                <w:highlight w:val="none"/>
              </w:rPr>
            </w:pPr>
            <w:r>
              <w:rPr>
                <w:rFonts w:hint="eastAsia"/>
                <w:highlight w:val="none"/>
              </w:rPr>
              <w:t>a) 应划分出特定的管理区域，对分布在网络中的安全设备或安全组件进行管控。</w:t>
            </w:r>
          </w:p>
        </w:tc>
      </w:tr>
      <w:tr w14:paraId="765B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857" w:type="dxa"/>
            <w:vMerge w:val="continue"/>
            <w:noWrap w:val="0"/>
            <w:vAlign w:val="center"/>
          </w:tcPr>
          <w:p w14:paraId="761B8241">
            <w:pPr>
              <w:rPr>
                <w:highlight w:val="none"/>
              </w:rPr>
            </w:pPr>
          </w:p>
        </w:tc>
        <w:tc>
          <w:tcPr>
            <w:tcW w:w="1785" w:type="dxa"/>
            <w:vMerge w:val="continue"/>
            <w:noWrap w:val="0"/>
            <w:vAlign w:val="center"/>
          </w:tcPr>
          <w:p w14:paraId="49993CCE">
            <w:pPr>
              <w:rPr>
                <w:highlight w:val="none"/>
              </w:rPr>
            </w:pPr>
          </w:p>
        </w:tc>
        <w:tc>
          <w:tcPr>
            <w:tcW w:w="6397" w:type="dxa"/>
            <w:noWrap w:val="0"/>
            <w:vAlign w:val="center"/>
          </w:tcPr>
          <w:p w14:paraId="6CEE06C7">
            <w:pPr>
              <w:rPr>
                <w:highlight w:val="none"/>
              </w:rPr>
            </w:pPr>
            <w:r>
              <w:rPr>
                <w:rFonts w:hint="eastAsia"/>
                <w:highlight w:val="none"/>
              </w:rPr>
              <w:t>b) 应能够建立 一 条安全的信息传输路径，对网络中的安全设备或安全组件进行管理。</w:t>
            </w:r>
          </w:p>
        </w:tc>
      </w:tr>
      <w:tr w14:paraId="2CFE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857" w:type="dxa"/>
            <w:vMerge w:val="continue"/>
            <w:noWrap w:val="0"/>
            <w:vAlign w:val="center"/>
          </w:tcPr>
          <w:p w14:paraId="194530B1">
            <w:pPr>
              <w:rPr>
                <w:highlight w:val="none"/>
              </w:rPr>
            </w:pPr>
          </w:p>
        </w:tc>
        <w:tc>
          <w:tcPr>
            <w:tcW w:w="1785" w:type="dxa"/>
            <w:vMerge w:val="continue"/>
            <w:noWrap w:val="0"/>
            <w:vAlign w:val="center"/>
          </w:tcPr>
          <w:p w14:paraId="0227C1B0">
            <w:pPr>
              <w:rPr>
                <w:highlight w:val="none"/>
              </w:rPr>
            </w:pPr>
          </w:p>
        </w:tc>
        <w:tc>
          <w:tcPr>
            <w:tcW w:w="6397" w:type="dxa"/>
            <w:noWrap w:val="0"/>
            <w:vAlign w:val="center"/>
          </w:tcPr>
          <w:p w14:paraId="0A010067">
            <w:pPr>
              <w:rPr>
                <w:highlight w:val="none"/>
              </w:rPr>
            </w:pPr>
            <w:r>
              <w:rPr>
                <w:rFonts w:hint="eastAsia"/>
                <w:highlight w:val="none"/>
              </w:rPr>
              <w:t>c) 应对网络链路、安全设备、网络设备和服务器等的运行状况进行集中监测。</w:t>
            </w:r>
          </w:p>
        </w:tc>
      </w:tr>
      <w:tr w14:paraId="4F1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jc w:val="center"/>
        </w:trPr>
        <w:tc>
          <w:tcPr>
            <w:tcW w:w="857" w:type="dxa"/>
            <w:vMerge w:val="continue"/>
            <w:noWrap w:val="0"/>
            <w:vAlign w:val="center"/>
          </w:tcPr>
          <w:p w14:paraId="480CC856">
            <w:pPr>
              <w:rPr>
                <w:highlight w:val="none"/>
              </w:rPr>
            </w:pPr>
          </w:p>
        </w:tc>
        <w:tc>
          <w:tcPr>
            <w:tcW w:w="1785" w:type="dxa"/>
            <w:vMerge w:val="continue"/>
            <w:noWrap w:val="0"/>
            <w:vAlign w:val="center"/>
          </w:tcPr>
          <w:p w14:paraId="306C7B57">
            <w:pPr>
              <w:rPr>
                <w:highlight w:val="none"/>
              </w:rPr>
            </w:pPr>
          </w:p>
        </w:tc>
        <w:tc>
          <w:tcPr>
            <w:tcW w:w="6397" w:type="dxa"/>
            <w:noWrap w:val="0"/>
            <w:vAlign w:val="center"/>
          </w:tcPr>
          <w:p w14:paraId="04936842">
            <w:pPr>
              <w:rPr>
                <w:highlight w:val="none"/>
              </w:rPr>
            </w:pPr>
            <w:r>
              <w:rPr>
                <w:rFonts w:hint="eastAsia"/>
                <w:highlight w:val="none"/>
              </w:rPr>
              <w:t>d) 应对分散在各个设备上的审计数据进行收集汇总和集中分析，并保证审计记录的留存时间符合法律法规要求。</w:t>
            </w:r>
          </w:p>
        </w:tc>
      </w:tr>
      <w:tr w14:paraId="02A2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857" w:type="dxa"/>
            <w:vMerge w:val="continue"/>
            <w:noWrap w:val="0"/>
            <w:vAlign w:val="center"/>
          </w:tcPr>
          <w:p w14:paraId="1326ADDF">
            <w:pPr>
              <w:rPr>
                <w:highlight w:val="none"/>
              </w:rPr>
            </w:pPr>
          </w:p>
        </w:tc>
        <w:tc>
          <w:tcPr>
            <w:tcW w:w="1785" w:type="dxa"/>
            <w:vMerge w:val="continue"/>
            <w:noWrap w:val="0"/>
            <w:vAlign w:val="center"/>
          </w:tcPr>
          <w:p w14:paraId="450491EB">
            <w:pPr>
              <w:rPr>
                <w:highlight w:val="none"/>
              </w:rPr>
            </w:pPr>
          </w:p>
        </w:tc>
        <w:tc>
          <w:tcPr>
            <w:tcW w:w="6397" w:type="dxa"/>
            <w:noWrap w:val="0"/>
            <w:vAlign w:val="center"/>
          </w:tcPr>
          <w:p w14:paraId="34EFB4CB">
            <w:pPr>
              <w:rPr>
                <w:highlight w:val="none"/>
              </w:rPr>
            </w:pPr>
            <w:r>
              <w:rPr>
                <w:rFonts w:hint="eastAsia"/>
                <w:highlight w:val="none"/>
              </w:rPr>
              <w:t>e) 应对安全策略，恶意代码，补了升级等安全相关事项进行集中管理</w:t>
            </w:r>
          </w:p>
        </w:tc>
      </w:tr>
      <w:tr w14:paraId="61CE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jc w:val="center"/>
        </w:trPr>
        <w:tc>
          <w:tcPr>
            <w:tcW w:w="857" w:type="dxa"/>
            <w:vMerge w:val="continue"/>
            <w:noWrap w:val="0"/>
            <w:vAlign w:val="center"/>
          </w:tcPr>
          <w:p w14:paraId="25977847">
            <w:pPr>
              <w:rPr>
                <w:highlight w:val="none"/>
              </w:rPr>
            </w:pPr>
          </w:p>
        </w:tc>
        <w:tc>
          <w:tcPr>
            <w:tcW w:w="1785" w:type="dxa"/>
            <w:vMerge w:val="continue"/>
            <w:noWrap w:val="0"/>
            <w:vAlign w:val="center"/>
          </w:tcPr>
          <w:p w14:paraId="3BA7C4D9">
            <w:pPr>
              <w:rPr>
                <w:highlight w:val="none"/>
              </w:rPr>
            </w:pPr>
          </w:p>
        </w:tc>
        <w:tc>
          <w:tcPr>
            <w:tcW w:w="6397" w:type="dxa"/>
            <w:noWrap w:val="0"/>
            <w:vAlign w:val="center"/>
          </w:tcPr>
          <w:p w14:paraId="5ED768A6">
            <w:pPr>
              <w:rPr>
                <w:highlight w:val="none"/>
              </w:rPr>
            </w:pPr>
            <w:r>
              <w:rPr>
                <w:rFonts w:hint="eastAsia"/>
                <w:highlight w:val="none"/>
              </w:rPr>
              <w:t>f) 应能对网络中发生的各类安全事件进行识别、报警和分析。</w:t>
            </w:r>
          </w:p>
        </w:tc>
      </w:tr>
    </w:tbl>
    <w:p w14:paraId="240CAFF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6.安全管理制度</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09"/>
        <w:gridCol w:w="6482"/>
      </w:tblGrid>
      <w:tr w14:paraId="78F7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868" w:type="dxa"/>
            <w:noWrap w:val="0"/>
            <w:vAlign w:val="center"/>
          </w:tcPr>
          <w:p w14:paraId="031E6A7F">
            <w:pPr>
              <w:jc w:val="center"/>
              <w:rPr>
                <w:b/>
                <w:bCs/>
                <w:highlight w:val="none"/>
              </w:rPr>
            </w:pPr>
            <w:r>
              <w:rPr>
                <w:rFonts w:hint="eastAsia"/>
                <w:b/>
                <w:bCs/>
                <w:highlight w:val="none"/>
              </w:rPr>
              <w:t>序号</w:t>
            </w:r>
          </w:p>
        </w:tc>
        <w:tc>
          <w:tcPr>
            <w:tcW w:w="1809" w:type="dxa"/>
            <w:noWrap w:val="0"/>
            <w:vAlign w:val="center"/>
          </w:tcPr>
          <w:p w14:paraId="326D1E61">
            <w:pPr>
              <w:jc w:val="center"/>
              <w:rPr>
                <w:b/>
                <w:bCs/>
                <w:highlight w:val="none"/>
              </w:rPr>
            </w:pPr>
            <w:r>
              <w:rPr>
                <w:rFonts w:hint="eastAsia"/>
                <w:b/>
                <w:bCs/>
                <w:highlight w:val="none"/>
              </w:rPr>
              <w:t>工作单元名称</w:t>
            </w:r>
          </w:p>
        </w:tc>
        <w:tc>
          <w:tcPr>
            <w:tcW w:w="6482" w:type="dxa"/>
            <w:noWrap w:val="0"/>
            <w:vAlign w:val="center"/>
          </w:tcPr>
          <w:p w14:paraId="1F024170">
            <w:pPr>
              <w:jc w:val="center"/>
              <w:rPr>
                <w:b/>
                <w:bCs/>
                <w:highlight w:val="none"/>
              </w:rPr>
            </w:pPr>
            <w:r>
              <w:rPr>
                <w:rFonts w:hint="eastAsia"/>
                <w:b/>
                <w:bCs/>
                <w:highlight w:val="none"/>
              </w:rPr>
              <w:t>测评指标</w:t>
            </w:r>
          </w:p>
        </w:tc>
      </w:tr>
      <w:tr w14:paraId="4A93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blHeader/>
          <w:jc w:val="center"/>
        </w:trPr>
        <w:tc>
          <w:tcPr>
            <w:tcW w:w="868" w:type="dxa"/>
            <w:noWrap w:val="0"/>
            <w:vAlign w:val="center"/>
          </w:tcPr>
          <w:p w14:paraId="645121C0">
            <w:pPr>
              <w:jc w:val="center"/>
              <w:rPr>
                <w:rFonts w:hint="eastAsia" w:eastAsia="宋体"/>
                <w:highlight w:val="none"/>
                <w:lang w:val="en-US" w:eastAsia="zh-CN"/>
              </w:rPr>
            </w:pPr>
            <w:r>
              <w:rPr>
                <w:rFonts w:hint="eastAsia"/>
                <w:highlight w:val="none"/>
                <w:lang w:val="en-US" w:eastAsia="zh-CN"/>
              </w:rPr>
              <w:t>1</w:t>
            </w:r>
          </w:p>
        </w:tc>
        <w:tc>
          <w:tcPr>
            <w:tcW w:w="1809" w:type="dxa"/>
            <w:noWrap w:val="0"/>
            <w:vAlign w:val="center"/>
          </w:tcPr>
          <w:p w14:paraId="6717AB50">
            <w:pPr>
              <w:jc w:val="center"/>
              <w:rPr>
                <w:highlight w:val="none"/>
              </w:rPr>
            </w:pPr>
            <w:r>
              <w:rPr>
                <w:rFonts w:hint="eastAsia"/>
                <w:highlight w:val="none"/>
              </w:rPr>
              <w:t>安全策略</w:t>
            </w:r>
          </w:p>
        </w:tc>
        <w:tc>
          <w:tcPr>
            <w:tcW w:w="6482" w:type="dxa"/>
            <w:noWrap w:val="0"/>
            <w:vAlign w:val="center"/>
          </w:tcPr>
          <w:p w14:paraId="22B65509">
            <w:pPr>
              <w:rPr>
                <w:highlight w:val="none"/>
              </w:rPr>
            </w:pPr>
            <w:r>
              <w:rPr>
                <w:rFonts w:hint="eastAsia"/>
                <w:highlight w:val="none"/>
              </w:rPr>
              <w:t>应制定网络安全工作的总体方针和安全策略，阐明机构安全工作的总体目标、范围、原则和安全框架等。</w:t>
            </w:r>
          </w:p>
        </w:tc>
      </w:tr>
      <w:tr w14:paraId="5B28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868" w:type="dxa"/>
            <w:vMerge w:val="restart"/>
            <w:noWrap w:val="0"/>
            <w:vAlign w:val="center"/>
          </w:tcPr>
          <w:p w14:paraId="7D4590B9">
            <w:pPr>
              <w:jc w:val="center"/>
              <w:rPr>
                <w:rFonts w:hint="eastAsia" w:eastAsia="宋体"/>
                <w:highlight w:val="none"/>
                <w:lang w:val="en-US" w:eastAsia="zh-CN"/>
              </w:rPr>
            </w:pPr>
            <w:r>
              <w:rPr>
                <w:rFonts w:hint="eastAsia"/>
                <w:highlight w:val="none"/>
                <w:lang w:val="en-US" w:eastAsia="zh-CN"/>
              </w:rPr>
              <w:t>2</w:t>
            </w:r>
          </w:p>
        </w:tc>
        <w:tc>
          <w:tcPr>
            <w:tcW w:w="1809" w:type="dxa"/>
            <w:vMerge w:val="restart"/>
            <w:noWrap w:val="0"/>
            <w:vAlign w:val="center"/>
          </w:tcPr>
          <w:p w14:paraId="667C64DB">
            <w:pPr>
              <w:jc w:val="center"/>
              <w:rPr>
                <w:highlight w:val="none"/>
              </w:rPr>
            </w:pPr>
            <w:r>
              <w:rPr>
                <w:rFonts w:hint="eastAsia"/>
                <w:highlight w:val="none"/>
              </w:rPr>
              <w:t>管理制度</w:t>
            </w:r>
          </w:p>
        </w:tc>
        <w:tc>
          <w:tcPr>
            <w:tcW w:w="6482" w:type="dxa"/>
            <w:noWrap w:val="0"/>
            <w:vAlign w:val="center"/>
          </w:tcPr>
          <w:p w14:paraId="0CB3ACCF">
            <w:pPr>
              <w:rPr>
                <w:highlight w:val="none"/>
              </w:rPr>
            </w:pPr>
            <w:r>
              <w:rPr>
                <w:rFonts w:hint="eastAsia"/>
                <w:highlight w:val="none"/>
              </w:rPr>
              <w:t>a)应对安全管理活动中的主要管理内容建立安全管理制度</w:t>
            </w:r>
          </w:p>
        </w:tc>
      </w:tr>
      <w:tr w14:paraId="4E30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868" w:type="dxa"/>
            <w:vMerge w:val="continue"/>
            <w:noWrap w:val="0"/>
            <w:vAlign w:val="center"/>
          </w:tcPr>
          <w:p w14:paraId="6400E6B2">
            <w:pPr>
              <w:jc w:val="center"/>
              <w:rPr>
                <w:highlight w:val="none"/>
              </w:rPr>
            </w:pPr>
          </w:p>
        </w:tc>
        <w:tc>
          <w:tcPr>
            <w:tcW w:w="1809" w:type="dxa"/>
            <w:vMerge w:val="continue"/>
            <w:noWrap w:val="0"/>
            <w:vAlign w:val="center"/>
          </w:tcPr>
          <w:p w14:paraId="64A307C8">
            <w:pPr>
              <w:jc w:val="center"/>
              <w:rPr>
                <w:highlight w:val="none"/>
              </w:rPr>
            </w:pPr>
          </w:p>
        </w:tc>
        <w:tc>
          <w:tcPr>
            <w:tcW w:w="6482" w:type="dxa"/>
            <w:noWrap w:val="0"/>
            <w:vAlign w:val="center"/>
          </w:tcPr>
          <w:p w14:paraId="02EABF9B">
            <w:pPr>
              <w:rPr>
                <w:highlight w:val="none"/>
              </w:rPr>
            </w:pPr>
            <w:r>
              <w:rPr>
                <w:rFonts w:hint="eastAsia"/>
                <w:highlight w:val="none"/>
              </w:rPr>
              <w:t>b)应对管理人员或操作人员执行的日常管理操作建立操作规程。</w:t>
            </w:r>
          </w:p>
        </w:tc>
      </w:tr>
      <w:tr w14:paraId="7EC9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blHeader/>
          <w:jc w:val="center"/>
        </w:trPr>
        <w:tc>
          <w:tcPr>
            <w:tcW w:w="868" w:type="dxa"/>
            <w:vMerge w:val="continue"/>
            <w:noWrap w:val="0"/>
            <w:vAlign w:val="center"/>
          </w:tcPr>
          <w:p w14:paraId="43384A2C">
            <w:pPr>
              <w:jc w:val="center"/>
              <w:rPr>
                <w:highlight w:val="none"/>
              </w:rPr>
            </w:pPr>
          </w:p>
        </w:tc>
        <w:tc>
          <w:tcPr>
            <w:tcW w:w="1809" w:type="dxa"/>
            <w:vMerge w:val="continue"/>
            <w:noWrap w:val="0"/>
            <w:vAlign w:val="center"/>
          </w:tcPr>
          <w:p w14:paraId="536DAC01">
            <w:pPr>
              <w:jc w:val="center"/>
              <w:rPr>
                <w:highlight w:val="none"/>
              </w:rPr>
            </w:pPr>
          </w:p>
        </w:tc>
        <w:tc>
          <w:tcPr>
            <w:tcW w:w="6482" w:type="dxa"/>
            <w:noWrap w:val="0"/>
            <w:vAlign w:val="center"/>
          </w:tcPr>
          <w:p w14:paraId="390E4C82">
            <w:pPr>
              <w:rPr>
                <w:highlight w:val="none"/>
              </w:rPr>
            </w:pPr>
            <w:r>
              <w:rPr>
                <w:rFonts w:hint="eastAsia"/>
                <w:highlight w:val="none"/>
              </w:rPr>
              <w:t>c）应形成由安全策略、管理制度、操作规程、记录表单等构成的全面的安全管理制度体系。</w:t>
            </w:r>
          </w:p>
        </w:tc>
      </w:tr>
      <w:tr w14:paraId="7215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868" w:type="dxa"/>
            <w:vMerge w:val="restart"/>
            <w:noWrap w:val="0"/>
            <w:vAlign w:val="center"/>
          </w:tcPr>
          <w:p w14:paraId="23D2B781">
            <w:pPr>
              <w:jc w:val="center"/>
              <w:rPr>
                <w:rFonts w:hint="eastAsia" w:eastAsia="宋体"/>
                <w:highlight w:val="none"/>
                <w:lang w:val="en-US" w:eastAsia="zh-CN"/>
              </w:rPr>
            </w:pPr>
            <w:r>
              <w:rPr>
                <w:rFonts w:hint="eastAsia"/>
                <w:highlight w:val="none"/>
                <w:lang w:val="en-US" w:eastAsia="zh-CN"/>
              </w:rPr>
              <w:t>3</w:t>
            </w:r>
          </w:p>
        </w:tc>
        <w:tc>
          <w:tcPr>
            <w:tcW w:w="1809" w:type="dxa"/>
            <w:vMerge w:val="restart"/>
            <w:noWrap w:val="0"/>
            <w:vAlign w:val="center"/>
          </w:tcPr>
          <w:p w14:paraId="2D722DD7">
            <w:pPr>
              <w:jc w:val="center"/>
              <w:rPr>
                <w:highlight w:val="none"/>
              </w:rPr>
            </w:pPr>
            <w:r>
              <w:rPr>
                <w:rFonts w:hint="eastAsia"/>
                <w:highlight w:val="none"/>
              </w:rPr>
              <w:t>制定和发布</w:t>
            </w:r>
          </w:p>
        </w:tc>
        <w:tc>
          <w:tcPr>
            <w:tcW w:w="6482" w:type="dxa"/>
            <w:noWrap w:val="0"/>
            <w:vAlign w:val="center"/>
          </w:tcPr>
          <w:p w14:paraId="13E0754F">
            <w:pPr>
              <w:rPr>
                <w:highlight w:val="none"/>
              </w:rPr>
            </w:pPr>
            <w:r>
              <w:rPr>
                <w:rFonts w:hint="eastAsia"/>
                <w:highlight w:val="none"/>
              </w:rPr>
              <w:t>a) 应指定或授权专门的部门或人员负责安全管理制度的制定。</w:t>
            </w:r>
          </w:p>
        </w:tc>
      </w:tr>
      <w:tr w14:paraId="686D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868" w:type="dxa"/>
            <w:vMerge w:val="continue"/>
            <w:noWrap w:val="0"/>
            <w:vAlign w:val="top"/>
          </w:tcPr>
          <w:p w14:paraId="0F2648A9">
            <w:pPr>
              <w:rPr>
                <w:highlight w:val="none"/>
              </w:rPr>
            </w:pPr>
          </w:p>
        </w:tc>
        <w:tc>
          <w:tcPr>
            <w:tcW w:w="1809" w:type="dxa"/>
            <w:vMerge w:val="continue"/>
            <w:noWrap w:val="0"/>
            <w:vAlign w:val="center"/>
          </w:tcPr>
          <w:p w14:paraId="1A4520E1">
            <w:pPr>
              <w:rPr>
                <w:highlight w:val="none"/>
              </w:rPr>
            </w:pPr>
          </w:p>
        </w:tc>
        <w:tc>
          <w:tcPr>
            <w:tcW w:w="6482" w:type="dxa"/>
            <w:noWrap w:val="0"/>
            <w:vAlign w:val="center"/>
          </w:tcPr>
          <w:p w14:paraId="2E2F1634">
            <w:pPr>
              <w:rPr>
                <w:highlight w:val="none"/>
              </w:rPr>
            </w:pPr>
            <w:r>
              <w:rPr>
                <w:rFonts w:hint="eastAsia"/>
                <w:highlight w:val="none"/>
              </w:rPr>
              <w:t>b）安全管理制度应通过正式、有效的方式发布，并进行版本控制。</w:t>
            </w:r>
          </w:p>
        </w:tc>
      </w:tr>
    </w:tbl>
    <w:p w14:paraId="7ABD13F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7.安全管理机构</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769"/>
        <w:gridCol w:w="6535"/>
      </w:tblGrid>
      <w:tr w14:paraId="1954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Header/>
          <w:jc w:val="center"/>
        </w:trPr>
        <w:tc>
          <w:tcPr>
            <w:tcW w:w="849" w:type="dxa"/>
            <w:noWrap w:val="0"/>
            <w:vAlign w:val="center"/>
          </w:tcPr>
          <w:p w14:paraId="18FBF022">
            <w:pPr>
              <w:jc w:val="center"/>
              <w:rPr>
                <w:b/>
                <w:bCs/>
                <w:highlight w:val="none"/>
              </w:rPr>
            </w:pPr>
            <w:r>
              <w:rPr>
                <w:rFonts w:hint="eastAsia"/>
                <w:b/>
                <w:bCs/>
                <w:highlight w:val="none"/>
              </w:rPr>
              <w:t>序号</w:t>
            </w:r>
          </w:p>
        </w:tc>
        <w:tc>
          <w:tcPr>
            <w:tcW w:w="1769" w:type="dxa"/>
            <w:noWrap w:val="0"/>
            <w:vAlign w:val="center"/>
          </w:tcPr>
          <w:p w14:paraId="197F2402">
            <w:pPr>
              <w:jc w:val="center"/>
              <w:rPr>
                <w:b/>
                <w:bCs/>
                <w:highlight w:val="none"/>
              </w:rPr>
            </w:pPr>
            <w:r>
              <w:rPr>
                <w:rFonts w:hint="eastAsia"/>
                <w:b/>
                <w:bCs/>
                <w:highlight w:val="none"/>
              </w:rPr>
              <w:t>工作单元名称</w:t>
            </w:r>
          </w:p>
        </w:tc>
        <w:tc>
          <w:tcPr>
            <w:tcW w:w="6535" w:type="dxa"/>
            <w:noWrap w:val="0"/>
            <w:vAlign w:val="center"/>
          </w:tcPr>
          <w:p w14:paraId="36549192">
            <w:pPr>
              <w:jc w:val="center"/>
              <w:rPr>
                <w:b/>
                <w:bCs/>
                <w:highlight w:val="none"/>
              </w:rPr>
            </w:pPr>
            <w:r>
              <w:rPr>
                <w:rFonts w:hint="eastAsia"/>
                <w:b/>
                <w:bCs/>
                <w:highlight w:val="none"/>
              </w:rPr>
              <w:t>测评指标</w:t>
            </w:r>
          </w:p>
        </w:tc>
      </w:tr>
      <w:tr w14:paraId="75EB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blHeader/>
          <w:jc w:val="center"/>
        </w:trPr>
        <w:tc>
          <w:tcPr>
            <w:tcW w:w="849" w:type="dxa"/>
            <w:vMerge w:val="restart"/>
            <w:noWrap w:val="0"/>
            <w:vAlign w:val="center"/>
          </w:tcPr>
          <w:p w14:paraId="4F5692FA">
            <w:pPr>
              <w:jc w:val="center"/>
              <w:rPr>
                <w:rFonts w:hint="eastAsia" w:eastAsia="宋体"/>
                <w:highlight w:val="none"/>
                <w:lang w:val="en-US" w:eastAsia="zh-CN"/>
              </w:rPr>
            </w:pPr>
            <w:r>
              <w:rPr>
                <w:rFonts w:hint="eastAsia"/>
                <w:highlight w:val="none"/>
                <w:lang w:val="en-US" w:eastAsia="zh-CN"/>
              </w:rPr>
              <w:t>1</w:t>
            </w:r>
          </w:p>
        </w:tc>
        <w:tc>
          <w:tcPr>
            <w:tcW w:w="1769" w:type="dxa"/>
            <w:vMerge w:val="restart"/>
            <w:noWrap w:val="0"/>
            <w:vAlign w:val="center"/>
          </w:tcPr>
          <w:p w14:paraId="036657C9">
            <w:pPr>
              <w:jc w:val="center"/>
              <w:rPr>
                <w:highlight w:val="none"/>
              </w:rPr>
            </w:pPr>
            <w:r>
              <w:rPr>
                <w:rFonts w:hint="eastAsia"/>
                <w:highlight w:val="none"/>
              </w:rPr>
              <w:t>岗位设置</w:t>
            </w:r>
          </w:p>
        </w:tc>
        <w:tc>
          <w:tcPr>
            <w:tcW w:w="6535" w:type="dxa"/>
            <w:noWrap w:val="0"/>
            <w:vAlign w:val="center"/>
          </w:tcPr>
          <w:p w14:paraId="56C72696">
            <w:pPr>
              <w:rPr>
                <w:highlight w:val="none"/>
              </w:rPr>
            </w:pPr>
            <w:r>
              <w:rPr>
                <w:rFonts w:hint="eastAsia"/>
                <w:highlight w:val="none"/>
              </w:rPr>
              <w:t>a) 应成立指导和网络安全工作的委员会或领导小组，其最高领导由单位主管领导担任或授权。</w:t>
            </w:r>
          </w:p>
        </w:tc>
      </w:tr>
      <w:tr w14:paraId="3381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jc w:val="center"/>
        </w:trPr>
        <w:tc>
          <w:tcPr>
            <w:tcW w:w="849" w:type="dxa"/>
            <w:vMerge w:val="continue"/>
            <w:noWrap w:val="0"/>
            <w:vAlign w:val="center"/>
          </w:tcPr>
          <w:p w14:paraId="01F4CAAF">
            <w:pPr>
              <w:jc w:val="center"/>
              <w:rPr>
                <w:highlight w:val="none"/>
              </w:rPr>
            </w:pPr>
          </w:p>
        </w:tc>
        <w:tc>
          <w:tcPr>
            <w:tcW w:w="1769" w:type="dxa"/>
            <w:vMerge w:val="continue"/>
            <w:noWrap w:val="0"/>
            <w:vAlign w:val="center"/>
          </w:tcPr>
          <w:p w14:paraId="29A4D896">
            <w:pPr>
              <w:jc w:val="center"/>
              <w:rPr>
                <w:highlight w:val="none"/>
              </w:rPr>
            </w:pPr>
          </w:p>
        </w:tc>
        <w:tc>
          <w:tcPr>
            <w:tcW w:w="6535" w:type="dxa"/>
            <w:noWrap w:val="0"/>
            <w:vAlign w:val="center"/>
          </w:tcPr>
          <w:p w14:paraId="35729CB0">
            <w:pPr>
              <w:rPr>
                <w:highlight w:val="none"/>
              </w:rPr>
            </w:pPr>
            <w:r>
              <w:rPr>
                <w:rFonts w:hint="eastAsia"/>
                <w:highlight w:val="none"/>
              </w:rPr>
              <w:t>b) 应设立网络安全管理工作的职能部门，设立安全主管、安全管理各个方面的负责人岗位，并定义各负责人的职责。</w:t>
            </w:r>
          </w:p>
        </w:tc>
      </w:tr>
      <w:tr w14:paraId="0236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jc w:val="center"/>
        </w:trPr>
        <w:tc>
          <w:tcPr>
            <w:tcW w:w="849" w:type="dxa"/>
            <w:vMerge w:val="continue"/>
            <w:noWrap w:val="0"/>
            <w:vAlign w:val="center"/>
          </w:tcPr>
          <w:p w14:paraId="49D30EF1">
            <w:pPr>
              <w:jc w:val="center"/>
              <w:rPr>
                <w:highlight w:val="none"/>
              </w:rPr>
            </w:pPr>
          </w:p>
        </w:tc>
        <w:tc>
          <w:tcPr>
            <w:tcW w:w="1769" w:type="dxa"/>
            <w:vMerge w:val="continue"/>
            <w:noWrap w:val="0"/>
            <w:vAlign w:val="center"/>
          </w:tcPr>
          <w:p w14:paraId="7C3A351A">
            <w:pPr>
              <w:jc w:val="center"/>
              <w:rPr>
                <w:highlight w:val="none"/>
              </w:rPr>
            </w:pPr>
          </w:p>
        </w:tc>
        <w:tc>
          <w:tcPr>
            <w:tcW w:w="6535" w:type="dxa"/>
            <w:noWrap w:val="0"/>
            <w:vAlign w:val="center"/>
          </w:tcPr>
          <w:p w14:paraId="3902BCFA">
            <w:pPr>
              <w:rPr>
                <w:highlight w:val="none"/>
              </w:rPr>
            </w:pPr>
            <w:r>
              <w:rPr>
                <w:rFonts w:hint="eastAsia"/>
                <w:highlight w:val="none"/>
              </w:rPr>
              <w:t>c) 应设立系统管理员、审计管理员和安全管理员等岗位，并定义部门及各个工作岗位的职责。</w:t>
            </w:r>
          </w:p>
        </w:tc>
      </w:tr>
      <w:tr w14:paraId="400F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849" w:type="dxa"/>
            <w:vMerge w:val="restart"/>
            <w:noWrap w:val="0"/>
            <w:vAlign w:val="center"/>
          </w:tcPr>
          <w:p w14:paraId="46BBD0EC">
            <w:pPr>
              <w:jc w:val="center"/>
              <w:rPr>
                <w:rFonts w:hint="eastAsia" w:eastAsia="宋体"/>
                <w:highlight w:val="none"/>
                <w:lang w:val="en-US" w:eastAsia="zh-CN"/>
              </w:rPr>
            </w:pPr>
            <w:r>
              <w:rPr>
                <w:rFonts w:hint="eastAsia"/>
                <w:highlight w:val="none"/>
                <w:lang w:val="en-US" w:eastAsia="zh-CN"/>
              </w:rPr>
              <w:t>2</w:t>
            </w:r>
          </w:p>
        </w:tc>
        <w:tc>
          <w:tcPr>
            <w:tcW w:w="1769" w:type="dxa"/>
            <w:vMerge w:val="restart"/>
            <w:noWrap w:val="0"/>
            <w:vAlign w:val="center"/>
          </w:tcPr>
          <w:p w14:paraId="5AEEE919">
            <w:pPr>
              <w:jc w:val="center"/>
              <w:rPr>
                <w:highlight w:val="none"/>
              </w:rPr>
            </w:pPr>
            <w:r>
              <w:rPr>
                <w:rFonts w:hint="eastAsia"/>
                <w:highlight w:val="none"/>
              </w:rPr>
              <w:t>人员配备</w:t>
            </w:r>
          </w:p>
        </w:tc>
        <w:tc>
          <w:tcPr>
            <w:tcW w:w="6535" w:type="dxa"/>
            <w:noWrap w:val="0"/>
            <w:vAlign w:val="center"/>
          </w:tcPr>
          <w:p w14:paraId="12ACA13F">
            <w:pPr>
              <w:rPr>
                <w:highlight w:val="none"/>
              </w:rPr>
            </w:pPr>
            <w:r>
              <w:rPr>
                <w:rFonts w:hint="eastAsia"/>
                <w:highlight w:val="none"/>
              </w:rPr>
              <w:t>a) 应配备一定数量的系统管理员、审计管理员和安全管理员等。</w:t>
            </w:r>
          </w:p>
        </w:tc>
      </w:tr>
      <w:tr w14:paraId="273F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jc w:val="center"/>
        </w:trPr>
        <w:tc>
          <w:tcPr>
            <w:tcW w:w="849" w:type="dxa"/>
            <w:vMerge w:val="continue"/>
            <w:noWrap w:val="0"/>
            <w:vAlign w:val="center"/>
          </w:tcPr>
          <w:p w14:paraId="6339B48E">
            <w:pPr>
              <w:jc w:val="center"/>
              <w:rPr>
                <w:highlight w:val="none"/>
              </w:rPr>
            </w:pPr>
          </w:p>
        </w:tc>
        <w:tc>
          <w:tcPr>
            <w:tcW w:w="1769" w:type="dxa"/>
            <w:vMerge w:val="continue"/>
            <w:noWrap w:val="0"/>
            <w:vAlign w:val="center"/>
          </w:tcPr>
          <w:p w14:paraId="63CB8D4A">
            <w:pPr>
              <w:jc w:val="center"/>
              <w:rPr>
                <w:highlight w:val="none"/>
              </w:rPr>
            </w:pPr>
          </w:p>
        </w:tc>
        <w:tc>
          <w:tcPr>
            <w:tcW w:w="6535" w:type="dxa"/>
            <w:noWrap w:val="0"/>
            <w:vAlign w:val="center"/>
          </w:tcPr>
          <w:p w14:paraId="5D2FAB30">
            <w:pPr>
              <w:rPr>
                <w:highlight w:val="none"/>
              </w:rPr>
            </w:pPr>
            <w:r>
              <w:rPr>
                <w:rFonts w:hint="eastAsia"/>
                <w:highlight w:val="none"/>
              </w:rPr>
              <w:t>b) 应配备专职安全管理员，不可兼任。</w:t>
            </w:r>
          </w:p>
        </w:tc>
      </w:tr>
      <w:tr w14:paraId="3D70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849" w:type="dxa"/>
            <w:vMerge w:val="restart"/>
            <w:noWrap w:val="0"/>
            <w:vAlign w:val="center"/>
          </w:tcPr>
          <w:p w14:paraId="4FABB060">
            <w:pPr>
              <w:jc w:val="center"/>
              <w:rPr>
                <w:rFonts w:hint="eastAsia" w:eastAsia="宋体"/>
                <w:highlight w:val="none"/>
                <w:lang w:val="en-US" w:eastAsia="zh-CN"/>
              </w:rPr>
            </w:pPr>
            <w:r>
              <w:rPr>
                <w:rFonts w:hint="eastAsia"/>
                <w:highlight w:val="none"/>
                <w:lang w:val="en-US" w:eastAsia="zh-CN"/>
              </w:rPr>
              <w:t>3</w:t>
            </w:r>
          </w:p>
        </w:tc>
        <w:tc>
          <w:tcPr>
            <w:tcW w:w="1769" w:type="dxa"/>
            <w:vMerge w:val="restart"/>
            <w:noWrap w:val="0"/>
            <w:vAlign w:val="center"/>
          </w:tcPr>
          <w:p w14:paraId="420A7714">
            <w:pPr>
              <w:jc w:val="center"/>
              <w:rPr>
                <w:highlight w:val="none"/>
              </w:rPr>
            </w:pPr>
            <w:r>
              <w:rPr>
                <w:rFonts w:hint="eastAsia"/>
                <w:highlight w:val="none"/>
              </w:rPr>
              <w:t>授权和审批</w:t>
            </w:r>
          </w:p>
        </w:tc>
        <w:tc>
          <w:tcPr>
            <w:tcW w:w="6535" w:type="dxa"/>
            <w:noWrap w:val="0"/>
            <w:vAlign w:val="center"/>
          </w:tcPr>
          <w:p w14:paraId="73BD4775">
            <w:pPr>
              <w:rPr>
                <w:highlight w:val="none"/>
              </w:rPr>
            </w:pPr>
            <w:r>
              <w:rPr>
                <w:rFonts w:hint="eastAsia"/>
                <w:highlight w:val="none"/>
              </w:rPr>
              <w:t>a)应根据各个部门和岗位的职责明确授权审批事项、审批部门和批准人等。</w:t>
            </w:r>
          </w:p>
        </w:tc>
      </w:tr>
      <w:tr w14:paraId="4324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849" w:type="dxa"/>
            <w:vMerge w:val="continue"/>
            <w:noWrap w:val="0"/>
            <w:vAlign w:val="center"/>
          </w:tcPr>
          <w:p w14:paraId="4F79F8D6">
            <w:pPr>
              <w:jc w:val="center"/>
              <w:rPr>
                <w:highlight w:val="none"/>
              </w:rPr>
            </w:pPr>
          </w:p>
        </w:tc>
        <w:tc>
          <w:tcPr>
            <w:tcW w:w="1769" w:type="dxa"/>
            <w:vMerge w:val="continue"/>
            <w:noWrap w:val="0"/>
            <w:vAlign w:val="center"/>
          </w:tcPr>
          <w:p w14:paraId="1AD6C075">
            <w:pPr>
              <w:jc w:val="center"/>
              <w:rPr>
                <w:highlight w:val="none"/>
              </w:rPr>
            </w:pPr>
          </w:p>
        </w:tc>
        <w:tc>
          <w:tcPr>
            <w:tcW w:w="6535" w:type="dxa"/>
            <w:noWrap w:val="0"/>
            <w:vAlign w:val="center"/>
          </w:tcPr>
          <w:p w14:paraId="3BEA3696">
            <w:pPr>
              <w:rPr>
                <w:highlight w:val="none"/>
              </w:rPr>
            </w:pPr>
            <w:r>
              <w:rPr>
                <w:rFonts w:hint="eastAsia"/>
                <w:highlight w:val="none"/>
              </w:rPr>
              <w:t>b)应针对系统变更、重要操作、物理访问和系统接入等事项建立审批程序，按照审批程序执行审批过程，对重要活动建立逐级审批制度。</w:t>
            </w:r>
          </w:p>
        </w:tc>
      </w:tr>
      <w:tr w14:paraId="2B2E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blHeader/>
          <w:jc w:val="center"/>
        </w:trPr>
        <w:tc>
          <w:tcPr>
            <w:tcW w:w="849" w:type="dxa"/>
            <w:vMerge w:val="continue"/>
            <w:noWrap w:val="0"/>
            <w:vAlign w:val="center"/>
          </w:tcPr>
          <w:p w14:paraId="35895776">
            <w:pPr>
              <w:jc w:val="center"/>
              <w:rPr>
                <w:highlight w:val="none"/>
              </w:rPr>
            </w:pPr>
          </w:p>
        </w:tc>
        <w:tc>
          <w:tcPr>
            <w:tcW w:w="1769" w:type="dxa"/>
            <w:vMerge w:val="continue"/>
            <w:noWrap w:val="0"/>
            <w:vAlign w:val="center"/>
          </w:tcPr>
          <w:p w14:paraId="2050ED5B">
            <w:pPr>
              <w:jc w:val="center"/>
              <w:rPr>
                <w:highlight w:val="none"/>
              </w:rPr>
            </w:pPr>
          </w:p>
        </w:tc>
        <w:tc>
          <w:tcPr>
            <w:tcW w:w="6535" w:type="dxa"/>
            <w:noWrap w:val="0"/>
            <w:vAlign w:val="center"/>
          </w:tcPr>
          <w:p w14:paraId="66E1934F">
            <w:pPr>
              <w:rPr>
                <w:highlight w:val="none"/>
              </w:rPr>
            </w:pPr>
            <w:r>
              <w:rPr>
                <w:rFonts w:hint="eastAsia"/>
                <w:highlight w:val="none"/>
              </w:rPr>
              <w:t>c) 应定期审查审批事项，及时更新需授权和审批的项目、审批部门和审批人等信息。</w:t>
            </w:r>
          </w:p>
        </w:tc>
      </w:tr>
      <w:tr w14:paraId="0A4D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blHeader/>
          <w:jc w:val="center"/>
        </w:trPr>
        <w:tc>
          <w:tcPr>
            <w:tcW w:w="849" w:type="dxa"/>
            <w:vMerge w:val="restart"/>
            <w:noWrap w:val="0"/>
            <w:vAlign w:val="center"/>
          </w:tcPr>
          <w:p w14:paraId="114BDF17">
            <w:pPr>
              <w:jc w:val="center"/>
              <w:rPr>
                <w:rFonts w:hint="eastAsia" w:eastAsia="宋体"/>
                <w:highlight w:val="none"/>
                <w:lang w:val="en-US" w:eastAsia="zh-CN"/>
              </w:rPr>
            </w:pPr>
            <w:r>
              <w:rPr>
                <w:rFonts w:hint="eastAsia"/>
                <w:highlight w:val="none"/>
                <w:lang w:val="en-US" w:eastAsia="zh-CN"/>
              </w:rPr>
              <w:t>4</w:t>
            </w:r>
          </w:p>
        </w:tc>
        <w:tc>
          <w:tcPr>
            <w:tcW w:w="1769" w:type="dxa"/>
            <w:vMerge w:val="restart"/>
            <w:noWrap w:val="0"/>
            <w:vAlign w:val="center"/>
          </w:tcPr>
          <w:p w14:paraId="536DE3E3">
            <w:pPr>
              <w:jc w:val="center"/>
              <w:rPr>
                <w:highlight w:val="none"/>
              </w:rPr>
            </w:pPr>
            <w:r>
              <w:rPr>
                <w:rFonts w:hint="eastAsia"/>
                <w:highlight w:val="none"/>
              </w:rPr>
              <w:t>沟通和合作</w:t>
            </w:r>
          </w:p>
        </w:tc>
        <w:tc>
          <w:tcPr>
            <w:tcW w:w="6535" w:type="dxa"/>
            <w:noWrap w:val="0"/>
            <w:vAlign w:val="center"/>
          </w:tcPr>
          <w:p w14:paraId="39AF7664">
            <w:pPr>
              <w:rPr>
                <w:highlight w:val="none"/>
              </w:rPr>
            </w:pPr>
            <w:r>
              <w:rPr>
                <w:rFonts w:hint="eastAsia"/>
                <w:highlight w:val="none"/>
              </w:rPr>
              <w:t>a) 应加强各类管理人员、组织内部机构和网络安全管理部门之间的合作与沟通，定期召开协调会议，共同协作处理网络安全问题。</w:t>
            </w:r>
          </w:p>
        </w:tc>
      </w:tr>
      <w:tr w14:paraId="3992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849" w:type="dxa"/>
            <w:vMerge w:val="continue"/>
            <w:noWrap w:val="0"/>
            <w:vAlign w:val="center"/>
          </w:tcPr>
          <w:p w14:paraId="5C03DD8A">
            <w:pPr>
              <w:jc w:val="center"/>
              <w:rPr>
                <w:highlight w:val="none"/>
              </w:rPr>
            </w:pPr>
          </w:p>
        </w:tc>
        <w:tc>
          <w:tcPr>
            <w:tcW w:w="1769" w:type="dxa"/>
            <w:vMerge w:val="continue"/>
            <w:noWrap w:val="0"/>
            <w:vAlign w:val="center"/>
          </w:tcPr>
          <w:p w14:paraId="02D5F8B2">
            <w:pPr>
              <w:jc w:val="center"/>
              <w:rPr>
                <w:highlight w:val="none"/>
              </w:rPr>
            </w:pPr>
          </w:p>
        </w:tc>
        <w:tc>
          <w:tcPr>
            <w:tcW w:w="6535" w:type="dxa"/>
            <w:noWrap w:val="0"/>
            <w:vAlign w:val="center"/>
          </w:tcPr>
          <w:p w14:paraId="40D1B837">
            <w:pPr>
              <w:rPr>
                <w:highlight w:val="none"/>
              </w:rPr>
            </w:pPr>
            <w:r>
              <w:rPr>
                <w:rFonts w:hint="eastAsia"/>
                <w:highlight w:val="none"/>
              </w:rPr>
              <w:t>b) 应加强与网络安全职能部门、各类供应商、业界专家及安全组织的合作与沟通。</w:t>
            </w:r>
          </w:p>
        </w:tc>
      </w:tr>
      <w:tr w14:paraId="7E4B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Header/>
          <w:jc w:val="center"/>
        </w:trPr>
        <w:tc>
          <w:tcPr>
            <w:tcW w:w="849" w:type="dxa"/>
            <w:vMerge w:val="continue"/>
            <w:noWrap w:val="0"/>
            <w:vAlign w:val="center"/>
          </w:tcPr>
          <w:p w14:paraId="0E9A5160">
            <w:pPr>
              <w:jc w:val="center"/>
              <w:rPr>
                <w:highlight w:val="none"/>
              </w:rPr>
            </w:pPr>
          </w:p>
        </w:tc>
        <w:tc>
          <w:tcPr>
            <w:tcW w:w="1769" w:type="dxa"/>
            <w:vMerge w:val="continue"/>
            <w:noWrap w:val="0"/>
            <w:vAlign w:val="center"/>
          </w:tcPr>
          <w:p w14:paraId="01AB750C">
            <w:pPr>
              <w:jc w:val="center"/>
              <w:rPr>
                <w:highlight w:val="none"/>
              </w:rPr>
            </w:pPr>
          </w:p>
        </w:tc>
        <w:tc>
          <w:tcPr>
            <w:tcW w:w="6535" w:type="dxa"/>
            <w:noWrap w:val="0"/>
            <w:vAlign w:val="center"/>
          </w:tcPr>
          <w:p w14:paraId="519C7051">
            <w:pPr>
              <w:rPr>
                <w:highlight w:val="none"/>
              </w:rPr>
            </w:pPr>
            <w:r>
              <w:rPr>
                <w:rFonts w:hint="eastAsia"/>
                <w:highlight w:val="none"/>
              </w:rPr>
              <w:t>c) 应建立外联单位联系列表，包括外联单位名称、合作内容、联系人和联系方式等 信息。</w:t>
            </w:r>
          </w:p>
        </w:tc>
      </w:tr>
      <w:tr w14:paraId="4B5B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blHeader/>
          <w:jc w:val="center"/>
        </w:trPr>
        <w:tc>
          <w:tcPr>
            <w:tcW w:w="849" w:type="dxa"/>
            <w:vMerge w:val="restart"/>
            <w:noWrap w:val="0"/>
            <w:vAlign w:val="center"/>
          </w:tcPr>
          <w:p w14:paraId="04052174">
            <w:pPr>
              <w:jc w:val="center"/>
              <w:rPr>
                <w:rFonts w:hint="eastAsia" w:eastAsia="宋体"/>
                <w:highlight w:val="none"/>
                <w:lang w:val="en-US" w:eastAsia="zh-CN"/>
              </w:rPr>
            </w:pPr>
            <w:r>
              <w:rPr>
                <w:rFonts w:hint="eastAsia"/>
                <w:highlight w:val="none"/>
                <w:lang w:val="en-US" w:eastAsia="zh-CN"/>
              </w:rPr>
              <w:t>5</w:t>
            </w:r>
          </w:p>
        </w:tc>
        <w:tc>
          <w:tcPr>
            <w:tcW w:w="1769" w:type="dxa"/>
            <w:vMerge w:val="restart"/>
            <w:noWrap w:val="0"/>
            <w:vAlign w:val="center"/>
          </w:tcPr>
          <w:p w14:paraId="02B00892">
            <w:pPr>
              <w:jc w:val="center"/>
              <w:rPr>
                <w:highlight w:val="none"/>
              </w:rPr>
            </w:pPr>
            <w:r>
              <w:rPr>
                <w:rFonts w:hint="eastAsia"/>
                <w:highlight w:val="none"/>
              </w:rPr>
              <w:t>审核和检查</w:t>
            </w:r>
          </w:p>
        </w:tc>
        <w:tc>
          <w:tcPr>
            <w:tcW w:w="6535" w:type="dxa"/>
            <w:noWrap w:val="0"/>
            <w:vAlign w:val="center"/>
          </w:tcPr>
          <w:p w14:paraId="3754D0CC">
            <w:pPr>
              <w:rPr>
                <w:highlight w:val="none"/>
              </w:rPr>
            </w:pPr>
            <w:r>
              <w:rPr>
                <w:rFonts w:hint="eastAsia"/>
                <w:highlight w:val="none"/>
              </w:rPr>
              <w:t>a)应定期进行常规安全检查，检查内容包括系统日常运行、系统漏洞和数据备份等情况。</w:t>
            </w:r>
          </w:p>
        </w:tc>
      </w:tr>
      <w:tr w14:paraId="277E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blHeader/>
          <w:jc w:val="center"/>
        </w:trPr>
        <w:tc>
          <w:tcPr>
            <w:tcW w:w="849" w:type="dxa"/>
            <w:vMerge w:val="continue"/>
            <w:noWrap w:val="0"/>
            <w:vAlign w:val="center"/>
          </w:tcPr>
          <w:p w14:paraId="2BE402F1">
            <w:pPr>
              <w:rPr>
                <w:highlight w:val="none"/>
              </w:rPr>
            </w:pPr>
          </w:p>
        </w:tc>
        <w:tc>
          <w:tcPr>
            <w:tcW w:w="1769" w:type="dxa"/>
            <w:vMerge w:val="continue"/>
            <w:noWrap w:val="0"/>
            <w:vAlign w:val="center"/>
          </w:tcPr>
          <w:p w14:paraId="20C21F0A">
            <w:pPr>
              <w:rPr>
                <w:highlight w:val="none"/>
              </w:rPr>
            </w:pPr>
          </w:p>
        </w:tc>
        <w:tc>
          <w:tcPr>
            <w:tcW w:w="6535" w:type="dxa"/>
            <w:noWrap w:val="0"/>
            <w:vAlign w:val="center"/>
          </w:tcPr>
          <w:p w14:paraId="1A09E99C">
            <w:pPr>
              <w:rPr>
                <w:highlight w:val="none"/>
              </w:rPr>
            </w:pPr>
            <w:r>
              <w:rPr>
                <w:rFonts w:hint="eastAsia"/>
                <w:highlight w:val="none"/>
              </w:rPr>
              <w:t>b)应定期进行全面安全检查，检查内容包括现有安全技术措施的有效性、安全配置与安全策略的一致性、安全管理制度的执行情况等。</w:t>
            </w:r>
          </w:p>
        </w:tc>
      </w:tr>
      <w:tr w14:paraId="181E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blHeader/>
          <w:jc w:val="center"/>
        </w:trPr>
        <w:tc>
          <w:tcPr>
            <w:tcW w:w="849" w:type="dxa"/>
            <w:vMerge w:val="continue"/>
            <w:noWrap w:val="0"/>
            <w:vAlign w:val="center"/>
          </w:tcPr>
          <w:p w14:paraId="007D48C9">
            <w:pPr>
              <w:rPr>
                <w:highlight w:val="none"/>
              </w:rPr>
            </w:pPr>
          </w:p>
        </w:tc>
        <w:tc>
          <w:tcPr>
            <w:tcW w:w="1769" w:type="dxa"/>
            <w:vMerge w:val="continue"/>
            <w:noWrap w:val="0"/>
            <w:vAlign w:val="center"/>
          </w:tcPr>
          <w:p w14:paraId="7443AAC5">
            <w:pPr>
              <w:rPr>
                <w:highlight w:val="none"/>
              </w:rPr>
            </w:pPr>
          </w:p>
        </w:tc>
        <w:tc>
          <w:tcPr>
            <w:tcW w:w="6535" w:type="dxa"/>
            <w:noWrap w:val="0"/>
            <w:vAlign w:val="center"/>
          </w:tcPr>
          <w:p w14:paraId="3AEF5664">
            <w:pPr>
              <w:rPr>
                <w:highlight w:val="none"/>
              </w:rPr>
            </w:pPr>
            <w:r>
              <w:rPr>
                <w:rFonts w:hint="eastAsia"/>
                <w:highlight w:val="none"/>
              </w:rPr>
              <w:t>c)应制定安全检查表格实施安全检查，汇总安全检查数据，形成安全检查报告，并对安全检查结果进行通报。</w:t>
            </w:r>
          </w:p>
        </w:tc>
      </w:tr>
    </w:tbl>
    <w:p w14:paraId="26A1F0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8.安全管理人员</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797"/>
        <w:gridCol w:w="6439"/>
      </w:tblGrid>
      <w:tr w14:paraId="47B9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863" w:type="dxa"/>
            <w:noWrap w:val="0"/>
            <w:vAlign w:val="center"/>
          </w:tcPr>
          <w:p w14:paraId="5B61BE49">
            <w:pPr>
              <w:jc w:val="center"/>
              <w:rPr>
                <w:b/>
                <w:bCs/>
                <w:highlight w:val="none"/>
              </w:rPr>
            </w:pPr>
            <w:r>
              <w:rPr>
                <w:rFonts w:hint="eastAsia"/>
                <w:b/>
                <w:bCs/>
                <w:highlight w:val="none"/>
              </w:rPr>
              <w:t>序号</w:t>
            </w:r>
          </w:p>
        </w:tc>
        <w:tc>
          <w:tcPr>
            <w:tcW w:w="1797" w:type="dxa"/>
            <w:noWrap w:val="0"/>
            <w:vAlign w:val="center"/>
          </w:tcPr>
          <w:p w14:paraId="61C81874">
            <w:pPr>
              <w:jc w:val="center"/>
              <w:rPr>
                <w:b/>
                <w:bCs/>
                <w:highlight w:val="none"/>
              </w:rPr>
            </w:pPr>
            <w:r>
              <w:rPr>
                <w:rFonts w:hint="eastAsia"/>
                <w:b/>
                <w:bCs/>
                <w:highlight w:val="none"/>
              </w:rPr>
              <w:t>工作单元名称</w:t>
            </w:r>
          </w:p>
        </w:tc>
        <w:tc>
          <w:tcPr>
            <w:tcW w:w="6439" w:type="dxa"/>
            <w:noWrap w:val="0"/>
            <w:vAlign w:val="center"/>
          </w:tcPr>
          <w:p w14:paraId="5234A6C8">
            <w:pPr>
              <w:jc w:val="center"/>
              <w:rPr>
                <w:b/>
                <w:bCs/>
                <w:highlight w:val="none"/>
              </w:rPr>
            </w:pPr>
            <w:r>
              <w:rPr>
                <w:rFonts w:hint="eastAsia"/>
                <w:b/>
                <w:bCs/>
                <w:highlight w:val="none"/>
              </w:rPr>
              <w:t>测评指标</w:t>
            </w:r>
          </w:p>
        </w:tc>
      </w:tr>
      <w:tr w14:paraId="1E84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863" w:type="dxa"/>
            <w:vMerge w:val="restart"/>
            <w:noWrap w:val="0"/>
            <w:vAlign w:val="center"/>
          </w:tcPr>
          <w:p w14:paraId="3A0E3E4C">
            <w:pPr>
              <w:jc w:val="center"/>
              <w:rPr>
                <w:rFonts w:hint="eastAsia" w:eastAsia="宋体"/>
                <w:highlight w:val="none"/>
                <w:lang w:val="en-US" w:eastAsia="zh-CN"/>
              </w:rPr>
            </w:pPr>
            <w:r>
              <w:rPr>
                <w:rFonts w:hint="eastAsia"/>
                <w:highlight w:val="none"/>
                <w:lang w:val="en-US" w:eastAsia="zh-CN"/>
              </w:rPr>
              <w:t>1</w:t>
            </w:r>
          </w:p>
        </w:tc>
        <w:tc>
          <w:tcPr>
            <w:tcW w:w="1797" w:type="dxa"/>
            <w:vMerge w:val="restart"/>
            <w:noWrap w:val="0"/>
            <w:vAlign w:val="center"/>
          </w:tcPr>
          <w:p w14:paraId="06B94670">
            <w:pPr>
              <w:jc w:val="center"/>
              <w:rPr>
                <w:highlight w:val="none"/>
              </w:rPr>
            </w:pPr>
            <w:r>
              <w:rPr>
                <w:rFonts w:hint="eastAsia"/>
                <w:highlight w:val="none"/>
              </w:rPr>
              <w:t>人员录用</w:t>
            </w:r>
          </w:p>
        </w:tc>
        <w:tc>
          <w:tcPr>
            <w:tcW w:w="6439" w:type="dxa"/>
            <w:noWrap w:val="0"/>
            <w:vAlign w:val="center"/>
          </w:tcPr>
          <w:p w14:paraId="479DA192">
            <w:pPr>
              <w:rPr>
                <w:highlight w:val="none"/>
              </w:rPr>
            </w:pPr>
            <w:r>
              <w:rPr>
                <w:rFonts w:hint="eastAsia"/>
                <w:highlight w:val="none"/>
              </w:rPr>
              <w:t>a) 应指定或授权专门的部门或人员负责人员录用。</w:t>
            </w:r>
          </w:p>
        </w:tc>
      </w:tr>
      <w:tr w14:paraId="558B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863" w:type="dxa"/>
            <w:vMerge w:val="continue"/>
            <w:noWrap w:val="0"/>
            <w:vAlign w:val="center"/>
          </w:tcPr>
          <w:p w14:paraId="6F6D1748">
            <w:pPr>
              <w:jc w:val="center"/>
              <w:rPr>
                <w:highlight w:val="none"/>
              </w:rPr>
            </w:pPr>
          </w:p>
        </w:tc>
        <w:tc>
          <w:tcPr>
            <w:tcW w:w="1797" w:type="dxa"/>
            <w:vMerge w:val="continue"/>
            <w:noWrap w:val="0"/>
            <w:vAlign w:val="center"/>
          </w:tcPr>
          <w:p w14:paraId="2294E588">
            <w:pPr>
              <w:jc w:val="center"/>
              <w:rPr>
                <w:highlight w:val="none"/>
              </w:rPr>
            </w:pPr>
          </w:p>
        </w:tc>
        <w:tc>
          <w:tcPr>
            <w:tcW w:w="6439" w:type="dxa"/>
            <w:noWrap w:val="0"/>
            <w:vAlign w:val="center"/>
          </w:tcPr>
          <w:p w14:paraId="58A90B3D">
            <w:pPr>
              <w:rPr>
                <w:highlight w:val="none"/>
              </w:rPr>
            </w:pPr>
            <w:r>
              <w:rPr>
                <w:rFonts w:hint="eastAsia"/>
                <w:highlight w:val="none"/>
              </w:rPr>
              <w:t>b) 应对被录用人员的身份、安全背景、专业资格或资质等进行审查，对其所具有的技术技能进行考核。</w:t>
            </w:r>
          </w:p>
        </w:tc>
      </w:tr>
      <w:tr w14:paraId="3FF8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863" w:type="dxa"/>
            <w:vMerge w:val="continue"/>
            <w:noWrap w:val="0"/>
            <w:vAlign w:val="center"/>
          </w:tcPr>
          <w:p w14:paraId="5792D2C9">
            <w:pPr>
              <w:jc w:val="center"/>
              <w:rPr>
                <w:highlight w:val="none"/>
              </w:rPr>
            </w:pPr>
          </w:p>
        </w:tc>
        <w:tc>
          <w:tcPr>
            <w:tcW w:w="1797" w:type="dxa"/>
            <w:vMerge w:val="continue"/>
            <w:noWrap w:val="0"/>
            <w:vAlign w:val="center"/>
          </w:tcPr>
          <w:p w14:paraId="63EC57E0">
            <w:pPr>
              <w:jc w:val="center"/>
              <w:rPr>
                <w:highlight w:val="none"/>
              </w:rPr>
            </w:pPr>
          </w:p>
        </w:tc>
        <w:tc>
          <w:tcPr>
            <w:tcW w:w="6439" w:type="dxa"/>
            <w:noWrap w:val="0"/>
            <w:vAlign w:val="center"/>
          </w:tcPr>
          <w:p w14:paraId="57B8C5A6">
            <w:pPr>
              <w:rPr>
                <w:highlight w:val="none"/>
              </w:rPr>
            </w:pPr>
            <w:r>
              <w:rPr>
                <w:rFonts w:hint="eastAsia"/>
                <w:highlight w:val="none"/>
              </w:rPr>
              <w:t>c) 应与被录用人员签署保密协议，与关键岗位人员签署岗位责任协议。</w:t>
            </w:r>
          </w:p>
        </w:tc>
      </w:tr>
      <w:tr w14:paraId="083C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blHeader/>
          <w:jc w:val="center"/>
        </w:trPr>
        <w:tc>
          <w:tcPr>
            <w:tcW w:w="863" w:type="dxa"/>
            <w:vMerge w:val="restart"/>
            <w:noWrap w:val="0"/>
            <w:vAlign w:val="center"/>
          </w:tcPr>
          <w:p w14:paraId="11387BC4">
            <w:pPr>
              <w:jc w:val="center"/>
              <w:rPr>
                <w:rFonts w:hint="eastAsia" w:eastAsia="宋体"/>
                <w:highlight w:val="none"/>
                <w:lang w:val="en-US" w:eastAsia="zh-CN"/>
              </w:rPr>
            </w:pPr>
            <w:r>
              <w:rPr>
                <w:rFonts w:hint="eastAsia"/>
                <w:highlight w:val="none"/>
                <w:lang w:val="en-US" w:eastAsia="zh-CN"/>
              </w:rPr>
              <w:t>2</w:t>
            </w:r>
          </w:p>
        </w:tc>
        <w:tc>
          <w:tcPr>
            <w:tcW w:w="1797" w:type="dxa"/>
            <w:vMerge w:val="restart"/>
            <w:noWrap w:val="0"/>
            <w:vAlign w:val="center"/>
          </w:tcPr>
          <w:p w14:paraId="66A7EE52">
            <w:pPr>
              <w:jc w:val="center"/>
              <w:rPr>
                <w:highlight w:val="none"/>
              </w:rPr>
            </w:pPr>
            <w:r>
              <w:rPr>
                <w:rFonts w:hint="eastAsia"/>
                <w:highlight w:val="none"/>
              </w:rPr>
              <w:t>人员离岗</w:t>
            </w:r>
          </w:p>
        </w:tc>
        <w:tc>
          <w:tcPr>
            <w:tcW w:w="6439" w:type="dxa"/>
            <w:noWrap w:val="0"/>
            <w:vAlign w:val="center"/>
          </w:tcPr>
          <w:p w14:paraId="5B717405">
            <w:pPr>
              <w:rPr>
                <w:highlight w:val="none"/>
              </w:rPr>
            </w:pPr>
            <w:r>
              <w:rPr>
                <w:rFonts w:hint="eastAsia"/>
                <w:highlight w:val="none"/>
              </w:rPr>
              <w:t>a) 应及时终止离岗人员的所有访问权限，取回各种身份证件、钥匙、徽章等以及机构提 供的软硬件设备。</w:t>
            </w:r>
          </w:p>
        </w:tc>
      </w:tr>
      <w:tr w14:paraId="283C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63" w:type="dxa"/>
            <w:vMerge w:val="continue"/>
            <w:noWrap w:val="0"/>
            <w:vAlign w:val="center"/>
          </w:tcPr>
          <w:p w14:paraId="142B7AC8">
            <w:pPr>
              <w:jc w:val="center"/>
              <w:rPr>
                <w:highlight w:val="none"/>
              </w:rPr>
            </w:pPr>
          </w:p>
        </w:tc>
        <w:tc>
          <w:tcPr>
            <w:tcW w:w="1797" w:type="dxa"/>
            <w:vMerge w:val="continue"/>
            <w:noWrap w:val="0"/>
            <w:vAlign w:val="center"/>
          </w:tcPr>
          <w:p w14:paraId="5C4E5B49">
            <w:pPr>
              <w:jc w:val="center"/>
              <w:rPr>
                <w:highlight w:val="none"/>
              </w:rPr>
            </w:pPr>
          </w:p>
        </w:tc>
        <w:tc>
          <w:tcPr>
            <w:tcW w:w="6439" w:type="dxa"/>
            <w:noWrap w:val="0"/>
            <w:vAlign w:val="center"/>
          </w:tcPr>
          <w:p w14:paraId="6980E495">
            <w:pPr>
              <w:rPr>
                <w:highlight w:val="none"/>
              </w:rPr>
            </w:pPr>
            <w:r>
              <w:rPr>
                <w:rFonts w:hint="eastAsia"/>
                <w:highlight w:val="none"/>
              </w:rPr>
              <w:t>b) 应办理严格的调离手续，并承诺调离后的保密义务后方可离开。</w:t>
            </w:r>
          </w:p>
        </w:tc>
      </w:tr>
      <w:tr w14:paraId="33C9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blHeader/>
          <w:jc w:val="center"/>
        </w:trPr>
        <w:tc>
          <w:tcPr>
            <w:tcW w:w="863" w:type="dxa"/>
            <w:vMerge w:val="restart"/>
            <w:noWrap w:val="0"/>
            <w:vAlign w:val="center"/>
          </w:tcPr>
          <w:p w14:paraId="78C580DA">
            <w:pPr>
              <w:jc w:val="center"/>
              <w:rPr>
                <w:rFonts w:hint="eastAsia" w:eastAsia="宋体"/>
                <w:highlight w:val="none"/>
                <w:lang w:val="en-US" w:eastAsia="zh-CN"/>
              </w:rPr>
            </w:pPr>
            <w:r>
              <w:rPr>
                <w:rFonts w:hint="eastAsia"/>
                <w:highlight w:val="none"/>
                <w:lang w:val="en-US" w:eastAsia="zh-CN"/>
              </w:rPr>
              <w:t>3</w:t>
            </w:r>
          </w:p>
        </w:tc>
        <w:tc>
          <w:tcPr>
            <w:tcW w:w="1797" w:type="dxa"/>
            <w:vMerge w:val="restart"/>
            <w:noWrap w:val="0"/>
            <w:vAlign w:val="center"/>
          </w:tcPr>
          <w:p w14:paraId="6D635138">
            <w:pPr>
              <w:jc w:val="center"/>
              <w:rPr>
                <w:highlight w:val="none"/>
              </w:rPr>
            </w:pPr>
            <w:r>
              <w:rPr>
                <w:rFonts w:hint="eastAsia"/>
                <w:highlight w:val="none"/>
              </w:rPr>
              <w:t>安全意识教育和培训</w:t>
            </w:r>
          </w:p>
        </w:tc>
        <w:tc>
          <w:tcPr>
            <w:tcW w:w="6439" w:type="dxa"/>
            <w:noWrap w:val="0"/>
            <w:vAlign w:val="center"/>
          </w:tcPr>
          <w:p w14:paraId="00EF9D07">
            <w:pPr>
              <w:rPr>
                <w:highlight w:val="none"/>
              </w:rPr>
            </w:pPr>
            <w:r>
              <w:rPr>
                <w:rFonts w:hint="eastAsia"/>
                <w:highlight w:val="none"/>
              </w:rPr>
              <w:t>a) 应对各类人员进行安全意识教育和岗位技能培训，并告知相关的安全责任和惩戒 措施。</w:t>
            </w:r>
          </w:p>
        </w:tc>
      </w:tr>
      <w:tr w14:paraId="2464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863" w:type="dxa"/>
            <w:vMerge w:val="continue"/>
            <w:noWrap w:val="0"/>
            <w:vAlign w:val="center"/>
          </w:tcPr>
          <w:p w14:paraId="66C6E63E">
            <w:pPr>
              <w:jc w:val="center"/>
              <w:rPr>
                <w:highlight w:val="none"/>
              </w:rPr>
            </w:pPr>
          </w:p>
        </w:tc>
        <w:tc>
          <w:tcPr>
            <w:tcW w:w="1797" w:type="dxa"/>
            <w:vMerge w:val="continue"/>
            <w:noWrap w:val="0"/>
            <w:vAlign w:val="center"/>
          </w:tcPr>
          <w:p w14:paraId="55499CE0">
            <w:pPr>
              <w:jc w:val="center"/>
              <w:rPr>
                <w:highlight w:val="none"/>
              </w:rPr>
            </w:pPr>
          </w:p>
        </w:tc>
        <w:tc>
          <w:tcPr>
            <w:tcW w:w="6439" w:type="dxa"/>
            <w:noWrap w:val="0"/>
            <w:vAlign w:val="center"/>
          </w:tcPr>
          <w:p w14:paraId="0C163B3F">
            <w:pPr>
              <w:rPr>
                <w:highlight w:val="none"/>
              </w:rPr>
            </w:pPr>
            <w:r>
              <w:rPr>
                <w:rFonts w:hint="eastAsia"/>
                <w:highlight w:val="none"/>
              </w:rPr>
              <w:t>b) 应针对不同岗位制定不同的培训计划，对安全基础知识、岗位操作规程等进行培训。</w:t>
            </w:r>
          </w:p>
        </w:tc>
      </w:tr>
      <w:tr w14:paraId="45D4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863" w:type="dxa"/>
            <w:vMerge w:val="continue"/>
            <w:noWrap w:val="0"/>
            <w:vAlign w:val="center"/>
          </w:tcPr>
          <w:p w14:paraId="5918E864">
            <w:pPr>
              <w:jc w:val="center"/>
              <w:rPr>
                <w:highlight w:val="none"/>
              </w:rPr>
            </w:pPr>
          </w:p>
        </w:tc>
        <w:tc>
          <w:tcPr>
            <w:tcW w:w="1797" w:type="dxa"/>
            <w:vMerge w:val="continue"/>
            <w:noWrap w:val="0"/>
            <w:vAlign w:val="center"/>
          </w:tcPr>
          <w:p w14:paraId="2A5DE144">
            <w:pPr>
              <w:jc w:val="center"/>
              <w:rPr>
                <w:highlight w:val="none"/>
              </w:rPr>
            </w:pPr>
          </w:p>
        </w:tc>
        <w:tc>
          <w:tcPr>
            <w:tcW w:w="6439" w:type="dxa"/>
            <w:noWrap w:val="0"/>
            <w:vAlign w:val="center"/>
          </w:tcPr>
          <w:p w14:paraId="6F8B4CE5">
            <w:pPr>
              <w:rPr>
                <w:highlight w:val="none"/>
              </w:rPr>
            </w:pPr>
            <w:r>
              <w:rPr>
                <w:rFonts w:hint="eastAsia"/>
                <w:highlight w:val="none"/>
              </w:rPr>
              <w:t>c) 应定期对不同岗位的人员进行技能考核</w:t>
            </w:r>
          </w:p>
        </w:tc>
      </w:tr>
      <w:tr w14:paraId="0983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863" w:type="dxa"/>
            <w:vMerge w:val="continue"/>
            <w:noWrap w:val="0"/>
            <w:vAlign w:val="center"/>
          </w:tcPr>
          <w:p w14:paraId="13106661">
            <w:pPr>
              <w:jc w:val="center"/>
              <w:rPr>
                <w:highlight w:val="none"/>
              </w:rPr>
            </w:pPr>
          </w:p>
        </w:tc>
        <w:tc>
          <w:tcPr>
            <w:tcW w:w="1797" w:type="dxa"/>
            <w:vMerge w:val="continue"/>
            <w:noWrap w:val="0"/>
            <w:vAlign w:val="center"/>
          </w:tcPr>
          <w:p w14:paraId="5BF1632B">
            <w:pPr>
              <w:jc w:val="center"/>
              <w:rPr>
                <w:highlight w:val="none"/>
              </w:rPr>
            </w:pPr>
          </w:p>
        </w:tc>
        <w:tc>
          <w:tcPr>
            <w:tcW w:w="6439" w:type="dxa"/>
            <w:noWrap w:val="0"/>
            <w:vAlign w:val="center"/>
          </w:tcPr>
          <w:p w14:paraId="41CFA246">
            <w:pPr>
              <w:rPr>
                <w:highlight w:val="none"/>
              </w:rPr>
            </w:pPr>
            <w:r>
              <w:rPr>
                <w:rFonts w:hint="eastAsia"/>
                <w:highlight w:val="none"/>
              </w:rPr>
              <w:t>d)应对安全教育和培训的情况和结果进行记录并归档保存。</w:t>
            </w:r>
          </w:p>
        </w:tc>
      </w:tr>
      <w:tr w14:paraId="1E81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863" w:type="dxa"/>
            <w:vMerge w:val="restart"/>
            <w:noWrap w:val="0"/>
            <w:vAlign w:val="center"/>
          </w:tcPr>
          <w:p w14:paraId="3AB90F2F">
            <w:pPr>
              <w:jc w:val="center"/>
              <w:rPr>
                <w:rFonts w:hint="eastAsia" w:eastAsia="宋体"/>
                <w:highlight w:val="none"/>
                <w:lang w:val="en-US" w:eastAsia="zh-CN"/>
              </w:rPr>
            </w:pPr>
            <w:r>
              <w:rPr>
                <w:rFonts w:hint="eastAsia"/>
                <w:highlight w:val="none"/>
                <w:lang w:val="en-US" w:eastAsia="zh-CN"/>
              </w:rPr>
              <w:t>4</w:t>
            </w:r>
          </w:p>
        </w:tc>
        <w:tc>
          <w:tcPr>
            <w:tcW w:w="1797" w:type="dxa"/>
            <w:vMerge w:val="restart"/>
            <w:noWrap w:val="0"/>
            <w:vAlign w:val="center"/>
          </w:tcPr>
          <w:p w14:paraId="7DA23C79">
            <w:pPr>
              <w:jc w:val="center"/>
              <w:rPr>
                <w:highlight w:val="none"/>
              </w:rPr>
            </w:pPr>
            <w:r>
              <w:rPr>
                <w:rFonts w:hint="eastAsia"/>
                <w:highlight w:val="none"/>
              </w:rPr>
              <w:t>外部人员访问管理</w:t>
            </w:r>
          </w:p>
        </w:tc>
        <w:tc>
          <w:tcPr>
            <w:tcW w:w="6439" w:type="dxa"/>
            <w:noWrap w:val="0"/>
            <w:vAlign w:val="center"/>
          </w:tcPr>
          <w:p w14:paraId="634D8C40">
            <w:pPr>
              <w:rPr>
                <w:highlight w:val="none"/>
              </w:rPr>
            </w:pPr>
            <w:r>
              <w:rPr>
                <w:rFonts w:hint="eastAsia"/>
                <w:highlight w:val="none"/>
              </w:rPr>
              <w:t>a) 应在外部人员物理访问受控区域前先提出书面申请，批准后由专人全程陪同，并登记备案。</w:t>
            </w:r>
          </w:p>
        </w:tc>
      </w:tr>
      <w:tr w14:paraId="1227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863" w:type="dxa"/>
            <w:vMerge w:val="continue"/>
            <w:noWrap w:val="0"/>
            <w:vAlign w:val="top"/>
          </w:tcPr>
          <w:p w14:paraId="0E741BD5">
            <w:pPr>
              <w:rPr>
                <w:highlight w:val="none"/>
              </w:rPr>
            </w:pPr>
          </w:p>
        </w:tc>
        <w:tc>
          <w:tcPr>
            <w:tcW w:w="1797" w:type="dxa"/>
            <w:vMerge w:val="continue"/>
            <w:noWrap w:val="0"/>
            <w:vAlign w:val="center"/>
          </w:tcPr>
          <w:p w14:paraId="33BB09AC">
            <w:pPr>
              <w:rPr>
                <w:highlight w:val="none"/>
              </w:rPr>
            </w:pPr>
          </w:p>
        </w:tc>
        <w:tc>
          <w:tcPr>
            <w:tcW w:w="6439" w:type="dxa"/>
            <w:noWrap w:val="0"/>
            <w:vAlign w:val="center"/>
          </w:tcPr>
          <w:p w14:paraId="3264F0F2">
            <w:pPr>
              <w:rPr>
                <w:highlight w:val="none"/>
              </w:rPr>
            </w:pPr>
            <w:r>
              <w:rPr>
                <w:rFonts w:hint="eastAsia"/>
                <w:highlight w:val="none"/>
              </w:rPr>
              <w:t>b) 应在外部人员接入受控网络访问系统前先提出书面申请，批准后由专人开设账户、分配权限，并登记备案。</w:t>
            </w:r>
          </w:p>
        </w:tc>
      </w:tr>
      <w:tr w14:paraId="2B46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863" w:type="dxa"/>
            <w:vMerge w:val="continue"/>
            <w:noWrap w:val="0"/>
            <w:vAlign w:val="top"/>
          </w:tcPr>
          <w:p w14:paraId="5B073DAB">
            <w:pPr>
              <w:rPr>
                <w:highlight w:val="none"/>
              </w:rPr>
            </w:pPr>
          </w:p>
        </w:tc>
        <w:tc>
          <w:tcPr>
            <w:tcW w:w="1797" w:type="dxa"/>
            <w:vMerge w:val="continue"/>
            <w:noWrap w:val="0"/>
            <w:vAlign w:val="center"/>
          </w:tcPr>
          <w:p w14:paraId="2763C6F4">
            <w:pPr>
              <w:rPr>
                <w:highlight w:val="none"/>
              </w:rPr>
            </w:pPr>
          </w:p>
        </w:tc>
        <w:tc>
          <w:tcPr>
            <w:tcW w:w="6439" w:type="dxa"/>
            <w:noWrap w:val="0"/>
            <w:vAlign w:val="center"/>
          </w:tcPr>
          <w:p w14:paraId="597A922D">
            <w:pPr>
              <w:rPr>
                <w:highlight w:val="none"/>
              </w:rPr>
            </w:pPr>
            <w:r>
              <w:rPr>
                <w:rFonts w:hint="eastAsia"/>
                <w:highlight w:val="none"/>
              </w:rPr>
              <w:t>c）外部人员离场后应及时清除其所有的访问权限。</w:t>
            </w:r>
          </w:p>
        </w:tc>
      </w:tr>
      <w:tr w14:paraId="7618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jc w:val="center"/>
        </w:trPr>
        <w:tc>
          <w:tcPr>
            <w:tcW w:w="863" w:type="dxa"/>
            <w:vMerge w:val="continue"/>
            <w:noWrap w:val="0"/>
            <w:vAlign w:val="top"/>
          </w:tcPr>
          <w:p w14:paraId="37D5C330">
            <w:pPr>
              <w:rPr>
                <w:highlight w:val="none"/>
              </w:rPr>
            </w:pPr>
          </w:p>
        </w:tc>
        <w:tc>
          <w:tcPr>
            <w:tcW w:w="1797" w:type="dxa"/>
            <w:vMerge w:val="continue"/>
            <w:noWrap w:val="0"/>
            <w:vAlign w:val="center"/>
          </w:tcPr>
          <w:p w14:paraId="3114935E">
            <w:pPr>
              <w:rPr>
                <w:highlight w:val="none"/>
              </w:rPr>
            </w:pPr>
          </w:p>
        </w:tc>
        <w:tc>
          <w:tcPr>
            <w:tcW w:w="6439" w:type="dxa"/>
            <w:noWrap w:val="0"/>
            <w:vAlign w:val="center"/>
          </w:tcPr>
          <w:p w14:paraId="73AE6732">
            <w:pPr>
              <w:rPr>
                <w:highlight w:val="none"/>
              </w:rPr>
            </w:pPr>
            <w:r>
              <w:rPr>
                <w:rFonts w:hint="eastAsia"/>
                <w:highlight w:val="none"/>
              </w:rPr>
              <w:t>d）获得系统访问授权的外部人员应签署保密协议，不得进行非授权操作，不得复制和泄露任何敏感信息。</w:t>
            </w:r>
          </w:p>
        </w:tc>
      </w:tr>
    </w:tbl>
    <w:p w14:paraId="321D14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9.安全建设管理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793"/>
        <w:gridCol w:w="6425"/>
      </w:tblGrid>
      <w:tr w14:paraId="0A2C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blHeader/>
          <w:jc w:val="center"/>
        </w:trPr>
        <w:tc>
          <w:tcPr>
            <w:tcW w:w="861" w:type="dxa"/>
            <w:noWrap w:val="0"/>
            <w:vAlign w:val="center"/>
          </w:tcPr>
          <w:p w14:paraId="12FB1DE6">
            <w:pPr>
              <w:jc w:val="center"/>
              <w:rPr>
                <w:b/>
                <w:bCs/>
                <w:highlight w:val="none"/>
              </w:rPr>
            </w:pPr>
            <w:r>
              <w:rPr>
                <w:rFonts w:hint="eastAsia"/>
                <w:b/>
                <w:bCs/>
                <w:highlight w:val="none"/>
              </w:rPr>
              <w:t>序号</w:t>
            </w:r>
          </w:p>
        </w:tc>
        <w:tc>
          <w:tcPr>
            <w:tcW w:w="1793" w:type="dxa"/>
            <w:noWrap w:val="0"/>
            <w:vAlign w:val="center"/>
          </w:tcPr>
          <w:p w14:paraId="5E68FD17">
            <w:pPr>
              <w:jc w:val="center"/>
              <w:rPr>
                <w:b/>
                <w:bCs/>
                <w:highlight w:val="none"/>
              </w:rPr>
            </w:pPr>
            <w:r>
              <w:rPr>
                <w:rFonts w:hint="eastAsia"/>
                <w:b/>
                <w:bCs/>
                <w:highlight w:val="none"/>
              </w:rPr>
              <w:t>工作单元名称</w:t>
            </w:r>
          </w:p>
        </w:tc>
        <w:tc>
          <w:tcPr>
            <w:tcW w:w="6425" w:type="dxa"/>
            <w:noWrap w:val="0"/>
            <w:vAlign w:val="center"/>
          </w:tcPr>
          <w:p w14:paraId="19951A49">
            <w:pPr>
              <w:jc w:val="center"/>
              <w:rPr>
                <w:b/>
                <w:bCs/>
                <w:highlight w:val="none"/>
              </w:rPr>
            </w:pPr>
            <w:r>
              <w:rPr>
                <w:rFonts w:hint="eastAsia"/>
                <w:b/>
                <w:bCs/>
                <w:highlight w:val="none"/>
              </w:rPr>
              <w:t>测评指标</w:t>
            </w:r>
          </w:p>
        </w:tc>
      </w:tr>
      <w:tr w14:paraId="4F32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blHeader/>
          <w:jc w:val="center"/>
        </w:trPr>
        <w:tc>
          <w:tcPr>
            <w:tcW w:w="861" w:type="dxa"/>
            <w:vMerge w:val="restart"/>
            <w:noWrap w:val="0"/>
            <w:vAlign w:val="center"/>
          </w:tcPr>
          <w:p w14:paraId="1B3B021C">
            <w:pPr>
              <w:jc w:val="center"/>
              <w:rPr>
                <w:rFonts w:hint="eastAsia" w:eastAsia="宋体"/>
                <w:highlight w:val="none"/>
                <w:lang w:val="en-US" w:eastAsia="zh-CN"/>
              </w:rPr>
            </w:pPr>
            <w:r>
              <w:rPr>
                <w:rFonts w:hint="eastAsia"/>
                <w:highlight w:val="none"/>
                <w:lang w:val="en-US" w:eastAsia="zh-CN"/>
              </w:rPr>
              <w:t>1</w:t>
            </w:r>
          </w:p>
        </w:tc>
        <w:tc>
          <w:tcPr>
            <w:tcW w:w="1793" w:type="dxa"/>
            <w:vMerge w:val="restart"/>
            <w:noWrap w:val="0"/>
            <w:vAlign w:val="center"/>
          </w:tcPr>
          <w:p w14:paraId="7DFFBCEA">
            <w:pPr>
              <w:jc w:val="center"/>
              <w:rPr>
                <w:highlight w:val="none"/>
              </w:rPr>
            </w:pPr>
            <w:r>
              <w:rPr>
                <w:rFonts w:hint="eastAsia"/>
                <w:highlight w:val="none"/>
              </w:rPr>
              <w:t>定级和备案</w:t>
            </w:r>
          </w:p>
        </w:tc>
        <w:tc>
          <w:tcPr>
            <w:tcW w:w="6425" w:type="dxa"/>
            <w:noWrap w:val="0"/>
            <w:vAlign w:val="center"/>
          </w:tcPr>
          <w:p w14:paraId="24FE59BD">
            <w:pPr>
              <w:rPr>
                <w:highlight w:val="none"/>
              </w:rPr>
            </w:pPr>
            <w:r>
              <w:rPr>
                <w:rFonts w:hint="eastAsia"/>
                <w:highlight w:val="none"/>
              </w:rPr>
              <w:t>a) 应以书面的形式说明保护对象的安全保护等级及确定等级的方法和理由。</w:t>
            </w:r>
          </w:p>
        </w:tc>
      </w:tr>
      <w:tr w14:paraId="0E20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blHeader/>
          <w:jc w:val="center"/>
        </w:trPr>
        <w:tc>
          <w:tcPr>
            <w:tcW w:w="861" w:type="dxa"/>
            <w:vMerge w:val="continue"/>
            <w:noWrap w:val="0"/>
            <w:vAlign w:val="center"/>
          </w:tcPr>
          <w:p w14:paraId="732EC21D">
            <w:pPr>
              <w:jc w:val="center"/>
              <w:rPr>
                <w:highlight w:val="none"/>
              </w:rPr>
            </w:pPr>
          </w:p>
        </w:tc>
        <w:tc>
          <w:tcPr>
            <w:tcW w:w="1793" w:type="dxa"/>
            <w:vMerge w:val="continue"/>
            <w:noWrap w:val="0"/>
            <w:vAlign w:val="center"/>
          </w:tcPr>
          <w:p w14:paraId="1A5AC581">
            <w:pPr>
              <w:jc w:val="center"/>
              <w:rPr>
                <w:highlight w:val="none"/>
              </w:rPr>
            </w:pPr>
          </w:p>
        </w:tc>
        <w:tc>
          <w:tcPr>
            <w:tcW w:w="6425" w:type="dxa"/>
            <w:noWrap w:val="0"/>
            <w:vAlign w:val="center"/>
          </w:tcPr>
          <w:p w14:paraId="6C6EB8DC">
            <w:pPr>
              <w:rPr>
                <w:highlight w:val="none"/>
              </w:rPr>
            </w:pPr>
            <w:r>
              <w:rPr>
                <w:rFonts w:hint="eastAsia"/>
                <w:highlight w:val="none"/>
              </w:rPr>
              <w:t>b) 应组织相关部门和有关安全技术专家对定级结果的合理性和正确性进行论证和审定。</w:t>
            </w:r>
          </w:p>
        </w:tc>
      </w:tr>
      <w:tr w14:paraId="0D29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861" w:type="dxa"/>
            <w:vMerge w:val="continue"/>
            <w:noWrap w:val="0"/>
            <w:vAlign w:val="center"/>
          </w:tcPr>
          <w:p w14:paraId="642610C1">
            <w:pPr>
              <w:jc w:val="center"/>
              <w:rPr>
                <w:highlight w:val="none"/>
              </w:rPr>
            </w:pPr>
          </w:p>
        </w:tc>
        <w:tc>
          <w:tcPr>
            <w:tcW w:w="1793" w:type="dxa"/>
            <w:vMerge w:val="continue"/>
            <w:noWrap w:val="0"/>
            <w:vAlign w:val="center"/>
          </w:tcPr>
          <w:p w14:paraId="7C1DBD0B">
            <w:pPr>
              <w:jc w:val="center"/>
              <w:rPr>
                <w:highlight w:val="none"/>
              </w:rPr>
            </w:pPr>
          </w:p>
        </w:tc>
        <w:tc>
          <w:tcPr>
            <w:tcW w:w="6425" w:type="dxa"/>
            <w:noWrap w:val="0"/>
            <w:vAlign w:val="center"/>
          </w:tcPr>
          <w:p w14:paraId="250A6A28">
            <w:pPr>
              <w:rPr>
                <w:highlight w:val="none"/>
              </w:rPr>
            </w:pPr>
            <w:r>
              <w:rPr>
                <w:rFonts w:hint="eastAsia"/>
                <w:highlight w:val="none"/>
              </w:rPr>
              <w:t>c) 应保证定级结果经过相关部门的批准。</w:t>
            </w:r>
          </w:p>
        </w:tc>
      </w:tr>
      <w:tr w14:paraId="222C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861" w:type="dxa"/>
            <w:vMerge w:val="continue"/>
            <w:noWrap w:val="0"/>
            <w:vAlign w:val="center"/>
          </w:tcPr>
          <w:p w14:paraId="366FA16C">
            <w:pPr>
              <w:jc w:val="center"/>
              <w:rPr>
                <w:highlight w:val="none"/>
              </w:rPr>
            </w:pPr>
          </w:p>
        </w:tc>
        <w:tc>
          <w:tcPr>
            <w:tcW w:w="1793" w:type="dxa"/>
            <w:vMerge w:val="continue"/>
            <w:noWrap w:val="0"/>
            <w:vAlign w:val="center"/>
          </w:tcPr>
          <w:p w14:paraId="387ADE00">
            <w:pPr>
              <w:jc w:val="center"/>
              <w:rPr>
                <w:highlight w:val="none"/>
              </w:rPr>
            </w:pPr>
          </w:p>
        </w:tc>
        <w:tc>
          <w:tcPr>
            <w:tcW w:w="6425" w:type="dxa"/>
            <w:noWrap w:val="0"/>
            <w:vAlign w:val="center"/>
          </w:tcPr>
          <w:p w14:paraId="745FFDC3">
            <w:pPr>
              <w:rPr>
                <w:highlight w:val="none"/>
              </w:rPr>
            </w:pPr>
            <w:r>
              <w:rPr>
                <w:rFonts w:hint="eastAsia"/>
                <w:highlight w:val="none"/>
              </w:rPr>
              <w:t>d) 应将备案材料报主管部门和公安机关备案。</w:t>
            </w:r>
          </w:p>
        </w:tc>
      </w:tr>
      <w:tr w14:paraId="3C91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restart"/>
            <w:noWrap w:val="0"/>
            <w:vAlign w:val="center"/>
          </w:tcPr>
          <w:p w14:paraId="410A086E">
            <w:pPr>
              <w:jc w:val="center"/>
              <w:rPr>
                <w:rFonts w:hint="eastAsia" w:eastAsia="宋体"/>
                <w:highlight w:val="none"/>
                <w:lang w:val="en-US" w:eastAsia="zh-CN"/>
              </w:rPr>
            </w:pPr>
            <w:r>
              <w:rPr>
                <w:rFonts w:hint="eastAsia"/>
                <w:highlight w:val="none"/>
                <w:lang w:val="en-US" w:eastAsia="zh-CN"/>
              </w:rPr>
              <w:t>2</w:t>
            </w:r>
          </w:p>
        </w:tc>
        <w:tc>
          <w:tcPr>
            <w:tcW w:w="1793" w:type="dxa"/>
            <w:vMerge w:val="restart"/>
            <w:noWrap w:val="0"/>
            <w:vAlign w:val="center"/>
          </w:tcPr>
          <w:p w14:paraId="705BF061">
            <w:pPr>
              <w:jc w:val="center"/>
              <w:rPr>
                <w:highlight w:val="none"/>
              </w:rPr>
            </w:pPr>
            <w:r>
              <w:rPr>
                <w:rFonts w:hint="eastAsia"/>
                <w:highlight w:val="none"/>
              </w:rPr>
              <w:t>安全方案设计</w:t>
            </w:r>
          </w:p>
        </w:tc>
        <w:tc>
          <w:tcPr>
            <w:tcW w:w="6425" w:type="dxa"/>
            <w:noWrap w:val="0"/>
            <w:vAlign w:val="center"/>
          </w:tcPr>
          <w:p w14:paraId="1EEFE32E">
            <w:pPr>
              <w:rPr>
                <w:highlight w:val="none"/>
              </w:rPr>
            </w:pPr>
            <w:r>
              <w:rPr>
                <w:rFonts w:hint="eastAsia"/>
                <w:highlight w:val="none"/>
              </w:rPr>
              <w:t>a) 应根据安全保护等级选择基本安全措施，依据风险分析的结果补充和调整安全措施。</w:t>
            </w:r>
          </w:p>
        </w:tc>
      </w:tr>
      <w:tr w14:paraId="4814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blHeader/>
          <w:jc w:val="center"/>
        </w:trPr>
        <w:tc>
          <w:tcPr>
            <w:tcW w:w="861" w:type="dxa"/>
            <w:vMerge w:val="continue"/>
            <w:noWrap w:val="0"/>
            <w:vAlign w:val="center"/>
          </w:tcPr>
          <w:p w14:paraId="488705E0">
            <w:pPr>
              <w:jc w:val="center"/>
              <w:rPr>
                <w:highlight w:val="none"/>
              </w:rPr>
            </w:pPr>
          </w:p>
        </w:tc>
        <w:tc>
          <w:tcPr>
            <w:tcW w:w="1793" w:type="dxa"/>
            <w:vMerge w:val="continue"/>
            <w:noWrap w:val="0"/>
            <w:vAlign w:val="center"/>
          </w:tcPr>
          <w:p w14:paraId="51C75C9B">
            <w:pPr>
              <w:jc w:val="center"/>
              <w:rPr>
                <w:highlight w:val="none"/>
              </w:rPr>
            </w:pPr>
          </w:p>
        </w:tc>
        <w:tc>
          <w:tcPr>
            <w:tcW w:w="6425" w:type="dxa"/>
            <w:noWrap w:val="0"/>
            <w:vAlign w:val="center"/>
          </w:tcPr>
          <w:p w14:paraId="501EFCCF">
            <w:pPr>
              <w:rPr>
                <w:highlight w:val="none"/>
              </w:rPr>
            </w:pPr>
            <w:r>
              <w:rPr>
                <w:rFonts w:hint="eastAsia"/>
                <w:highlight w:val="none"/>
              </w:rPr>
              <w:t>b) 应根据保护对象的安全保护等级及与其他级别保护对象的关系进行安全整体规划 和安全方案设计，设计内容应包含密码技术相关内容，并形成配套文件</w:t>
            </w:r>
          </w:p>
        </w:tc>
      </w:tr>
      <w:tr w14:paraId="05BF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blHeader/>
          <w:jc w:val="center"/>
        </w:trPr>
        <w:tc>
          <w:tcPr>
            <w:tcW w:w="861" w:type="dxa"/>
            <w:vMerge w:val="continue"/>
            <w:noWrap w:val="0"/>
            <w:vAlign w:val="center"/>
          </w:tcPr>
          <w:p w14:paraId="0AC397D3">
            <w:pPr>
              <w:jc w:val="center"/>
              <w:rPr>
                <w:highlight w:val="none"/>
              </w:rPr>
            </w:pPr>
          </w:p>
        </w:tc>
        <w:tc>
          <w:tcPr>
            <w:tcW w:w="1793" w:type="dxa"/>
            <w:vMerge w:val="continue"/>
            <w:noWrap w:val="0"/>
            <w:vAlign w:val="center"/>
          </w:tcPr>
          <w:p w14:paraId="2C637E82">
            <w:pPr>
              <w:jc w:val="center"/>
              <w:rPr>
                <w:highlight w:val="none"/>
              </w:rPr>
            </w:pPr>
          </w:p>
        </w:tc>
        <w:tc>
          <w:tcPr>
            <w:tcW w:w="6425" w:type="dxa"/>
            <w:noWrap w:val="0"/>
            <w:vAlign w:val="center"/>
          </w:tcPr>
          <w:p w14:paraId="504BAEF1">
            <w:pPr>
              <w:rPr>
                <w:highlight w:val="none"/>
              </w:rPr>
            </w:pPr>
            <w:r>
              <w:rPr>
                <w:rFonts w:hint="eastAsia"/>
                <w:highlight w:val="none"/>
              </w:rPr>
              <w:t>c) 应组织相关部门和有关安全专家对安全整体规划及其配套文件的合理性和正确性 进行论证和审定，经过批准后才能正式实施。</w:t>
            </w:r>
          </w:p>
        </w:tc>
      </w:tr>
      <w:tr w14:paraId="7236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restart"/>
            <w:noWrap w:val="0"/>
            <w:vAlign w:val="center"/>
          </w:tcPr>
          <w:p w14:paraId="5E9AF899">
            <w:pPr>
              <w:jc w:val="center"/>
              <w:rPr>
                <w:rFonts w:hint="eastAsia" w:eastAsia="宋体"/>
                <w:highlight w:val="none"/>
                <w:lang w:val="en-US" w:eastAsia="zh-CN"/>
              </w:rPr>
            </w:pPr>
            <w:r>
              <w:rPr>
                <w:rFonts w:hint="eastAsia"/>
                <w:highlight w:val="none"/>
                <w:lang w:val="en-US" w:eastAsia="zh-CN"/>
              </w:rPr>
              <w:t>3</w:t>
            </w:r>
          </w:p>
        </w:tc>
        <w:tc>
          <w:tcPr>
            <w:tcW w:w="1793" w:type="dxa"/>
            <w:vMerge w:val="restart"/>
            <w:noWrap w:val="0"/>
            <w:vAlign w:val="center"/>
          </w:tcPr>
          <w:p w14:paraId="167B1693">
            <w:pPr>
              <w:jc w:val="center"/>
              <w:rPr>
                <w:highlight w:val="none"/>
              </w:rPr>
            </w:pPr>
            <w:r>
              <w:rPr>
                <w:rFonts w:hint="eastAsia"/>
                <w:highlight w:val="none"/>
              </w:rPr>
              <w:t>产品采购和使用</w:t>
            </w:r>
          </w:p>
        </w:tc>
        <w:tc>
          <w:tcPr>
            <w:tcW w:w="6425" w:type="dxa"/>
            <w:noWrap w:val="0"/>
            <w:vAlign w:val="center"/>
          </w:tcPr>
          <w:p w14:paraId="06D10BBD">
            <w:pPr>
              <w:rPr>
                <w:highlight w:val="none"/>
              </w:rPr>
            </w:pPr>
            <w:r>
              <w:rPr>
                <w:rFonts w:hint="eastAsia"/>
                <w:highlight w:val="none"/>
              </w:rPr>
              <w:t>a) 应确保网络安全产品采购和使用符合国家的有关规定</w:t>
            </w:r>
          </w:p>
        </w:tc>
      </w:tr>
      <w:tr w14:paraId="6AF7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continue"/>
            <w:noWrap w:val="0"/>
            <w:vAlign w:val="center"/>
          </w:tcPr>
          <w:p w14:paraId="7E40D8FD">
            <w:pPr>
              <w:jc w:val="center"/>
              <w:rPr>
                <w:highlight w:val="none"/>
              </w:rPr>
            </w:pPr>
          </w:p>
        </w:tc>
        <w:tc>
          <w:tcPr>
            <w:tcW w:w="1793" w:type="dxa"/>
            <w:vMerge w:val="continue"/>
            <w:noWrap w:val="0"/>
            <w:vAlign w:val="center"/>
          </w:tcPr>
          <w:p w14:paraId="1320B088">
            <w:pPr>
              <w:jc w:val="center"/>
              <w:rPr>
                <w:highlight w:val="none"/>
              </w:rPr>
            </w:pPr>
          </w:p>
        </w:tc>
        <w:tc>
          <w:tcPr>
            <w:tcW w:w="6425" w:type="dxa"/>
            <w:noWrap w:val="0"/>
            <w:vAlign w:val="center"/>
          </w:tcPr>
          <w:p w14:paraId="7BC45847">
            <w:pPr>
              <w:rPr>
                <w:highlight w:val="none"/>
              </w:rPr>
            </w:pPr>
            <w:r>
              <w:rPr>
                <w:rFonts w:hint="eastAsia"/>
                <w:highlight w:val="none"/>
              </w:rPr>
              <w:t>b) 应确保密码产品与服务的采购和使用符合国家密码主管部门的要求。</w:t>
            </w:r>
          </w:p>
        </w:tc>
      </w:tr>
      <w:tr w14:paraId="11C3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continue"/>
            <w:noWrap w:val="0"/>
            <w:vAlign w:val="center"/>
          </w:tcPr>
          <w:p w14:paraId="663C60E3">
            <w:pPr>
              <w:jc w:val="center"/>
              <w:rPr>
                <w:highlight w:val="none"/>
              </w:rPr>
            </w:pPr>
          </w:p>
        </w:tc>
        <w:tc>
          <w:tcPr>
            <w:tcW w:w="1793" w:type="dxa"/>
            <w:vMerge w:val="continue"/>
            <w:noWrap w:val="0"/>
            <w:vAlign w:val="center"/>
          </w:tcPr>
          <w:p w14:paraId="3DAE5D0F">
            <w:pPr>
              <w:jc w:val="center"/>
              <w:rPr>
                <w:highlight w:val="none"/>
              </w:rPr>
            </w:pPr>
          </w:p>
        </w:tc>
        <w:tc>
          <w:tcPr>
            <w:tcW w:w="6425" w:type="dxa"/>
            <w:noWrap w:val="0"/>
            <w:vAlign w:val="center"/>
          </w:tcPr>
          <w:p w14:paraId="65DB4D4A">
            <w:pPr>
              <w:rPr>
                <w:highlight w:val="none"/>
              </w:rPr>
            </w:pPr>
            <w:r>
              <w:rPr>
                <w:rFonts w:hint="eastAsia"/>
                <w:highlight w:val="none"/>
              </w:rPr>
              <w:t>c) 应预先对产品进行选型测试，确定产品的候选范围，并定期审定和更新候选产品 名单</w:t>
            </w:r>
          </w:p>
        </w:tc>
      </w:tr>
      <w:tr w14:paraId="4C5E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restart"/>
            <w:noWrap w:val="0"/>
            <w:vAlign w:val="center"/>
          </w:tcPr>
          <w:p w14:paraId="5FE02933">
            <w:pPr>
              <w:jc w:val="center"/>
              <w:rPr>
                <w:rFonts w:hint="eastAsia" w:eastAsia="宋体"/>
                <w:highlight w:val="none"/>
                <w:lang w:val="en-US" w:eastAsia="zh-CN"/>
              </w:rPr>
            </w:pPr>
            <w:r>
              <w:rPr>
                <w:rFonts w:hint="eastAsia"/>
                <w:highlight w:val="none"/>
                <w:lang w:val="en-US" w:eastAsia="zh-CN"/>
              </w:rPr>
              <w:t>4</w:t>
            </w:r>
          </w:p>
        </w:tc>
        <w:tc>
          <w:tcPr>
            <w:tcW w:w="1793" w:type="dxa"/>
            <w:vMerge w:val="restart"/>
            <w:noWrap w:val="0"/>
            <w:vAlign w:val="center"/>
          </w:tcPr>
          <w:p w14:paraId="5DE20C62">
            <w:pPr>
              <w:jc w:val="center"/>
              <w:rPr>
                <w:highlight w:val="none"/>
              </w:rPr>
            </w:pPr>
            <w:r>
              <w:rPr>
                <w:rFonts w:hint="eastAsia"/>
                <w:highlight w:val="none"/>
              </w:rPr>
              <w:t>自行软件开发</w:t>
            </w:r>
          </w:p>
        </w:tc>
        <w:tc>
          <w:tcPr>
            <w:tcW w:w="6425" w:type="dxa"/>
            <w:noWrap w:val="0"/>
            <w:vAlign w:val="center"/>
          </w:tcPr>
          <w:p w14:paraId="6E289494">
            <w:pPr>
              <w:rPr>
                <w:highlight w:val="none"/>
              </w:rPr>
            </w:pPr>
            <w:r>
              <w:rPr>
                <w:rFonts w:hint="eastAsia"/>
                <w:highlight w:val="none"/>
              </w:rPr>
              <w:t>a) 应将开发环境与实际运行环境物理分开，测试数据和测试结果受到控制。</w:t>
            </w:r>
          </w:p>
        </w:tc>
      </w:tr>
      <w:tr w14:paraId="1E5D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blHeader/>
          <w:jc w:val="center"/>
        </w:trPr>
        <w:tc>
          <w:tcPr>
            <w:tcW w:w="861" w:type="dxa"/>
            <w:vMerge w:val="continue"/>
            <w:noWrap w:val="0"/>
            <w:vAlign w:val="center"/>
          </w:tcPr>
          <w:p w14:paraId="3F0C1E52">
            <w:pPr>
              <w:jc w:val="center"/>
              <w:rPr>
                <w:highlight w:val="none"/>
              </w:rPr>
            </w:pPr>
          </w:p>
        </w:tc>
        <w:tc>
          <w:tcPr>
            <w:tcW w:w="1793" w:type="dxa"/>
            <w:vMerge w:val="continue"/>
            <w:noWrap w:val="0"/>
            <w:vAlign w:val="center"/>
          </w:tcPr>
          <w:p w14:paraId="40375FB6">
            <w:pPr>
              <w:jc w:val="center"/>
              <w:rPr>
                <w:highlight w:val="none"/>
              </w:rPr>
            </w:pPr>
          </w:p>
        </w:tc>
        <w:tc>
          <w:tcPr>
            <w:tcW w:w="6425" w:type="dxa"/>
            <w:noWrap w:val="0"/>
            <w:vAlign w:val="center"/>
          </w:tcPr>
          <w:p w14:paraId="26D5031C">
            <w:pPr>
              <w:rPr>
                <w:highlight w:val="none"/>
              </w:rPr>
            </w:pPr>
            <w:r>
              <w:rPr>
                <w:rFonts w:hint="eastAsia"/>
                <w:highlight w:val="none"/>
              </w:rPr>
              <w:t>b) 应制定软件开发管理制度，明确说明开发过程的控制方法和人员行为准则</w:t>
            </w:r>
          </w:p>
        </w:tc>
      </w:tr>
      <w:tr w14:paraId="3B92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continue"/>
            <w:noWrap w:val="0"/>
            <w:vAlign w:val="center"/>
          </w:tcPr>
          <w:p w14:paraId="0AE4F80D">
            <w:pPr>
              <w:jc w:val="center"/>
              <w:rPr>
                <w:highlight w:val="none"/>
              </w:rPr>
            </w:pPr>
          </w:p>
        </w:tc>
        <w:tc>
          <w:tcPr>
            <w:tcW w:w="1793" w:type="dxa"/>
            <w:vMerge w:val="continue"/>
            <w:noWrap w:val="0"/>
            <w:vAlign w:val="center"/>
          </w:tcPr>
          <w:p w14:paraId="21FBC0BB">
            <w:pPr>
              <w:jc w:val="center"/>
              <w:rPr>
                <w:highlight w:val="none"/>
              </w:rPr>
            </w:pPr>
          </w:p>
        </w:tc>
        <w:tc>
          <w:tcPr>
            <w:tcW w:w="6425" w:type="dxa"/>
            <w:noWrap w:val="0"/>
            <w:vAlign w:val="center"/>
          </w:tcPr>
          <w:p w14:paraId="11F1CB14">
            <w:pPr>
              <w:rPr>
                <w:highlight w:val="none"/>
              </w:rPr>
            </w:pPr>
            <w:r>
              <w:rPr>
                <w:rFonts w:hint="eastAsia"/>
                <w:highlight w:val="none"/>
              </w:rPr>
              <w:t>c) 应制定代码编写安全规范，要求开发人员参照规范编写代码</w:t>
            </w:r>
          </w:p>
        </w:tc>
      </w:tr>
      <w:tr w14:paraId="0980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continue"/>
            <w:noWrap w:val="0"/>
            <w:vAlign w:val="center"/>
          </w:tcPr>
          <w:p w14:paraId="4B341098">
            <w:pPr>
              <w:jc w:val="center"/>
              <w:rPr>
                <w:highlight w:val="none"/>
              </w:rPr>
            </w:pPr>
          </w:p>
        </w:tc>
        <w:tc>
          <w:tcPr>
            <w:tcW w:w="1793" w:type="dxa"/>
            <w:vMerge w:val="continue"/>
            <w:noWrap w:val="0"/>
            <w:vAlign w:val="center"/>
          </w:tcPr>
          <w:p w14:paraId="367925B5">
            <w:pPr>
              <w:jc w:val="center"/>
              <w:rPr>
                <w:highlight w:val="none"/>
              </w:rPr>
            </w:pPr>
          </w:p>
        </w:tc>
        <w:tc>
          <w:tcPr>
            <w:tcW w:w="6425" w:type="dxa"/>
            <w:noWrap w:val="0"/>
            <w:vAlign w:val="center"/>
          </w:tcPr>
          <w:p w14:paraId="7F85DD36">
            <w:pPr>
              <w:rPr>
                <w:highlight w:val="none"/>
              </w:rPr>
            </w:pPr>
            <w:r>
              <w:rPr>
                <w:rFonts w:hint="eastAsia"/>
                <w:highlight w:val="none"/>
              </w:rPr>
              <w:t>d) 应具备软件设计的相关文档和使用指南，并对文档使用进行控制</w:t>
            </w:r>
          </w:p>
        </w:tc>
      </w:tr>
      <w:tr w14:paraId="588C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continue"/>
            <w:noWrap w:val="0"/>
            <w:vAlign w:val="center"/>
          </w:tcPr>
          <w:p w14:paraId="6D072E0B">
            <w:pPr>
              <w:jc w:val="center"/>
              <w:rPr>
                <w:highlight w:val="none"/>
              </w:rPr>
            </w:pPr>
          </w:p>
        </w:tc>
        <w:tc>
          <w:tcPr>
            <w:tcW w:w="1793" w:type="dxa"/>
            <w:vMerge w:val="continue"/>
            <w:noWrap w:val="0"/>
            <w:vAlign w:val="center"/>
          </w:tcPr>
          <w:p w14:paraId="00E3D413">
            <w:pPr>
              <w:jc w:val="center"/>
              <w:rPr>
                <w:highlight w:val="none"/>
              </w:rPr>
            </w:pPr>
          </w:p>
        </w:tc>
        <w:tc>
          <w:tcPr>
            <w:tcW w:w="6425" w:type="dxa"/>
            <w:noWrap w:val="0"/>
            <w:vAlign w:val="center"/>
          </w:tcPr>
          <w:p w14:paraId="37C61C64">
            <w:pPr>
              <w:rPr>
                <w:highlight w:val="none"/>
              </w:rPr>
            </w:pPr>
            <w:r>
              <w:rPr>
                <w:rFonts w:hint="eastAsia"/>
                <w:highlight w:val="none"/>
              </w:rPr>
              <w:t>e) 应保证在软件开发过程中对安全性进行测试，在软件安装前对可能存在的恶意代码 进行检测</w:t>
            </w:r>
          </w:p>
        </w:tc>
      </w:tr>
      <w:tr w14:paraId="2D0A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continue"/>
            <w:noWrap w:val="0"/>
            <w:vAlign w:val="center"/>
          </w:tcPr>
          <w:p w14:paraId="492DA1E3">
            <w:pPr>
              <w:jc w:val="center"/>
              <w:rPr>
                <w:highlight w:val="none"/>
              </w:rPr>
            </w:pPr>
          </w:p>
        </w:tc>
        <w:tc>
          <w:tcPr>
            <w:tcW w:w="1793" w:type="dxa"/>
            <w:vMerge w:val="continue"/>
            <w:noWrap w:val="0"/>
            <w:vAlign w:val="center"/>
          </w:tcPr>
          <w:p w14:paraId="060A53F5">
            <w:pPr>
              <w:jc w:val="center"/>
              <w:rPr>
                <w:highlight w:val="none"/>
              </w:rPr>
            </w:pPr>
          </w:p>
        </w:tc>
        <w:tc>
          <w:tcPr>
            <w:tcW w:w="6425" w:type="dxa"/>
            <w:noWrap w:val="0"/>
            <w:vAlign w:val="center"/>
          </w:tcPr>
          <w:p w14:paraId="6922A3DF">
            <w:pPr>
              <w:rPr>
                <w:highlight w:val="none"/>
              </w:rPr>
            </w:pPr>
            <w:r>
              <w:rPr>
                <w:rFonts w:hint="eastAsia"/>
                <w:highlight w:val="none"/>
              </w:rPr>
              <w:t>f)应对程序资源库的修改、更新、发布进行授权和批准，并严格进行版本控制</w:t>
            </w:r>
          </w:p>
        </w:tc>
      </w:tr>
      <w:tr w14:paraId="5A07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continue"/>
            <w:noWrap w:val="0"/>
            <w:vAlign w:val="center"/>
          </w:tcPr>
          <w:p w14:paraId="20C03650">
            <w:pPr>
              <w:jc w:val="center"/>
              <w:rPr>
                <w:highlight w:val="none"/>
              </w:rPr>
            </w:pPr>
          </w:p>
        </w:tc>
        <w:tc>
          <w:tcPr>
            <w:tcW w:w="1793" w:type="dxa"/>
            <w:vMerge w:val="continue"/>
            <w:noWrap w:val="0"/>
            <w:vAlign w:val="center"/>
          </w:tcPr>
          <w:p w14:paraId="12773903">
            <w:pPr>
              <w:jc w:val="center"/>
              <w:rPr>
                <w:highlight w:val="none"/>
              </w:rPr>
            </w:pPr>
          </w:p>
        </w:tc>
        <w:tc>
          <w:tcPr>
            <w:tcW w:w="6425" w:type="dxa"/>
            <w:noWrap w:val="0"/>
            <w:vAlign w:val="center"/>
          </w:tcPr>
          <w:p w14:paraId="43438464">
            <w:pPr>
              <w:rPr>
                <w:highlight w:val="none"/>
              </w:rPr>
            </w:pPr>
            <w:r>
              <w:rPr>
                <w:rFonts w:hint="eastAsia"/>
                <w:highlight w:val="none"/>
              </w:rPr>
              <w:t>g)应保证开发人员为专职人员，开发人员的开发活动受到控制、监视和审查</w:t>
            </w:r>
          </w:p>
        </w:tc>
      </w:tr>
      <w:tr w14:paraId="0B75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861" w:type="dxa"/>
            <w:vMerge w:val="restart"/>
            <w:noWrap w:val="0"/>
            <w:vAlign w:val="center"/>
          </w:tcPr>
          <w:p w14:paraId="56BE8D57">
            <w:pPr>
              <w:jc w:val="center"/>
              <w:rPr>
                <w:rFonts w:hint="eastAsia" w:eastAsia="宋体"/>
                <w:highlight w:val="none"/>
                <w:lang w:val="en-US" w:eastAsia="zh-CN"/>
              </w:rPr>
            </w:pPr>
            <w:r>
              <w:rPr>
                <w:rFonts w:hint="eastAsia"/>
                <w:highlight w:val="none"/>
                <w:lang w:val="en-US" w:eastAsia="zh-CN"/>
              </w:rPr>
              <w:t>5</w:t>
            </w:r>
          </w:p>
        </w:tc>
        <w:tc>
          <w:tcPr>
            <w:tcW w:w="1793" w:type="dxa"/>
            <w:vMerge w:val="restart"/>
            <w:noWrap w:val="0"/>
            <w:vAlign w:val="center"/>
          </w:tcPr>
          <w:p w14:paraId="1C29A918">
            <w:pPr>
              <w:jc w:val="center"/>
              <w:rPr>
                <w:highlight w:val="none"/>
              </w:rPr>
            </w:pPr>
            <w:r>
              <w:rPr>
                <w:rFonts w:hint="eastAsia"/>
                <w:highlight w:val="none"/>
              </w:rPr>
              <w:t>外包软件开发</w:t>
            </w:r>
          </w:p>
        </w:tc>
        <w:tc>
          <w:tcPr>
            <w:tcW w:w="6425" w:type="dxa"/>
            <w:noWrap w:val="0"/>
            <w:vAlign w:val="center"/>
          </w:tcPr>
          <w:p w14:paraId="508D615F">
            <w:pPr>
              <w:rPr>
                <w:highlight w:val="none"/>
              </w:rPr>
            </w:pPr>
            <w:r>
              <w:rPr>
                <w:rFonts w:hint="eastAsia"/>
                <w:highlight w:val="none"/>
              </w:rPr>
              <w:t>a) 应在软件交付前检测软件其中可能存在的恶意代码</w:t>
            </w:r>
          </w:p>
        </w:tc>
      </w:tr>
      <w:tr w14:paraId="7538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jc w:val="center"/>
        </w:trPr>
        <w:tc>
          <w:tcPr>
            <w:tcW w:w="861" w:type="dxa"/>
            <w:vMerge w:val="continue"/>
            <w:noWrap w:val="0"/>
            <w:vAlign w:val="center"/>
          </w:tcPr>
          <w:p w14:paraId="244F6FD2">
            <w:pPr>
              <w:jc w:val="center"/>
              <w:rPr>
                <w:highlight w:val="none"/>
              </w:rPr>
            </w:pPr>
          </w:p>
        </w:tc>
        <w:tc>
          <w:tcPr>
            <w:tcW w:w="1793" w:type="dxa"/>
            <w:vMerge w:val="continue"/>
            <w:noWrap w:val="0"/>
            <w:vAlign w:val="center"/>
          </w:tcPr>
          <w:p w14:paraId="544ADB87">
            <w:pPr>
              <w:jc w:val="center"/>
              <w:rPr>
                <w:highlight w:val="none"/>
              </w:rPr>
            </w:pPr>
          </w:p>
        </w:tc>
        <w:tc>
          <w:tcPr>
            <w:tcW w:w="6425" w:type="dxa"/>
            <w:noWrap w:val="0"/>
            <w:vAlign w:val="center"/>
          </w:tcPr>
          <w:p w14:paraId="1FBC43F7">
            <w:pPr>
              <w:rPr>
                <w:highlight w:val="none"/>
              </w:rPr>
            </w:pPr>
            <w:r>
              <w:rPr>
                <w:rFonts w:hint="eastAsia"/>
                <w:highlight w:val="none"/>
              </w:rPr>
              <w:t>b) 应保证开发单位提供软件设计文档和使用指南</w:t>
            </w:r>
          </w:p>
        </w:tc>
      </w:tr>
      <w:tr w14:paraId="34C6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continue"/>
            <w:noWrap w:val="0"/>
            <w:vAlign w:val="center"/>
          </w:tcPr>
          <w:p w14:paraId="67E1D92B">
            <w:pPr>
              <w:jc w:val="center"/>
              <w:rPr>
                <w:highlight w:val="none"/>
              </w:rPr>
            </w:pPr>
          </w:p>
        </w:tc>
        <w:tc>
          <w:tcPr>
            <w:tcW w:w="1793" w:type="dxa"/>
            <w:vMerge w:val="continue"/>
            <w:noWrap w:val="0"/>
            <w:vAlign w:val="center"/>
          </w:tcPr>
          <w:p w14:paraId="00776AE6">
            <w:pPr>
              <w:jc w:val="center"/>
              <w:rPr>
                <w:highlight w:val="none"/>
              </w:rPr>
            </w:pPr>
          </w:p>
        </w:tc>
        <w:tc>
          <w:tcPr>
            <w:tcW w:w="6425" w:type="dxa"/>
            <w:noWrap w:val="0"/>
            <w:vAlign w:val="center"/>
          </w:tcPr>
          <w:p w14:paraId="23897D00">
            <w:pPr>
              <w:rPr>
                <w:highlight w:val="none"/>
              </w:rPr>
            </w:pPr>
            <w:r>
              <w:rPr>
                <w:rFonts w:hint="eastAsia"/>
                <w:highlight w:val="none"/>
              </w:rPr>
              <w:t>c) 应保证开发单位提供软件源代码，并审查软件中可能存在的后门和隐蔽信道</w:t>
            </w:r>
          </w:p>
        </w:tc>
      </w:tr>
      <w:tr w14:paraId="6C81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restart"/>
            <w:noWrap w:val="0"/>
            <w:vAlign w:val="center"/>
          </w:tcPr>
          <w:p w14:paraId="4E249F72">
            <w:pPr>
              <w:jc w:val="center"/>
              <w:rPr>
                <w:rFonts w:hint="eastAsia" w:eastAsia="宋体"/>
                <w:highlight w:val="none"/>
                <w:lang w:val="en-US" w:eastAsia="zh-CN"/>
              </w:rPr>
            </w:pPr>
            <w:r>
              <w:rPr>
                <w:rFonts w:hint="eastAsia"/>
                <w:highlight w:val="none"/>
                <w:lang w:val="en-US" w:eastAsia="zh-CN"/>
              </w:rPr>
              <w:t>6</w:t>
            </w:r>
          </w:p>
        </w:tc>
        <w:tc>
          <w:tcPr>
            <w:tcW w:w="1793" w:type="dxa"/>
            <w:vMerge w:val="restart"/>
            <w:noWrap w:val="0"/>
            <w:vAlign w:val="center"/>
          </w:tcPr>
          <w:p w14:paraId="6AC7A22B">
            <w:pPr>
              <w:jc w:val="center"/>
              <w:rPr>
                <w:highlight w:val="none"/>
              </w:rPr>
            </w:pPr>
            <w:r>
              <w:rPr>
                <w:rFonts w:hint="eastAsia"/>
                <w:highlight w:val="none"/>
              </w:rPr>
              <w:t>工程实施</w:t>
            </w:r>
          </w:p>
        </w:tc>
        <w:tc>
          <w:tcPr>
            <w:tcW w:w="6425" w:type="dxa"/>
            <w:noWrap w:val="0"/>
            <w:vAlign w:val="center"/>
          </w:tcPr>
          <w:p w14:paraId="68F18880">
            <w:pPr>
              <w:rPr>
                <w:highlight w:val="none"/>
              </w:rPr>
            </w:pPr>
            <w:r>
              <w:rPr>
                <w:rFonts w:hint="eastAsia"/>
                <w:highlight w:val="none"/>
              </w:rPr>
              <w:t>a) 应指定或授权专门的部门或人员负责工程实施过程的管理</w:t>
            </w:r>
          </w:p>
        </w:tc>
      </w:tr>
      <w:tr w14:paraId="47A4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861" w:type="dxa"/>
            <w:vMerge w:val="continue"/>
            <w:noWrap w:val="0"/>
            <w:vAlign w:val="center"/>
          </w:tcPr>
          <w:p w14:paraId="5AA42D22">
            <w:pPr>
              <w:jc w:val="center"/>
              <w:rPr>
                <w:highlight w:val="none"/>
              </w:rPr>
            </w:pPr>
          </w:p>
        </w:tc>
        <w:tc>
          <w:tcPr>
            <w:tcW w:w="1793" w:type="dxa"/>
            <w:vMerge w:val="continue"/>
            <w:noWrap w:val="0"/>
            <w:vAlign w:val="center"/>
          </w:tcPr>
          <w:p w14:paraId="1ABBD861">
            <w:pPr>
              <w:jc w:val="center"/>
              <w:rPr>
                <w:highlight w:val="none"/>
              </w:rPr>
            </w:pPr>
          </w:p>
        </w:tc>
        <w:tc>
          <w:tcPr>
            <w:tcW w:w="6425" w:type="dxa"/>
            <w:tcBorders>
              <w:top w:val="single" w:color="auto" w:sz="4" w:space="0"/>
              <w:bottom w:val="single" w:color="auto" w:sz="4" w:space="0"/>
              <w:right w:val="single" w:color="auto" w:sz="4" w:space="0"/>
            </w:tcBorders>
            <w:noWrap w:val="0"/>
            <w:vAlign w:val="center"/>
          </w:tcPr>
          <w:p w14:paraId="56C89390">
            <w:pPr>
              <w:rPr>
                <w:highlight w:val="none"/>
              </w:rPr>
            </w:pPr>
            <w:r>
              <w:rPr>
                <w:rFonts w:hint="eastAsia"/>
                <w:highlight w:val="none"/>
              </w:rPr>
              <w:t>b) 应制定安全工程实施方案控制工程实施过程</w:t>
            </w:r>
          </w:p>
        </w:tc>
      </w:tr>
      <w:tr w14:paraId="47CB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861" w:type="dxa"/>
            <w:vMerge w:val="continue"/>
            <w:tcBorders>
              <w:bottom w:val="single" w:color="auto" w:sz="4" w:space="0"/>
            </w:tcBorders>
            <w:noWrap w:val="0"/>
            <w:vAlign w:val="center"/>
          </w:tcPr>
          <w:p w14:paraId="2A98AFCF">
            <w:pPr>
              <w:jc w:val="center"/>
              <w:rPr>
                <w:highlight w:val="none"/>
              </w:rPr>
            </w:pPr>
          </w:p>
        </w:tc>
        <w:tc>
          <w:tcPr>
            <w:tcW w:w="1793" w:type="dxa"/>
            <w:vMerge w:val="continue"/>
            <w:tcBorders>
              <w:bottom w:val="single" w:color="auto" w:sz="4" w:space="0"/>
            </w:tcBorders>
            <w:noWrap w:val="0"/>
            <w:vAlign w:val="center"/>
          </w:tcPr>
          <w:p w14:paraId="71FBC9D6">
            <w:pPr>
              <w:jc w:val="center"/>
              <w:rPr>
                <w:highlight w:val="none"/>
              </w:rPr>
            </w:pPr>
          </w:p>
        </w:tc>
        <w:tc>
          <w:tcPr>
            <w:tcW w:w="6425" w:type="dxa"/>
            <w:tcBorders>
              <w:top w:val="single" w:color="auto" w:sz="4" w:space="0"/>
              <w:bottom w:val="single" w:color="auto" w:sz="4" w:space="0"/>
              <w:right w:val="single" w:color="auto" w:sz="4" w:space="0"/>
            </w:tcBorders>
            <w:noWrap w:val="0"/>
            <w:vAlign w:val="center"/>
          </w:tcPr>
          <w:p w14:paraId="2EA9DE44">
            <w:pPr>
              <w:rPr>
                <w:highlight w:val="none"/>
              </w:rPr>
            </w:pPr>
            <w:r>
              <w:rPr>
                <w:rFonts w:hint="eastAsia"/>
                <w:highlight w:val="none"/>
              </w:rPr>
              <w:t>c) 应通过第三方工程监理控制项目的实施过程</w:t>
            </w:r>
          </w:p>
        </w:tc>
      </w:tr>
      <w:tr w14:paraId="2F98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blHeader/>
          <w:jc w:val="center"/>
        </w:trPr>
        <w:tc>
          <w:tcPr>
            <w:tcW w:w="861" w:type="dxa"/>
            <w:vMerge w:val="restart"/>
            <w:tcBorders>
              <w:top w:val="single" w:color="auto" w:sz="4" w:space="0"/>
              <w:left w:val="single" w:color="auto" w:sz="4" w:space="0"/>
              <w:right w:val="single" w:color="auto" w:sz="4" w:space="0"/>
            </w:tcBorders>
            <w:noWrap w:val="0"/>
            <w:vAlign w:val="center"/>
          </w:tcPr>
          <w:p w14:paraId="7B2D72B4">
            <w:pPr>
              <w:jc w:val="center"/>
              <w:rPr>
                <w:rFonts w:hint="eastAsia" w:eastAsia="宋体"/>
                <w:highlight w:val="none"/>
                <w:lang w:val="en-US" w:eastAsia="zh-CN"/>
              </w:rPr>
            </w:pPr>
            <w:r>
              <w:rPr>
                <w:rFonts w:hint="eastAsia"/>
                <w:highlight w:val="none"/>
                <w:lang w:val="en-US" w:eastAsia="zh-CN"/>
              </w:rPr>
              <w:t>7</w:t>
            </w:r>
          </w:p>
        </w:tc>
        <w:tc>
          <w:tcPr>
            <w:tcW w:w="1793" w:type="dxa"/>
            <w:vMerge w:val="restart"/>
            <w:tcBorders>
              <w:top w:val="single" w:color="auto" w:sz="4" w:space="0"/>
              <w:left w:val="single" w:color="auto" w:sz="4" w:space="0"/>
              <w:right w:val="single" w:color="auto" w:sz="4" w:space="0"/>
            </w:tcBorders>
            <w:noWrap w:val="0"/>
            <w:vAlign w:val="center"/>
          </w:tcPr>
          <w:p w14:paraId="67CEF21B">
            <w:pPr>
              <w:jc w:val="center"/>
              <w:rPr>
                <w:highlight w:val="none"/>
              </w:rPr>
            </w:pPr>
            <w:r>
              <w:rPr>
                <w:rFonts w:hint="eastAsia"/>
                <w:highlight w:val="none"/>
              </w:rPr>
              <w:t>测试验收</w:t>
            </w:r>
          </w:p>
        </w:tc>
        <w:tc>
          <w:tcPr>
            <w:tcW w:w="6425" w:type="dxa"/>
            <w:tcBorders>
              <w:top w:val="single" w:color="auto" w:sz="4" w:space="0"/>
              <w:left w:val="single" w:color="auto" w:sz="4" w:space="0"/>
              <w:bottom w:val="single" w:color="auto" w:sz="4" w:space="0"/>
              <w:right w:val="single" w:color="auto" w:sz="4" w:space="0"/>
            </w:tcBorders>
            <w:noWrap w:val="0"/>
            <w:vAlign w:val="center"/>
          </w:tcPr>
          <w:p w14:paraId="6ADB92F1">
            <w:pPr>
              <w:rPr>
                <w:highlight w:val="none"/>
              </w:rPr>
            </w:pPr>
            <w:r>
              <w:rPr>
                <w:rFonts w:hint="eastAsia"/>
                <w:highlight w:val="none"/>
              </w:rPr>
              <w:t>a) 应制订测试验收方案，并依据测试验收方案实施测试验收，形成测试验收报告</w:t>
            </w:r>
          </w:p>
        </w:tc>
      </w:tr>
      <w:tr w14:paraId="1E58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blHeader/>
          <w:jc w:val="center"/>
        </w:trPr>
        <w:tc>
          <w:tcPr>
            <w:tcW w:w="861" w:type="dxa"/>
            <w:vMerge w:val="continue"/>
            <w:tcBorders>
              <w:left w:val="single" w:color="auto" w:sz="4" w:space="0"/>
              <w:bottom w:val="single" w:color="auto" w:sz="4" w:space="0"/>
              <w:right w:val="single" w:color="auto" w:sz="4" w:space="0"/>
            </w:tcBorders>
            <w:noWrap w:val="0"/>
            <w:vAlign w:val="center"/>
          </w:tcPr>
          <w:p w14:paraId="1E073D8C">
            <w:pPr>
              <w:jc w:val="center"/>
              <w:rPr>
                <w:highlight w:val="none"/>
              </w:rPr>
            </w:pPr>
          </w:p>
        </w:tc>
        <w:tc>
          <w:tcPr>
            <w:tcW w:w="1793" w:type="dxa"/>
            <w:vMerge w:val="continue"/>
            <w:tcBorders>
              <w:left w:val="single" w:color="auto" w:sz="4" w:space="0"/>
              <w:bottom w:val="single" w:color="auto" w:sz="4" w:space="0"/>
              <w:right w:val="single" w:color="auto" w:sz="4" w:space="0"/>
            </w:tcBorders>
            <w:noWrap w:val="0"/>
            <w:vAlign w:val="center"/>
          </w:tcPr>
          <w:p w14:paraId="7BD7805A">
            <w:pPr>
              <w:jc w:val="center"/>
              <w:rPr>
                <w:highlight w:val="none"/>
              </w:rPr>
            </w:pPr>
          </w:p>
        </w:tc>
        <w:tc>
          <w:tcPr>
            <w:tcW w:w="6425" w:type="dxa"/>
            <w:tcBorders>
              <w:top w:val="single" w:color="auto" w:sz="4" w:space="0"/>
              <w:left w:val="single" w:color="auto" w:sz="4" w:space="0"/>
              <w:bottom w:val="single" w:color="auto" w:sz="4" w:space="0"/>
              <w:right w:val="single" w:color="auto" w:sz="4" w:space="0"/>
            </w:tcBorders>
            <w:noWrap w:val="0"/>
            <w:vAlign w:val="center"/>
          </w:tcPr>
          <w:p w14:paraId="63D95932">
            <w:pPr>
              <w:rPr>
                <w:highlight w:val="none"/>
              </w:rPr>
            </w:pPr>
            <w:r>
              <w:rPr>
                <w:rFonts w:hint="eastAsia"/>
                <w:highlight w:val="none"/>
              </w:rPr>
              <w:t>b) 应进行上线前的安全性测试，并出具安全测试报告，安全测试报告应包含密码应用 安全性测试相关内容</w:t>
            </w:r>
          </w:p>
        </w:tc>
      </w:tr>
      <w:tr w14:paraId="5B5F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jc w:val="center"/>
        </w:trPr>
        <w:tc>
          <w:tcPr>
            <w:tcW w:w="861" w:type="dxa"/>
            <w:vMerge w:val="restart"/>
            <w:tcBorders>
              <w:top w:val="single" w:color="auto" w:sz="4" w:space="0"/>
              <w:left w:val="single" w:color="auto" w:sz="4" w:space="0"/>
              <w:right w:val="single" w:color="auto" w:sz="4" w:space="0"/>
            </w:tcBorders>
            <w:noWrap w:val="0"/>
            <w:vAlign w:val="center"/>
          </w:tcPr>
          <w:p w14:paraId="49389199">
            <w:pPr>
              <w:jc w:val="center"/>
              <w:rPr>
                <w:rFonts w:hint="eastAsia" w:eastAsia="宋体"/>
                <w:highlight w:val="none"/>
                <w:lang w:val="en-US" w:eastAsia="zh-CN"/>
              </w:rPr>
            </w:pPr>
            <w:r>
              <w:rPr>
                <w:rFonts w:hint="eastAsia"/>
                <w:highlight w:val="none"/>
                <w:lang w:val="en-US" w:eastAsia="zh-CN"/>
              </w:rPr>
              <w:t>8</w:t>
            </w:r>
          </w:p>
        </w:tc>
        <w:tc>
          <w:tcPr>
            <w:tcW w:w="1793" w:type="dxa"/>
            <w:vMerge w:val="restart"/>
            <w:tcBorders>
              <w:top w:val="single" w:color="auto" w:sz="4" w:space="0"/>
              <w:left w:val="single" w:color="auto" w:sz="4" w:space="0"/>
              <w:right w:val="single" w:color="auto" w:sz="4" w:space="0"/>
            </w:tcBorders>
            <w:noWrap w:val="0"/>
            <w:vAlign w:val="center"/>
          </w:tcPr>
          <w:p w14:paraId="2169DB1D">
            <w:pPr>
              <w:jc w:val="center"/>
              <w:rPr>
                <w:highlight w:val="none"/>
              </w:rPr>
            </w:pPr>
            <w:r>
              <w:rPr>
                <w:rFonts w:hint="eastAsia"/>
                <w:highlight w:val="none"/>
              </w:rPr>
              <w:t>系统交付</w:t>
            </w:r>
          </w:p>
        </w:tc>
        <w:tc>
          <w:tcPr>
            <w:tcW w:w="6425" w:type="dxa"/>
            <w:tcBorders>
              <w:top w:val="single" w:color="auto" w:sz="4" w:space="0"/>
              <w:left w:val="single" w:color="auto" w:sz="4" w:space="0"/>
              <w:bottom w:val="single" w:color="auto" w:sz="4" w:space="0"/>
              <w:right w:val="single" w:color="auto" w:sz="4" w:space="0"/>
            </w:tcBorders>
            <w:noWrap w:val="0"/>
            <w:vAlign w:val="center"/>
          </w:tcPr>
          <w:p w14:paraId="1B2422DD">
            <w:pPr>
              <w:rPr>
                <w:highlight w:val="none"/>
              </w:rPr>
            </w:pPr>
            <w:r>
              <w:rPr>
                <w:rFonts w:hint="eastAsia"/>
                <w:highlight w:val="none"/>
              </w:rPr>
              <w:t>a)应制定交付清单，并根据交付清单对所交接的设备、软件和文档等进行清点</w:t>
            </w:r>
          </w:p>
        </w:tc>
      </w:tr>
      <w:tr w14:paraId="31F5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861" w:type="dxa"/>
            <w:vMerge w:val="continue"/>
            <w:tcBorders>
              <w:left w:val="single" w:color="auto" w:sz="4" w:space="0"/>
              <w:right w:val="single" w:color="auto" w:sz="4" w:space="0"/>
            </w:tcBorders>
            <w:noWrap w:val="0"/>
            <w:vAlign w:val="center"/>
          </w:tcPr>
          <w:p w14:paraId="407E69BC">
            <w:pPr>
              <w:jc w:val="center"/>
              <w:rPr>
                <w:highlight w:val="none"/>
              </w:rPr>
            </w:pPr>
          </w:p>
        </w:tc>
        <w:tc>
          <w:tcPr>
            <w:tcW w:w="1793" w:type="dxa"/>
            <w:vMerge w:val="continue"/>
            <w:tcBorders>
              <w:left w:val="single" w:color="auto" w:sz="4" w:space="0"/>
              <w:right w:val="single" w:color="auto" w:sz="4" w:space="0"/>
            </w:tcBorders>
            <w:noWrap w:val="0"/>
            <w:vAlign w:val="center"/>
          </w:tcPr>
          <w:p w14:paraId="6D1ED2E3">
            <w:pPr>
              <w:jc w:val="center"/>
              <w:rPr>
                <w:highlight w:val="none"/>
              </w:rPr>
            </w:pPr>
          </w:p>
        </w:tc>
        <w:tc>
          <w:tcPr>
            <w:tcW w:w="6425" w:type="dxa"/>
            <w:tcBorders>
              <w:top w:val="single" w:color="auto" w:sz="4" w:space="0"/>
              <w:left w:val="single" w:color="auto" w:sz="4" w:space="0"/>
              <w:bottom w:val="single" w:color="auto" w:sz="4" w:space="0"/>
              <w:right w:val="single" w:color="auto" w:sz="4" w:space="0"/>
            </w:tcBorders>
            <w:noWrap w:val="0"/>
            <w:vAlign w:val="center"/>
          </w:tcPr>
          <w:p w14:paraId="511E6087">
            <w:pPr>
              <w:rPr>
                <w:highlight w:val="none"/>
              </w:rPr>
            </w:pPr>
            <w:r>
              <w:rPr>
                <w:rFonts w:hint="eastAsia"/>
                <w:highlight w:val="none"/>
              </w:rPr>
              <w:t>b) 应对负责运行维护的技术人员进行相应的技能培训</w:t>
            </w:r>
          </w:p>
        </w:tc>
      </w:tr>
      <w:tr w14:paraId="38D0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861" w:type="dxa"/>
            <w:vMerge w:val="continue"/>
            <w:tcBorders>
              <w:left w:val="single" w:color="auto" w:sz="4" w:space="0"/>
              <w:bottom w:val="single" w:color="auto" w:sz="4" w:space="0"/>
              <w:right w:val="single" w:color="auto" w:sz="4" w:space="0"/>
            </w:tcBorders>
            <w:noWrap w:val="0"/>
            <w:vAlign w:val="center"/>
          </w:tcPr>
          <w:p w14:paraId="2BAE8325">
            <w:pPr>
              <w:jc w:val="center"/>
              <w:rPr>
                <w:highlight w:val="none"/>
              </w:rPr>
            </w:pPr>
          </w:p>
        </w:tc>
        <w:tc>
          <w:tcPr>
            <w:tcW w:w="1793" w:type="dxa"/>
            <w:vMerge w:val="continue"/>
            <w:tcBorders>
              <w:left w:val="single" w:color="auto" w:sz="4" w:space="0"/>
              <w:bottom w:val="single" w:color="auto" w:sz="4" w:space="0"/>
              <w:right w:val="single" w:color="auto" w:sz="4" w:space="0"/>
            </w:tcBorders>
            <w:noWrap w:val="0"/>
            <w:vAlign w:val="center"/>
          </w:tcPr>
          <w:p w14:paraId="1147324F">
            <w:pPr>
              <w:jc w:val="center"/>
              <w:rPr>
                <w:highlight w:val="none"/>
              </w:rPr>
            </w:pPr>
          </w:p>
        </w:tc>
        <w:tc>
          <w:tcPr>
            <w:tcW w:w="6425" w:type="dxa"/>
            <w:tcBorders>
              <w:top w:val="single" w:color="auto" w:sz="4" w:space="0"/>
              <w:left w:val="single" w:color="auto" w:sz="4" w:space="0"/>
              <w:bottom w:val="single" w:color="auto" w:sz="4" w:space="0"/>
              <w:right w:val="single" w:color="auto" w:sz="4" w:space="0"/>
            </w:tcBorders>
            <w:noWrap w:val="0"/>
            <w:vAlign w:val="center"/>
          </w:tcPr>
          <w:p w14:paraId="0E98EB16">
            <w:pPr>
              <w:rPr>
                <w:highlight w:val="none"/>
              </w:rPr>
            </w:pPr>
            <w:r>
              <w:rPr>
                <w:rFonts w:hint="eastAsia"/>
                <w:highlight w:val="none"/>
              </w:rPr>
              <w:t>c) 应提供建设过程文档和运行维护文档</w:t>
            </w:r>
          </w:p>
        </w:tc>
      </w:tr>
      <w:tr w14:paraId="2F7B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blHeader/>
          <w:jc w:val="center"/>
        </w:trPr>
        <w:tc>
          <w:tcPr>
            <w:tcW w:w="861" w:type="dxa"/>
            <w:vMerge w:val="restart"/>
            <w:tcBorders>
              <w:top w:val="single" w:color="auto" w:sz="4" w:space="0"/>
              <w:left w:val="single" w:color="auto" w:sz="4" w:space="0"/>
              <w:right w:val="single" w:color="auto" w:sz="4" w:space="0"/>
            </w:tcBorders>
            <w:noWrap w:val="0"/>
            <w:vAlign w:val="center"/>
          </w:tcPr>
          <w:p w14:paraId="3318546F">
            <w:pPr>
              <w:jc w:val="center"/>
              <w:rPr>
                <w:rFonts w:hint="default" w:eastAsia="宋体"/>
                <w:highlight w:val="none"/>
                <w:lang w:val="en-US" w:eastAsia="zh-CN"/>
              </w:rPr>
            </w:pPr>
            <w:r>
              <w:rPr>
                <w:rFonts w:hint="eastAsia"/>
                <w:highlight w:val="none"/>
                <w:lang w:val="en-US" w:eastAsia="zh-CN"/>
              </w:rPr>
              <w:t>9</w:t>
            </w:r>
          </w:p>
        </w:tc>
        <w:tc>
          <w:tcPr>
            <w:tcW w:w="1793" w:type="dxa"/>
            <w:vMerge w:val="restart"/>
            <w:tcBorders>
              <w:top w:val="single" w:color="auto" w:sz="4" w:space="0"/>
              <w:left w:val="single" w:color="auto" w:sz="4" w:space="0"/>
              <w:right w:val="single" w:color="auto" w:sz="4" w:space="0"/>
            </w:tcBorders>
            <w:noWrap w:val="0"/>
            <w:vAlign w:val="center"/>
          </w:tcPr>
          <w:p w14:paraId="1475CEC9">
            <w:pPr>
              <w:jc w:val="center"/>
              <w:rPr>
                <w:highlight w:val="none"/>
              </w:rPr>
            </w:pPr>
            <w:r>
              <w:rPr>
                <w:rFonts w:hint="eastAsia"/>
                <w:highlight w:val="none"/>
              </w:rPr>
              <w:t>等级测评</w:t>
            </w:r>
          </w:p>
        </w:tc>
        <w:tc>
          <w:tcPr>
            <w:tcW w:w="6425" w:type="dxa"/>
            <w:tcBorders>
              <w:top w:val="single" w:color="auto" w:sz="4" w:space="0"/>
              <w:left w:val="single" w:color="auto" w:sz="4" w:space="0"/>
              <w:bottom w:val="single" w:color="auto" w:sz="4" w:space="0"/>
              <w:right w:val="single" w:color="auto" w:sz="4" w:space="0"/>
            </w:tcBorders>
            <w:noWrap w:val="0"/>
            <w:vAlign w:val="center"/>
          </w:tcPr>
          <w:p w14:paraId="43D55A7D">
            <w:pPr>
              <w:rPr>
                <w:highlight w:val="none"/>
              </w:rPr>
            </w:pPr>
            <w:r>
              <w:rPr>
                <w:rFonts w:hint="eastAsia"/>
                <w:highlight w:val="none"/>
              </w:rPr>
              <w:t>a) 应定期进行等级测评，发现不符合相应等级保护标准要求的及时整改</w:t>
            </w:r>
          </w:p>
        </w:tc>
      </w:tr>
      <w:tr w14:paraId="3F2F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61" w:type="dxa"/>
            <w:vMerge w:val="continue"/>
            <w:tcBorders>
              <w:left w:val="single" w:color="auto" w:sz="4" w:space="0"/>
              <w:right w:val="single" w:color="auto" w:sz="4" w:space="0"/>
            </w:tcBorders>
            <w:noWrap w:val="0"/>
            <w:vAlign w:val="center"/>
          </w:tcPr>
          <w:p w14:paraId="6D718D30">
            <w:pPr>
              <w:jc w:val="center"/>
              <w:rPr>
                <w:highlight w:val="none"/>
              </w:rPr>
            </w:pPr>
          </w:p>
        </w:tc>
        <w:tc>
          <w:tcPr>
            <w:tcW w:w="1793" w:type="dxa"/>
            <w:vMerge w:val="continue"/>
            <w:tcBorders>
              <w:left w:val="single" w:color="auto" w:sz="4" w:space="0"/>
              <w:right w:val="single" w:color="auto" w:sz="4" w:space="0"/>
            </w:tcBorders>
            <w:noWrap w:val="0"/>
            <w:vAlign w:val="center"/>
          </w:tcPr>
          <w:p w14:paraId="0EA0BF9A">
            <w:pPr>
              <w:jc w:val="center"/>
              <w:rPr>
                <w:highlight w:val="none"/>
              </w:rPr>
            </w:pPr>
          </w:p>
        </w:tc>
        <w:tc>
          <w:tcPr>
            <w:tcW w:w="6425" w:type="dxa"/>
            <w:tcBorders>
              <w:top w:val="single" w:color="auto" w:sz="4" w:space="0"/>
              <w:left w:val="single" w:color="auto" w:sz="4" w:space="0"/>
              <w:bottom w:val="single" w:color="auto" w:sz="4" w:space="0"/>
              <w:right w:val="single" w:color="auto" w:sz="4" w:space="0"/>
            </w:tcBorders>
            <w:noWrap w:val="0"/>
            <w:vAlign w:val="center"/>
          </w:tcPr>
          <w:p w14:paraId="15682458">
            <w:pPr>
              <w:rPr>
                <w:highlight w:val="none"/>
              </w:rPr>
            </w:pPr>
            <w:r>
              <w:rPr>
                <w:rFonts w:hint="eastAsia"/>
                <w:highlight w:val="none"/>
              </w:rPr>
              <w:t>b) 应在发生重大变更或级别发生变化时进行等级测评</w:t>
            </w:r>
          </w:p>
        </w:tc>
      </w:tr>
      <w:tr w14:paraId="052E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blHeader/>
          <w:jc w:val="center"/>
        </w:trPr>
        <w:tc>
          <w:tcPr>
            <w:tcW w:w="861" w:type="dxa"/>
            <w:vMerge w:val="continue"/>
            <w:tcBorders>
              <w:left w:val="single" w:color="auto" w:sz="4" w:space="0"/>
              <w:bottom w:val="single" w:color="auto" w:sz="4" w:space="0"/>
              <w:right w:val="single" w:color="auto" w:sz="4" w:space="0"/>
            </w:tcBorders>
            <w:noWrap w:val="0"/>
            <w:vAlign w:val="center"/>
          </w:tcPr>
          <w:p w14:paraId="7A0BCBF6">
            <w:pPr>
              <w:jc w:val="center"/>
              <w:rPr>
                <w:highlight w:val="none"/>
              </w:rPr>
            </w:pPr>
          </w:p>
        </w:tc>
        <w:tc>
          <w:tcPr>
            <w:tcW w:w="1793" w:type="dxa"/>
            <w:vMerge w:val="continue"/>
            <w:tcBorders>
              <w:left w:val="single" w:color="auto" w:sz="4" w:space="0"/>
              <w:bottom w:val="single" w:color="auto" w:sz="4" w:space="0"/>
              <w:right w:val="single" w:color="auto" w:sz="4" w:space="0"/>
            </w:tcBorders>
            <w:noWrap w:val="0"/>
            <w:vAlign w:val="center"/>
          </w:tcPr>
          <w:p w14:paraId="700EEB0D">
            <w:pPr>
              <w:jc w:val="center"/>
              <w:rPr>
                <w:highlight w:val="none"/>
              </w:rPr>
            </w:pPr>
          </w:p>
        </w:tc>
        <w:tc>
          <w:tcPr>
            <w:tcW w:w="6425" w:type="dxa"/>
            <w:tcBorders>
              <w:top w:val="single" w:color="auto" w:sz="4" w:space="0"/>
              <w:left w:val="single" w:color="auto" w:sz="4" w:space="0"/>
              <w:bottom w:val="single" w:color="auto" w:sz="4" w:space="0"/>
              <w:right w:val="single" w:color="auto" w:sz="4" w:space="0"/>
            </w:tcBorders>
            <w:noWrap w:val="0"/>
            <w:vAlign w:val="center"/>
          </w:tcPr>
          <w:p w14:paraId="55E991AB">
            <w:pPr>
              <w:rPr>
                <w:highlight w:val="none"/>
              </w:rPr>
            </w:pPr>
            <w:r>
              <w:rPr>
                <w:rFonts w:hint="eastAsia"/>
                <w:highlight w:val="none"/>
              </w:rPr>
              <w:t>c) 应确保测评机构的选择符合同家有关规定</w:t>
            </w:r>
          </w:p>
        </w:tc>
      </w:tr>
      <w:tr w14:paraId="76B4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jc w:val="center"/>
        </w:trPr>
        <w:tc>
          <w:tcPr>
            <w:tcW w:w="861" w:type="dxa"/>
            <w:vMerge w:val="restart"/>
            <w:tcBorders>
              <w:top w:val="single" w:color="auto" w:sz="4" w:space="0"/>
              <w:left w:val="single" w:color="auto" w:sz="4" w:space="0"/>
              <w:right w:val="single" w:color="auto" w:sz="4" w:space="0"/>
            </w:tcBorders>
            <w:noWrap w:val="0"/>
            <w:vAlign w:val="center"/>
          </w:tcPr>
          <w:p w14:paraId="0FC5E761">
            <w:pPr>
              <w:jc w:val="center"/>
              <w:rPr>
                <w:rFonts w:hint="default" w:eastAsia="宋体"/>
                <w:highlight w:val="none"/>
                <w:lang w:val="en-US" w:eastAsia="zh-CN"/>
              </w:rPr>
            </w:pPr>
            <w:r>
              <w:rPr>
                <w:rFonts w:hint="eastAsia"/>
                <w:highlight w:val="none"/>
                <w:lang w:val="en-US" w:eastAsia="zh-CN"/>
              </w:rPr>
              <w:t>10</w:t>
            </w:r>
          </w:p>
        </w:tc>
        <w:tc>
          <w:tcPr>
            <w:tcW w:w="1793" w:type="dxa"/>
            <w:vMerge w:val="restart"/>
            <w:tcBorders>
              <w:top w:val="single" w:color="auto" w:sz="4" w:space="0"/>
              <w:left w:val="single" w:color="auto" w:sz="4" w:space="0"/>
              <w:right w:val="single" w:color="auto" w:sz="4" w:space="0"/>
            </w:tcBorders>
            <w:noWrap w:val="0"/>
            <w:vAlign w:val="center"/>
          </w:tcPr>
          <w:p w14:paraId="79985473">
            <w:pPr>
              <w:jc w:val="center"/>
              <w:rPr>
                <w:highlight w:val="none"/>
              </w:rPr>
            </w:pPr>
            <w:r>
              <w:rPr>
                <w:rFonts w:hint="eastAsia"/>
                <w:highlight w:val="none"/>
              </w:rPr>
              <w:t>服务供应商管理</w:t>
            </w:r>
          </w:p>
        </w:tc>
        <w:tc>
          <w:tcPr>
            <w:tcW w:w="6425" w:type="dxa"/>
            <w:tcBorders>
              <w:top w:val="single" w:color="auto" w:sz="4" w:space="0"/>
              <w:left w:val="single" w:color="auto" w:sz="4" w:space="0"/>
              <w:bottom w:val="single" w:color="auto" w:sz="4" w:space="0"/>
              <w:right w:val="single" w:color="auto" w:sz="4" w:space="0"/>
            </w:tcBorders>
            <w:noWrap w:val="0"/>
            <w:vAlign w:val="center"/>
          </w:tcPr>
          <w:p w14:paraId="1046EBA8">
            <w:pPr>
              <w:rPr>
                <w:highlight w:val="none"/>
              </w:rPr>
            </w:pPr>
            <w:r>
              <w:rPr>
                <w:rFonts w:hint="eastAsia"/>
                <w:highlight w:val="none"/>
              </w:rPr>
              <w:t>a) 应确保服务供应商的选择符合国家的有关规定</w:t>
            </w:r>
          </w:p>
        </w:tc>
      </w:tr>
      <w:tr w14:paraId="2FF0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jc w:val="center"/>
        </w:trPr>
        <w:tc>
          <w:tcPr>
            <w:tcW w:w="861" w:type="dxa"/>
            <w:vMerge w:val="continue"/>
            <w:tcBorders>
              <w:left w:val="single" w:color="auto" w:sz="4" w:space="0"/>
              <w:right w:val="single" w:color="auto" w:sz="4" w:space="0"/>
            </w:tcBorders>
            <w:noWrap w:val="0"/>
            <w:vAlign w:val="center"/>
          </w:tcPr>
          <w:p w14:paraId="3CF8EFE8">
            <w:pPr>
              <w:rPr>
                <w:highlight w:val="none"/>
              </w:rPr>
            </w:pPr>
          </w:p>
        </w:tc>
        <w:tc>
          <w:tcPr>
            <w:tcW w:w="1793" w:type="dxa"/>
            <w:vMerge w:val="continue"/>
            <w:tcBorders>
              <w:left w:val="single" w:color="auto" w:sz="4" w:space="0"/>
              <w:right w:val="single" w:color="auto" w:sz="4" w:space="0"/>
            </w:tcBorders>
            <w:noWrap w:val="0"/>
            <w:vAlign w:val="center"/>
          </w:tcPr>
          <w:p w14:paraId="2DE694EE">
            <w:pPr>
              <w:rPr>
                <w:highlight w:val="none"/>
              </w:rPr>
            </w:pPr>
          </w:p>
        </w:tc>
        <w:tc>
          <w:tcPr>
            <w:tcW w:w="6425" w:type="dxa"/>
            <w:tcBorders>
              <w:top w:val="single" w:color="auto" w:sz="4" w:space="0"/>
              <w:left w:val="single" w:color="auto" w:sz="4" w:space="0"/>
              <w:bottom w:val="single" w:color="auto" w:sz="4" w:space="0"/>
              <w:right w:val="single" w:color="auto" w:sz="4" w:space="0"/>
            </w:tcBorders>
            <w:noWrap w:val="0"/>
            <w:vAlign w:val="center"/>
          </w:tcPr>
          <w:p w14:paraId="75594F48">
            <w:pPr>
              <w:rPr>
                <w:highlight w:val="none"/>
              </w:rPr>
            </w:pPr>
            <w:r>
              <w:rPr>
                <w:rFonts w:hint="eastAsia"/>
                <w:highlight w:val="none"/>
              </w:rPr>
              <w:t>b) 应与选定的服务供应商签订相关协议，明确整个服务供应链各方需履行的网络安全 相关义务</w:t>
            </w:r>
          </w:p>
        </w:tc>
      </w:tr>
      <w:tr w14:paraId="368B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jc w:val="center"/>
        </w:trPr>
        <w:tc>
          <w:tcPr>
            <w:tcW w:w="861" w:type="dxa"/>
            <w:vMerge w:val="continue"/>
            <w:tcBorders>
              <w:left w:val="single" w:color="auto" w:sz="4" w:space="0"/>
              <w:bottom w:val="single" w:color="auto" w:sz="4" w:space="0"/>
              <w:right w:val="single" w:color="auto" w:sz="4" w:space="0"/>
            </w:tcBorders>
            <w:noWrap w:val="0"/>
            <w:vAlign w:val="center"/>
          </w:tcPr>
          <w:p w14:paraId="39DD96F5">
            <w:pPr>
              <w:rPr>
                <w:highlight w:val="none"/>
              </w:rPr>
            </w:pPr>
          </w:p>
        </w:tc>
        <w:tc>
          <w:tcPr>
            <w:tcW w:w="1793" w:type="dxa"/>
            <w:vMerge w:val="continue"/>
            <w:tcBorders>
              <w:left w:val="single" w:color="auto" w:sz="4" w:space="0"/>
              <w:bottom w:val="single" w:color="auto" w:sz="4" w:space="0"/>
              <w:right w:val="single" w:color="auto" w:sz="4" w:space="0"/>
            </w:tcBorders>
            <w:noWrap w:val="0"/>
            <w:vAlign w:val="center"/>
          </w:tcPr>
          <w:p w14:paraId="580DDFD3">
            <w:pPr>
              <w:rPr>
                <w:highlight w:val="none"/>
              </w:rPr>
            </w:pPr>
          </w:p>
        </w:tc>
        <w:tc>
          <w:tcPr>
            <w:tcW w:w="6425" w:type="dxa"/>
            <w:tcBorders>
              <w:top w:val="single" w:color="auto" w:sz="4" w:space="0"/>
              <w:left w:val="single" w:color="auto" w:sz="4" w:space="0"/>
              <w:bottom w:val="single" w:color="auto" w:sz="4" w:space="0"/>
              <w:right w:val="single" w:color="auto" w:sz="4" w:space="0"/>
            </w:tcBorders>
            <w:noWrap w:val="0"/>
            <w:vAlign w:val="center"/>
          </w:tcPr>
          <w:p w14:paraId="25598D7C">
            <w:pPr>
              <w:rPr>
                <w:highlight w:val="none"/>
              </w:rPr>
            </w:pPr>
            <w:r>
              <w:rPr>
                <w:rFonts w:hint="eastAsia"/>
                <w:highlight w:val="none"/>
              </w:rPr>
              <w:t>c) 应定期监督、评审和审核服务供应商提供的服务，并对其变更服务内容加以控制</w:t>
            </w:r>
          </w:p>
        </w:tc>
      </w:tr>
    </w:tbl>
    <w:p w14:paraId="207040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10.安全运维管理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777"/>
        <w:gridCol w:w="6368"/>
      </w:tblGrid>
      <w:tr w14:paraId="5E1B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853" w:type="dxa"/>
            <w:noWrap w:val="0"/>
            <w:vAlign w:val="center"/>
          </w:tcPr>
          <w:p w14:paraId="0C8F5A9F">
            <w:pPr>
              <w:jc w:val="center"/>
              <w:rPr>
                <w:b/>
                <w:bCs/>
                <w:highlight w:val="none"/>
              </w:rPr>
            </w:pPr>
            <w:r>
              <w:rPr>
                <w:rFonts w:hint="eastAsia"/>
                <w:b/>
                <w:bCs/>
                <w:highlight w:val="none"/>
              </w:rPr>
              <w:t>序号</w:t>
            </w:r>
          </w:p>
        </w:tc>
        <w:tc>
          <w:tcPr>
            <w:tcW w:w="1777" w:type="dxa"/>
            <w:noWrap w:val="0"/>
            <w:vAlign w:val="center"/>
          </w:tcPr>
          <w:p w14:paraId="7421A9A9">
            <w:pPr>
              <w:jc w:val="center"/>
              <w:rPr>
                <w:b/>
                <w:bCs/>
                <w:highlight w:val="none"/>
              </w:rPr>
            </w:pPr>
            <w:r>
              <w:rPr>
                <w:rFonts w:hint="eastAsia"/>
                <w:b/>
                <w:bCs/>
                <w:highlight w:val="none"/>
              </w:rPr>
              <w:t>工作单元名称</w:t>
            </w:r>
          </w:p>
        </w:tc>
        <w:tc>
          <w:tcPr>
            <w:tcW w:w="6368" w:type="dxa"/>
            <w:noWrap w:val="0"/>
            <w:vAlign w:val="center"/>
          </w:tcPr>
          <w:p w14:paraId="2A18CF71">
            <w:pPr>
              <w:jc w:val="center"/>
              <w:rPr>
                <w:b/>
                <w:bCs/>
                <w:highlight w:val="none"/>
              </w:rPr>
            </w:pPr>
            <w:r>
              <w:rPr>
                <w:rFonts w:hint="eastAsia"/>
                <w:b/>
                <w:bCs/>
                <w:highlight w:val="none"/>
              </w:rPr>
              <w:t>测评指标</w:t>
            </w:r>
          </w:p>
        </w:tc>
      </w:tr>
      <w:tr w14:paraId="018D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blHeader/>
          <w:jc w:val="center"/>
        </w:trPr>
        <w:tc>
          <w:tcPr>
            <w:tcW w:w="853" w:type="dxa"/>
            <w:vMerge w:val="restart"/>
            <w:noWrap w:val="0"/>
            <w:vAlign w:val="center"/>
          </w:tcPr>
          <w:p w14:paraId="34A46384">
            <w:pPr>
              <w:jc w:val="center"/>
              <w:rPr>
                <w:rFonts w:hint="eastAsia" w:eastAsia="宋体"/>
                <w:highlight w:val="none"/>
                <w:lang w:val="en-US" w:eastAsia="zh-CN"/>
              </w:rPr>
            </w:pPr>
            <w:r>
              <w:rPr>
                <w:rFonts w:hint="eastAsia"/>
                <w:highlight w:val="none"/>
                <w:lang w:val="en-US" w:eastAsia="zh-CN"/>
              </w:rPr>
              <w:t>1</w:t>
            </w:r>
          </w:p>
        </w:tc>
        <w:tc>
          <w:tcPr>
            <w:tcW w:w="1777" w:type="dxa"/>
            <w:vMerge w:val="restart"/>
            <w:noWrap w:val="0"/>
            <w:vAlign w:val="center"/>
          </w:tcPr>
          <w:p w14:paraId="6E156873">
            <w:pPr>
              <w:jc w:val="center"/>
              <w:rPr>
                <w:highlight w:val="none"/>
              </w:rPr>
            </w:pPr>
            <w:r>
              <w:rPr>
                <w:rFonts w:hint="eastAsia"/>
                <w:highlight w:val="none"/>
              </w:rPr>
              <w:t>环境管理</w:t>
            </w:r>
          </w:p>
        </w:tc>
        <w:tc>
          <w:tcPr>
            <w:tcW w:w="6368" w:type="dxa"/>
            <w:noWrap w:val="0"/>
            <w:vAlign w:val="center"/>
          </w:tcPr>
          <w:p w14:paraId="794ED3B7">
            <w:pPr>
              <w:rPr>
                <w:highlight w:val="none"/>
              </w:rPr>
            </w:pPr>
            <w:r>
              <w:rPr>
                <w:rFonts w:hint="eastAsia"/>
                <w:highlight w:val="none"/>
              </w:rPr>
              <w:t>a)应指定专门的部门或人员负责机房安全，对机房出入进行管理，定期对机房供配电、空调、温湿度控制、消防等设施进行维护管理。</w:t>
            </w:r>
          </w:p>
        </w:tc>
      </w:tr>
      <w:tr w14:paraId="0096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blHeader/>
          <w:jc w:val="center"/>
        </w:trPr>
        <w:tc>
          <w:tcPr>
            <w:tcW w:w="853" w:type="dxa"/>
            <w:vMerge w:val="continue"/>
            <w:noWrap w:val="0"/>
            <w:vAlign w:val="center"/>
          </w:tcPr>
          <w:p w14:paraId="0AAAB5C5">
            <w:pPr>
              <w:jc w:val="center"/>
              <w:rPr>
                <w:highlight w:val="none"/>
              </w:rPr>
            </w:pPr>
          </w:p>
        </w:tc>
        <w:tc>
          <w:tcPr>
            <w:tcW w:w="1777" w:type="dxa"/>
            <w:vMerge w:val="continue"/>
            <w:noWrap w:val="0"/>
            <w:vAlign w:val="center"/>
          </w:tcPr>
          <w:p w14:paraId="6983C996">
            <w:pPr>
              <w:jc w:val="center"/>
              <w:rPr>
                <w:highlight w:val="none"/>
              </w:rPr>
            </w:pPr>
          </w:p>
        </w:tc>
        <w:tc>
          <w:tcPr>
            <w:tcW w:w="6368" w:type="dxa"/>
            <w:noWrap w:val="0"/>
            <w:vAlign w:val="center"/>
          </w:tcPr>
          <w:p w14:paraId="5E89A7FB">
            <w:pPr>
              <w:rPr>
                <w:highlight w:val="none"/>
              </w:rPr>
            </w:pPr>
            <w:r>
              <w:rPr>
                <w:rFonts w:hint="eastAsia"/>
                <w:highlight w:val="none"/>
              </w:rPr>
              <w:t>b)应建立机房安全管理制度，对有关物理访问、物品进出和环境安全等方面的管理作出规定。</w:t>
            </w:r>
          </w:p>
        </w:tc>
      </w:tr>
      <w:tr w14:paraId="792F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noWrap w:val="0"/>
            <w:vAlign w:val="center"/>
          </w:tcPr>
          <w:p w14:paraId="6F092A1D">
            <w:pPr>
              <w:jc w:val="center"/>
              <w:rPr>
                <w:highlight w:val="none"/>
              </w:rPr>
            </w:pPr>
          </w:p>
        </w:tc>
        <w:tc>
          <w:tcPr>
            <w:tcW w:w="1777" w:type="dxa"/>
            <w:vMerge w:val="continue"/>
            <w:noWrap w:val="0"/>
            <w:vAlign w:val="center"/>
          </w:tcPr>
          <w:p w14:paraId="60BE5FC2">
            <w:pPr>
              <w:jc w:val="center"/>
              <w:rPr>
                <w:highlight w:val="none"/>
              </w:rPr>
            </w:pPr>
          </w:p>
        </w:tc>
        <w:tc>
          <w:tcPr>
            <w:tcW w:w="6368" w:type="dxa"/>
            <w:noWrap w:val="0"/>
            <w:vAlign w:val="center"/>
          </w:tcPr>
          <w:p w14:paraId="3E37D9ED">
            <w:pPr>
              <w:rPr>
                <w:highlight w:val="none"/>
              </w:rPr>
            </w:pPr>
            <w:r>
              <w:rPr>
                <w:rFonts w:hint="eastAsia"/>
                <w:highlight w:val="none"/>
              </w:rPr>
              <w:t>c)应不在重要区域接待来访人员，不随意放置含有敏感信息的纸档文件和移动介质等</w:t>
            </w:r>
          </w:p>
        </w:tc>
      </w:tr>
      <w:tr w14:paraId="64D6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restart"/>
            <w:noWrap w:val="0"/>
            <w:vAlign w:val="center"/>
          </w:tcPr>
          <w:p w14:paraId="1821A4E8">
            <w:pPr>
              <w:jc w:val="center"/>
              <w:rPr>
                <w:rFonts w:hint="eastAsia" w:eastAsia="宋体"/>
                <w:highlight w:val="none"/>
                <w:lang w:val="en-US" w:eastAsia="zh-CN"/>
              </w:rPr>
            </w:pPr>
            <w:r>
              <w:rPr>
                <w:rFonts w:hint="eastAsia"/>
                <w:highlight w:val="none"/>
                <w:lang w:val="en-US" w:eastAsia="zh-CN"/>
              </w:rPr>
              <w:t>2</w:t>
            </w:r>
          </w:p>
        </w:tc>
        <w:tc>
          <w:tcPr>
            <w:tcW w:w="1777" w:type="dxa"/>
            <w:vMerge w:val="restart"/>
            <w:noWrap w:val="0"/>
            <w:vAlign w:val="center"/>
          </w:tcPr>
          <w:p w14:paraId="03085977">
            <w:pPr>
              <w:jc w:val="center"/>
              <w:rPr>
                <w:highlight w:val="none"/>
              </w:rPr>
            </w:pPr>
            <w:r>
              <w:rPr>
                <w:rFonts w:hint="eastAsia"/>
                <w:highlight w:val="none"/>
              </w:rPr>
              <w:t>资产管理</w:t>
            </w:r>
          </w:p>
        </w:tc>
        <w:tc>
          <w:tcPr>
            <w:tcW w:w="6368" w:type="dxa"/>
            <w:noWrap w:val="0"/>
            <w:vAlign w:val="center"/>
          </w:tcPr>
          <w:p w14:paraId="2710B862">
            <w:pPr>
              <w:rPr>
                <w:highlight w:val="none"/>
              </w:rPr>
            </w:pPr>
            <w:r>
              <w:rPr>
                <w:rFonts w:hint="eastAsia"/>
                <w:highlight w:val="none"/>
              </w:rPr>
              <w:t>a)应编制并保存与保护对象相关的资产清单，包括资产责任部门、重要程度和所处位置等内容</w:t>
            </w:r>
          </w:p>
        </w:tc>
      </w:tr>
      <w:tr w14:paraId="2EC6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noWrap w:val="0"/>
            <w:vAlign w:val="center"/>
          </w:tcPr>
          <w:p w14:paraId="556A3A34">
            <w:pPr>
              <w:jc w:val="center"/>
              <w:rPr>
                <w:highlight w:val="none"/>
              </w:rPr>
            </w:pPr>
          </w:p>
        </w:tc>
        <w:tc>
          <w:tcPr>
            <w:tcW w:w="1777" w:type="dxa"/>
            <w:vMerge w:val="continue"/>
            <w:noWrap w:val="0"/>
            <w:vAlign w:val="center"/>
          </w:tcPr>
          <w:p w14:paraId="658AAF0F">
            <w:pPr>
              <w:jc w:val="center"/>
              <w:rPr>
                <w:highlight w:val="none"/>
              </w:rPr>
            </w:pPr>
          </w:p>
        </w:tc>
        <w:tc>
          <w:tcPr>
            <w:tcW w:w="6368" w:type="dxa"/>
            <w:noWrap w:val="0"/>
            <w:vAlign w:val="center"/>
          </w:tcPr>
          <w:p w14:paraId="60B7B831">
            <w:pPr>
              <w:rPr>
                <w:highlight w:val="none"/>
              </w:rPr>
            </w:pPr>
            <w:r>
              <w:rPr>
                <w:rFonts w:hint="eastAsia"/>
                <w:highlight w:val="none"/>
              </w:rPr>
              <w:t>b)应根据资产的重要程度对资产进行标识管理，根据资产的价值选择相应的管理措施。</w:t>
            </w:r>
          </w:p>
        </w:tc>
      </w:tr>
      <w:tr w14:paraId="73CE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noWrap w:val="0"/>
            <w:vAlign w:val="center"/>
          </w:tcPr>
          <w:p w14:paraId="04F71DF4">
            <w:pPr>
              <w:jc w:val="center"/>
              <w:rPr>
                <w:highlight w:val="none"/>
              </w:rPr>
            </w:pPr>
          </w:p>
        </w:tc>
        <w:tc>
          <w:tcPr>
            <w:tcW w:w="1777" w:type="dxa"/>
            <w:vMerge w:val="continue"/>
            <w:noWrap w:val="0"/>
            <w:vAlign w:val="center"/>
          </w:tcPr>
          <w:p w14:paraId="5CE72017">
            <w:pPr>
              <w:jc w:val="center"/>
              <w:rPr>
                <w:highlight w:val="none"/>
              </w:rPr>
            </w:pPr>
          </w:p>
        </w:tc>
        <w:tc>
          <w:tcPr>
            <w:tcW w:w="6368" w:type="dxa"/>
            <w:noWrap w:val="0"/>
            <w:vAlign w:val="center"/>
          </w:tcPr>
          <w:p w14:paraId="1B67F3B7">
            <w:pPr>
              <w:rPr>
                <w:highlight w:val="none"/>
              </w:rPr>
            </w:pPr>
            <w:r>
              <w:rPr>
                <w:rFonts w:hint="eastAsia"/>
                <w:highlight w:val="none"/>
              </w:rPr>
              <w:t>c)应对信息分类与标识方法作出规定，并对信息的使用、传输和存储等进行规范化管理</w:t>
            </w:r>
          </w:p>
        </w:tc>
      </w:tr>
      <w:tr w14:paraId="3877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jc w:val="center"/>
        </w:trPr>
        <w:tc>
          <w:tcPr>
            <w:tcW w:w="853" w:type="dxa"/>
            <w:vMerge w:val="restart"/>
            <w:noWrap w:val="0"/>
            <w:vAlign w:val="center"/>
          </w:tcPr>
          <w:p w14:paraId="32E1E493">
            <w:pPr>
              <w:jc w:val="center"/>
              <w:rPr>
                <w:rFonts w:hint="eastAsia" w:eastAsia="宋体"/>
                <w:highlight w:val="none"/>
                <w:lang w:val="en-US" w:eastAsia="zh-CN"/>
              </w:rPr>
            </w:pPr>
            <w:r>
              <w:rPr>
                <w:rFonts w:hint="eastAsia"/>
                <w:highlight w:val="none"/>
                <w:lang w:val="en-US" w:eastAsia="zh-CN"/>
              </w:rPr>
              <w:t>3</w:t>
            </w:r>
          </w:p>
        </w:tc>
        <w:tc>
          <w:tcPr>
            <w:tcW w:w="1777" w:type="dxa"/>
            <w:vMerge w:val="restart"/>
            <w:noWrap w:val="0"/>
            <w:vAlign w:val="center"/>
          </w:tcPr>
          <w:p w14:paraId="49F01A2F">
            <w:pPr>
              <w:jc w:val="center"/>
              <w:rPr>
                <w:highlight w:val="none"/>
              </w:rPr>
            </w:pPr>
            <w:r>
              <w:rPr>
                <w:rFonts w:hint="eastAsia"/>
                <w:highlight w:val="none"/>
              </w:rPr>
              <w:t>介质管理</w:t>
            </w:r>
          </w:p>
        </w:tc>
        <w:tc>
          <w:tcPr>
            <w:tcW w:w="6368" w:type="dxa"/>
            <w:noWrap w:val="0"/>
            <w:vAlign w:val="center"/>
          </w:tcPr>
          <w:p w14:paraId="35B56602">
            <w:pPr>
              <w:rPr>
                <w:highlight w:val="none"/>
              </w:rPr>
            </w:pPr>
            <w:r>
              <w:rPr>
                <w:rFonts w:hint="eastAsia"/>
                <w:highlight w:val="none"/>
              </w:rPr>
              <w:t>a)应将介质存放在安全的环境中，对各类介质进行控制和保护，实行存储介质专人管理，并根据存档介质的目录清单定期盘点。</w:t>
            </w:r>
          </w:p>
        </w:tc>
      </w:tr>
      <w:tr w14:paraId="678E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blHeader/>
          <w:jc w:val="center"/>
        </w:trPr>
        <w:tc>
          <w:tcPr>
            <w:tcW w:w="853" w:type="dxa"/>
            <w:vMerge w:val="continue"/>
            <w:noWrap w:val="0"/>
            <w:vAlign w:val="center"/>
          </w:tcPr>
          <w:p w14:paraId="43509D40">
            <w:pPr>
              <w:jc w:val="center"/>
              <w:rPr>
                <w:highlight w:val="none"/>
              </w:rPr>
            </w:pPr>
          </w:p>
        </w:tc>
        <w:tc>
          <w:tcPr>
            <w:tcW w:w="1777" w:type="dxa"/>
            <w:vMerge w:val="continue"/>
            <w:noWrap w:val="0"/>
            <w:vAlign w:val="center"/>
          </w:tcPr>
          <w:p w14:paraId="24AF7508">
            <w:pPr>
              <w:jc w:val="center"/>
              <w:rPr>
                <w:highlight w:val="none"/>
              </w:rPr>
            </w:pPr>
          </w:p>
        </w:tc>
        <w:tc>
          <w:tcPr>
            <w:tcW w:w="6368" w:type="dxa"/>
            <w:noWrap w:val="0"/>
            <w:vAlign w:val="center"/>
          </w:tcPr>
          <w:p w14:paraId="0BB316E0">
            <w:pPr>
              <w:rPr>
                <w:highlight w:val="none"/>
              </w:rPr>
            </w:pPr>
            <w:r>
              <w:rPr>
                <w:rFonts w:hint="eastAsia"/>
                <w:highlight w:val="none"/>
              </w:rPr>
              <w:t>b)应对介质在物理传输过程中的人员选择、打包、交付等情况进行控制，并对介质的归档和查询等进行登记记录</w:t>
            </w:r>
          </w:p>
        </w:tc>
      </w:tr>
      <w:tr w14:paraId="77FC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restart"/>
            <w:noWrap w:val="0"/>
            <w:vAlign w:val="center"/>
          </w:tcPr>
          <w:p w14:paraId="71B534B9">
            <w:pPr>
              <w:jc w:val="center"/>
              <w:rPr>
                <w:rFonts w:hint="eastAsia" w:eastAsia="宋体"/>
                <w:highlight w:val="none"/>
                <w:lang w:val="en-US" w:eastAsia="zh-CN"/>
              </w:rPr>
            </w:pPr>
            <w:r>
              <w:rPr>
                <w:rFonts w:hint="eastAsia"/>
                <w:highlight w:val="none"/>
                <w:lang w:val="en-US" w:eastAsia="zh-CN"/>
              </w:rPr>
              <w:t>4</w:t>
            </w:r>
          </w:p>
        </w:tc>
        <w:tc>
          <w:tcPr>
            <w:tcW w:w="1777" w:type="dxa"/>
            <w:vMerge w:val="restart"/>
            <w:noWrap w:val="0"/>
            <w:vAlign w:val="center"/>
          </w:tcPr>
          <w:p w14:paraId="2AD659E7">
            <w:pPr>
              <w:jc w:val="center"/>
              <w:rPr>
                <w:highlight w:val="none"/>
              </w:rPr>
            </w:pPr>
            <w:r>
              <w:rPr>
                <w:rFonts w:hint="eastAsia"/>
                <w:highlight w:val="none"/>
              </w:rPr>
              <w:t>设备维护管理</w:t>
            </w:r>
          </w:p>
        </w:tc>
        <w:tc>
          <w:tcPr>
            <w:tcW w:w="6368" w:type="dxa"/>
            <w:noWrap w:val="0"/>
            <w:vAlign w:val="center"/>
          </w:tcPr>
          <w:p w14:paraId="3559AFF5">
            <w:pPr>
              <w:rPr>
                <w:highlight w:val="none"/>
              </w:rPr>
            </w:pPr>
            <w:r>
              <w:rPr>
                <w:rFonts w:hint="eastAsia"/>
                <w:highlight w:val="none"/>
              </w:rPr>
              <w:t>a)应对各种设备（包括备份和冗余设备）、线路等指定专门的部门或人员定期进行维护管理</w:t>
            </w:r>
          </w:p>
        </w:tc>
      </w:tr>
      <w:tr w14:paraId="1A48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continue"/>
            <w:noWrap w:val="0"/>
            <w:vAlign w:val="center"/>
          </w:tcPr>
          <w:p w14:paraId="7B2B65A8">
            <w:pPr>
              <w:jc w:val="center"/>
              <w:rPr>
                <w:highlight w:val="none"/>
              </w:rPr>
            </w:pPr>
          </w:p>
        </w:tc>
        <w:tc>
          <w:tcPr>
            <w:tcW w:w="1777" w:type="dxa"/>
            <w:vMerge w:val="continue"/>
            <w:noWrap w:val="0"/>
            <w:vAlign w:val="center"/>
          </w:tcPr>
          <w:p w14:paraId="70B50AEC">
            <w:pPr>
              <w:jc w:val="center"/>
              <w:rPr>
                <w:highlight w:val="none"/>
              </w:rPr>
            </w:pPr>
          </w:p>
        </w:tc>
        <w:tc>
          <w:tcPr>
            <w:tcW w:w="6368" w:type="dxa"/>
            <w:noWrap w:val="0"/>
            <w:vAlign w:val="center"/>
          </w:tcPr>
          <w:p w14:paraId="1545634C">
            <w:pPr>
              <w:rPr>
                <w:highlight w:val="none"/>
              </w:rPr>
            </w:pPr>
            <w:r>
              <w:rPr>
                <w:rFonts w:hint="eastAsia"/>
                <w:highlight w:val="none"/>
              </w:rPr>
              <w:t>b)应建立配套设施、软硬件维护方面的管理制度，对其维护进行有效管理，包括明确维护人员的责任、维修和服务的审批、维修过程的监督控制等</w:t>
            </w:r>
          </w:p>
        </w:tc>
      </w:tr>
      <w:tr w14:paraId="2D1F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jc w:val="center"/>
        </w:trPr>
        <w:tc>
          <w:tcPr>
            <w:tcW w:w="853" w:type="dxa"/>
            <w:vMerge w:val="continue"/>
            <w:noWrap w:val="0"/>
            <w:vAlign w:val="center"/>
          </w:tcPr>
          <w:p w14:paraId="4B0B30B8">
            <w:pPr>
              <w:jc w:val="center"/>
              <w:rPr>
                <w:highlight w:val="none"/>
              </w:rPr>
            </w:pPr>
          </w:p>
        </w:tc>
        <w:tc>
          <w:tcPr>
            <w:tcW w:w="1777" w:type="dxa"/>
            <w:vMerge w:val="continue"/>
            <w:noWrap w:val="0"/>
            <w:vAlign w:val="center"/>
          </w:tcPr>
          <w:p w14:paraId="3DFC2C51">
            <w:pPr>
              <w:jc w:val="center"/>
              <w:rPr>
                <w:highlight w:val="none"/>
              </w:rPr>
            </w:pPr>
          </w:p>
        </w:tc>
        <w:tc>
          <w:tcPr>
            <w:tcW w:w="6368" w:type="dxa"/>
            <w:noWrap w:val="0"/>
            <w:vAlign w:val="center"/>
          </w:tcPr>
          <w:p w14:paraId="6FA9FC13">
            <w:pPr>
              <w:rPr>
                <w:highlight w:val="none"/>
              </w:rPr>
            </w:pPr>
            <w:r>
              <w:rPr>
                <w:rFonts w:hint="eastAsia"/>
                <w:highlight w:val="none"/>
              </w:rPr>
              <w:t>c)信息处理设备应经过审批才能带离机房或办公地点，含有存储介质的设备带出工作环境时其中重要数据应加密</w:t>
            </w:r>
          </w:p>
        </w:tc>
      </w:tr>
      <w:tr w14:paraId="05D7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blHeader/>
          <w:jc w:val="center"/>
        </w:trPr>
        <w:tc>
          <w:tcPr>
            <w:tcW w:w="853" w:type="dxa"/>
            <w:vMerge w:val="continue"/>
            <w:noWrap w:val="0"/>
            <w:vAlign w:val="center"/>
          </w:tcPr>
          <w:p w14:paraId="7070F54D">
            <w:pPr>
              <w:jc w:val="center"/>
              <w:rPr>
                <w:highlight w:val="none"/>
              </w:rPr>
            </w:pPr>
          </w:p>
        </w:tc>
        <w:tc>
          <w:tcPr>
            <w:tcW w:w="1777" w:type="dxa"/>
            <w:vMerge w:val="continue"/>
            <w:noWrap w:val="0"/>
            <w:vAlign w:val="center"/>
          </w:tcPr>
          <w:p w14:paraId="63BE1982">
            <w:pPr>
              <w:jc w:val="center"/>
              <w:rPr>
                <w:highlight w:val="none"/>
              </w:rPr>
            </w:pPr>
          </w:p>
        </w:tc>
        <w:tc>
          <w:tcPr>
            <w:tcW w:w="6368" w:type="dxa"/>
            <w:noWrap w:val="0"/>
            <w:vAlign w:val="center"/>
          </w:tcPr>
          <w:p w14:paraId="5347B206">
            <w:pPr>
              <w:rPr>
                <w:highlight w:val="none"/>
              </w:rPr>
            </w:pPr>
            <w:r>
              <w:rPr>
                <w:rFonts w:hint="eastAsia"/>
                <w:highlight w:val="none"/>
              </w:rPr>
              <w:t>d)含有存储介质的设备在报废或重用前，应进行完全清除或被安全覆盖，保证该设备上的敏感数据和授权软件无法被恢复重用。</w:t>
            </w:r>
          </w:p>
        </w:tc>
      </w:tr>
      <w:tr w14:paraId="4BD6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blHeader/>
          <w:jc w:val="center"/>
        </w:trPr>
        <w:tc>
          <w:tcPr>
            <w:tcW w:w="853" w:type="dxa"/>
            <w:vMerge w:val="restart"/>
            <w:noWrap w:val="0"/>
            <w:vAlign w:val="center"/>
          </w:tcPr>
          <w:p w14:paraId="425D5B10">
            <w:pPr>
              <w:jc w:val="center"/>
              <w:rPr>
                <w:rFonts w:hint="eastAsia" w:eastAsia="宋体"/>
                <w:highlight w:val="none"/>
                <w:lang w:val="en-US" w:eastAsia="zh-CN"/>
              </w:rPr>
            </w:pPr>
            <w:r>
              <w:rPr>
                <w:rFonts w:hint="eastAsia"/>
                <w:highlight w:val="none"/>
                <w:lang w:val="en-US" w:eastAsia="zh-CN"/>
              </w:rPr>
              <w:t>5</w:t>
            </w:r>
          </w:p>
        </w:tc>
        <w:tc>
          <w:tcPr>
            <w:tcW w:w="1777" w:type="dxa"/>
            <w:vMerge w:val="restart"/>
            <w:noWrap w:val="0"/>
            <w:vAlign w:val="center"/>
          </w:tcPr>
          <w:p w14:paraId="1176E3DA">
            <w:pPr>
              <w:jc w:val="center"/>
              <w:rPr>
                <w:highlight w:val="none"/>
              </w:rPr>
            </w:pPr>
            <w:r>
              <w:rPr>
                <w:rFonts w:hint="eastAsia"/>
                <w:highlight w:val="none"/>
              </w:rPr>
              <w:t>漏洞和风险管理</w:t>
            </w:r>
          </w:p>
        </w:tc>
        <w:tc>
          <w:tcPr>
            <w:tcW w:w="6368" w:type="dxa"/>
            <w:noWrap w:val="0"/>
            <w:vAlign w:val="center"/>
          </w:tcPr>
          <w:p w14:paraId="69CE95D4">
            <w:pPr>
              <w:rPr>
                <w:highlight w:val="none"/>
              </w:rPr>
            </w:pPr>
            <w:r>
              <w:rPr>
                <w:rFonts w:hint="eastAsia"/>
                <w:highlight w:val="none"/>
              </w:rPr>
              <w:t>a) 应采取必要的措施识别安全漏洞和隐患，对发现的安全漏洞和隐患及时进行修补或评估可能的影响后进行修补。</w:t>
            </w:r>
          </w:p>
        </w:tc>
      </w:tr>
      <w:tr w14:paraId="44CC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noWrap w:val="0"/>
            <w:vAlign w:val="center"/>
          </w:tcPr>
          <w:p w14:paraId="1B8051FB">
            <w:pPr>
              <w:jc w:val="center"/>
              <w:rPr>
                <w:highlight w:val="none"/>
              </w:rPr>
            </w:pPr>
          </w:p>
        </w:tc>
        <w:tc>
          <w:tcPr>
            <w:tcW w:w="1777" w:type="dxa"/>
            <w:vMerge w:val="continue"/>
            <w:noWrap w:val="0"/>
            <w:vAlign w:val="center"/>
          </w:tcPr>
          <w:p w14:paraId="735D5BAC">
            <w:pPr>
              <w:jc w:val="center"/>
              <w:rPr>
                <w:highlight w:val="none"/>
              </w:rPr>
            </w:pPr>
          </w:p>
        </w:tc>
        <w:tc>
          <w:tcPr>
            <w:tcW w:w="6368" w:type="dxa"/>
            <w:noWrap w:val="0"/>
            <w:vAlign w:val="center"/>
          </w:tcPr>
          <w:p w14:paraId="242EFDF8">
            <w:pPr>
              <w:rPr>
                <w:highlight w:val="none"/>
              </w:rPr>
            </w:pPr>
            <w:r>
              <w:rPr>
                <w:rFonts w:hint="eastAsia"/>
                <w:highlight w:val="none"/>
              </w:rPr>
              <w:t>b）应定期开展安全测评，形成安全测评报告，采取措施应对发现的安全间题。</w:t>
            </w:r>
          </w:p>
        </w:tc>
      </w:tr>
      <w:tr w14:paraId="7788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restart"/>
            <w:noWrap w:val="0"/>
            <w:vAlign w:val="center"/>
          </w:tcPr>
          <w:p w14:paraId="25FACB28">
            <w:pPr>
              <w:jc w:val="center"/>
              <w:rPr>
                <w:rFonts w:hint="eastAsia" w:eastAsia="宋体"/>
                <w:highlight w:val="none"/>
                <w:lang w:val="en-US" w:eastAsia="zh-CN"/>
              </w:rPr>
            </w:pPr>
            <w:r>
              <w:rPr>
                <w:rFonts w:hint="eastAsia"/>
                <w:highlight w:val="none"/>
                <w:lang w:val="en-US" w:eastAsia="zh-CN"/>
              </w:rPr>
              <w:t>6</w:t>
            </w:r>
          </w:p>
        </w:tc>
        <w:tc>
          <w:tcPr>
            <w:tcW w:w="1777" w:type="dxa"/>
            <w:vMerge w:val="restart"/>
            <w:noWrap w:val="0"/>
            <w:vAlign w:val="center"/>
          </w:tcPr>
          <w:p w14:paraId="64112E28">
            <w:pPr>
              <w:jc w:val="center"/>
              <w:rPr>
                <w:highlight w:val="none"/>
              </w:rPr>
            </w:pPr>
            <w:r>
              <w:rPr>
                <w:rFonts w:hint="eastAsia"/>
                <w:highlight w:val="none"/>
              </w:rPr>
              <w:t>网络和系统安全管理</w:t>
            </w:r>
          </w:p>
        </w:tc>
        <w:tc>
          <w:tcPr>
            <w:tcW w:w="6368" w:type="dxa"/>
            <w:noWrap w:val="0"/>
            <w:vAlign w:val="center"/>
          </w:tcPr>
          <w:p w14:paraId="752B71E2">
            <w:pPr>
              <w:rPr>
                <w:highlight w:val="none"/>
              </w:rPr>
            </w:pPr>
            <w:r>
              <w:rPr>
                <w:rFonts w:hint="eastAsia"/>
                <w:highlight w:val="none"/>
              </w:rPr>
              <w:t>a)应划分不同的管理员角色进行网络和系统的运维管理，明确各个角色的责任和 权限。</w:t>
            </w:r>
          </w:p>
        </w:tc>
      </w:tr>
      <w:tr w14:paraId="78C4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noWrap w:val="0"/>
            <w:vAlign w:val="center"/>
          </w:tcPr>
          <w:p w14:paraId="19F260DF">
            <w:pPr>
              <w:jc w:val="center"/>
              <w:rPr>
                <w:highlight w:val="none"/>
              </w:rPr>
            </w:pPr>
          </w:p>
        </w:tc>
        <w:tc>
          <w:tcPr>
            <w:tcW w:w="1777" w:type="dxa"/>
            <w:vMerge w:val="continue"/>
            <w:noWrap w:val="0"/>
            <w:vAlign w:val="center"/>
          </w:tcPr>
          <w:p w14:paraId="1ACC3CAD">
            <w:pPr>
              <w:jc w:val="center"/>
              <w:rPr>
                <w:highlight w:val="none"/>
              </w:rPr>
            </w:pPr>
          </w:p>
        </w:tc>
        <w:tc>
          <w:tcPr>
            <w:tcW w:w="6368" w:type="dxa"/>
            <w:noWrap w:val="0"/>
            <w:vAlign w:val="center"/>
          </w:tcPr>
          <w:p w14:paraId="6CC89906">
            <w:pPr>
              <w:rPr>
                <w:highlight w:val="none"/>
              </w:rPr>
            </w:pPr>
            <w:r>
              <w:rPr>
                <w:rFonts w:hint="eastAsia"/>
                <w:highlight w:val="none"/>
              </w:rPr>
              <w:t>b)应指定专门的部门或人员进行账户管理，对申请账户、建立账户、删除账户等进行 控制。</w:t>
            </w:r>
          </w:p>
        </w:tc>
      </w:tr>
      <w:tr w14:paraId="3623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continue"/>
            <w:noWrap w:val="0"/>
            <w:vAlign w:val="center"/>
          </w:tcPr>
          <w:p w14:paraId="54D6C775">
            <w:pPr>
              <w:jc w:val="center"/>
              <w:rPr>
                <w:highlight w:val="none"/>
              </w:rPr>
            </w:pPr>
          </w:p>
        </w:tc>
        <w:tc>
          <w:tcPr>
            <w:tcW w:w="1777" w:type="dxa"/>
            <w:vMerge w:val="continue"/>
            <w:noWrap w:val="0"/>
            <w:vAlign w:val="center"/>
          </w:tcPr>
          <w:p w14:paraId="67D1CDDD">
            <w:pPr>
              <w:jc w:val="center"/>
              <w:rPr>
                <w:highlight w:val="none"/>
              </w:rPr>
            </w:pPr>
          </w:p>
        </w:tc>
        <w:tc>
          <w:tcPr>
            <w:tcW w:w="6368" w:type="dxa"/>
            <w:noWrap w:val="0"/>
            <w:vAlign w:val="center"/>
          </w:tcPr>
          <w:p w14:paraId="0FD5FA0B">
            <w:pPr>
              <w:rPr>
                <w:highlight w:val="none"/>
              </w:rPr>
            </w:pPr>
            <w:r>
              <w:rPr>
                <w:rFonts w:hint="eastAsia"/>
                <w:highlight w:val="none"/>
              </w:rPr>
              <w:t>c）应建立网络和系统安全管理制度，对安全策略、账户管理、配置管理、日志管理、日常操作、升级与打补丁、口令更新等方面做出规定</w:t>
            </w:r>
          </w:p>
        </w:tc>
      </w:tr>
      <w:tr w14:paraId="1FAC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noWrap w:val="0"/>
            <w:vAlign w:val="center"/>
          </w:tcPr>
          <w:p w14:paraId="54024A15">
            <w:pPr>
              <w:jc w:val="center"/>
              <w:rPr>
                <w:highlight w:val="none"/>
              </w:rPr>
            </w:pPr>
          </w:p>
        </w:tc>
        <w:tc>
          <w:tcPr>
            <w:tcW w:w="1777" w:type="dxa"/>
            <w:vMerge w:val="continue"/>
            <w:noWrap w:val="0"/>
            <w:vAlign w:val="center"/>
          </w:tcPr>
          <w:p w14:paraId="4C1BB564">
            <w:pPr>
              <w:jc w:val="center"/>
              <w:rPr>
                <w:highlight w:val="none"/>
              </w:rPr>
            </w:pPr>
          </w:p>
        </w:tc>
        <w:tc>
          <w:tcPr>
            <w:tcW w:w="6368" w:type="dxa"/>
            <w:noWrap w:val="0"/>
            <w:vAlign w:val="center"/>
          </w:tcPr>
          <w:p w14:paraId="3C922C52">
            <w:pPr>
              <w:rPr>
                <w:highlight w:val="none"/>
              </w:rPr>
            </w:pPr>
            <w:r>
              <w:rPr>
                <w:rFonts w:hint="eastAsia"/>
                <w:highlight w:val="none"/>
              </w:rPr>
              <w:t>d)应制定重要设备的配置和操作手册，依据手册对设备进行安全配置和优化配置</w:t>
            </w:r>
          </w:p>
        </w:tc>
      </w:tr>
      <w:tr w14:paraId="5672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noWrap w:val="0"/>
            <w:vAlign w:val="center"/>
          </w:tcPr>
          <w:p w14:paraId="43A1700D">
            <w:pPr>
              <w:jc w:val="center"/>
              <w:rPr>
                <w:highlight w:val="none"/>
              </w:rPr>
            </w:pPr>
          </w:p>
        </w:tc>
        <w:tc>
          <w:tcPr>
            <w:tcW w:w="1777" w:type="dxa"/>
            <w:vMerge w:val="continue"/>
            <w:noWrap w:val="0"/>
            <w:vAlign w:val="center"/>
          </w:tcPr>
          <w:p w14:paraId="6C3E896E">
            <w:pPr>
              <w:jc w:val="center"/>
              <w:rPr>
                <w:highlight w:val="none"/>
              </w:rPr>
            </w:pPr>
          </w:p>
        </w:tc>
        <w:tc>
          <w:tcPr>
            <w:tcW w:w="6368" w:type="dxa"/>
            <w:noWrap w:val="0"/>
            <w:vAlign w:val="bottom"/>
          </w:tcPr>
          <w:p w14:paraId="7DCD0566">
            <w:pPr>
              <w:rPr>
                <w:highlight w:val="none"/>
              </w:rPr>
            </w:pPr>
            <w:r>
              <w:rPr>
                <w:rFonts w:hint="eastAsia"/>
                <w:highlight w:val="none"/>
              </w:rPr>
              <w:t>e) 应详细记录运维操作日志，包括日常巡检工作、运行维护记录、参数的设置和修改等 内容</w:t>
            </w:r>
          </w:p>
        </w:tc>
      </w:tr>
      <w:tr w14:paraId="6467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noWrap w:val="0"/>
            <w:vAlign w:val="center"/>
          </w:tcPr>
          <w:p w14:paraId="400322D9">
            <w:pPr>
              <w:jc w:val="center"/>
              <w:rPr>
                <w:highlight w:val="none"/>
              </w:rPr>
            </w:pPr>
          </w:p>
        </w:tc>
        <w:tc>
          <w:tcPr>
            <w:tcW w:w="1777" w:type="dxa"/>
            <w:vMerge w:val="continue"/>
            <w:noWrap w:val="0"/>
            <w:vAlign w:val="center"/>
          </w:tcPr>
          <w:p w14:paraId="2F717895">
            <w:pPr>
              <w:jc w:val="center"/>
              <w:rPr>
                <w:highlight w:val="none"/>
              </w:rPr>
            </w:pPr>
          </w:p>
        </w:tc>
        <w:tc>
          <w:tcPr>
            <w:tcW w:w="6368" w:type="dxa"/>
            <w:noWrap w:val="0"/>
            <w:vAlign w:val="bottom"/>
          </w:tcPr>
          <w:p w14:paraId="7CF22A79">
            <w:pPr>
              <w:rPr>
                <w:highlight w:val="none"/>
              </w:rPr>
            </w:pPr>
            <w:r>
              <w:rPr>
                <w:rFonts w:hint="eastAsia"/>
                <w:highlight w:val="none"/>
              </w:rPr>
              <w:t>f)应指定专门的部门或人员对H志、监测和报警数据等进行分析、统计，及时发现可疑行为。</w:t>
            </w:r>
          </w:p>
        </w:tc>
      </w:tr>
      <w:tr w14:paraId="785D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continue"/>
            <w:noWrap w:val="0"/>
            <w:vAlign w:val="center"/>
          </w:tcPr>
          <w:p w14:paraId="36432C6F">
            <w:pPr>
              <w:jc w:val="center"/>
              <w:rPr>
                <w:highlight w:val="none"/>
              </w:rPr>
            </w:pPr>
          </w:p>
        </w:tc>
        <w:tc>
          <w:tcPr>
            <w:tcW w:w="1777" w:type="dxa"/>
            <w:vMerge w:val="continue"/>
            <w:noWrap w:val="0"/>
            <w:vAlign w:val="center"/>
          </w:tcPr>
          <w:p w14:paraId="00074300">
            <w:pPr>
              <w:jc w:val="center"/>
              <w:rPr>
                <w:highlight w:val="none"/>
              </w:rPr>
            </w:pPr>
          </w:p>
        </w:tc>
        <w:tc>
          <w:tcPr>
            <w:tcW w:w="6368" w:type="dxa"/>
            <w:noWrap w:val="0"/>
            <w:vAlign w:val="center"/>
          </w:tcPr>
          <w:p w14:paraId="0F8289A2">
            <w:pPr>
              <w:rPr>
                <w:highlight w:val="none"/>
              </w:rPr>
            </w:pPr>
            <w:r>
              <w:rPr>
                <w:rFonts w:hint="eastAsia"/>
                <w:highlight w:val="none"/>
              </w:rPr>
              <w:t>g)应严格控制变更性运维，经过审批后才可改变连接、安装系统组件或调整配置参数，操作过程中应保留不可更改的审计日志，操作结束后应同步更新配置信息库。</w:t>
            </w:r>
          </w:p>
        </w:tc>
      </w:tr>
      <w:tr w14:paraId="5805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continue"/>
            <w:noWrap w:val="0"/>
            <w:vAlign w:val="center"/>
          </w:tcPr>
          <w:p w14:paraId="1B6731EF">
            <w:pPr>
              <w:jc w:val="center"/>
              <w:rPr>
                <w:highlight w:val="none"/>
              </w:rPr>
            </w:pPr>
          </w:p>
        </w:tc>
        <w:tc>
          <w:tcPr>
            <w:tcW w:w="1777" w:type="dxa"/>
            <w:vMerge w:val="continue"/>
            <w:noWrap w:val="0"/>
            <w:vAlign w:val="center"/>
          </w:tcPr>
          <w:p w14:paraId="1C383398">
            <w:pPr>
              <w:jc w:val="center"/>
              <w:rPr>
                <w:highlight w:val="none"/>
              </w:rPr>
            </w:pPr>
          </w:p>
        </w:tc>
        <w:tc>
          <w:tcPr>
            <w:tcW w:w="6368" w:type="dxa"/>
            <w:noWrap w:val="0"/>
            <w:vAlign w:val="bottom"/>
          </w:tcPr>
          <w:p w14:paraId="018C5649">
            <w:pPr>
              <w:rPr>
                <w:highlight w:val="none"/>
              </w:rPr>
            </w:pPr>
            <w:r>
              <w:rPr>
                <w:rFonts w:hint="eastAsia"/>
                <w:highlight w:val="none"/>
              </w:rPr>
              <w:t>h)应严格控制运维工具的使用，经过审批后才可接入进行操作，操作过程中应保留不可更改的审计日志，操作结束后应删除工具中的敏感数据。</w:t>
            </w:r>
          </w:p>
        </w:tc>
      </w:tr>
      <w:tr w14:paraId="4644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continue"/>
            <w:noWrap w:val="0"/>
            <w:vAlign w:val="center"/>
          </w:tcPr>
          <w:p w14:paraId="34759CF8">
            <w:pPr>
              <w:jc w:val="center"/>
              <w:rPr>
                <w:highlight w:val="none"/>
              </w:rPr>
            </w:pPr>
          </w:p>
        </w:tc>
        <w:tc>
          <w:tcPr>
            <w:tcW w:w="1777" w:type="dxa"/>
            <w:vMerge w:val="continue"/>
            <w:noWrap w:val="0"/>
            <w:vAlign w:val="center"/>
          </w:tcPr>
          <w:p w14:paraId="51DE1BB3">
            <w:pPr>
              <w:jc w:val="center"/>
              <w:rPr>
                <w:highlight w:val="none"/>
              </w:rPr>
            </w:pPr>
          </w:p>
        </w:tc>
        <w:tc>
          <w:tcPr>
            <w:tcW w:w="6368" w:type="dxa"/>
            <w:tcBorders>
              <w:top w:val="single" w:color="auto" w:sz="4" w:space="0"/>
              <w:bottom w:val="single" w:color="auto" w:sz="4" w:space="0"/>
              <w:right w:val="single" w:color="auto" w:sz="4" w:space="0"/>
            </w:tcBorders>
            <w:noWrap w:val="0"/>
            <w:vAlign w:val="bottom"/>
          </w:tcPr>
          <w:p w14:paraId="134DA56F">
            <w:pPr>
              <w:rPr>
                <w:highlight w:val="none"/>
              </w:rPr>
            </w:pPr>
            <w:r>
              <w:rPr>
                <w:rFonts w:hint="eastAsia"/>
                <w:highlight w:val="none"/>
              </w:rPr>
              <w:t>i)应严格控制远程运维的开通，经过审批后才可开通远程运维接口或通道，操作过程中应保留不可更改的审计日志，操作结束后立即关闭接口或通道。</w:t>
            </w:r>
          </w:p>
        </w:tc>
      </w:tr>
      <w:tr w14:paraId="390E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bottom w:val="single" w:color="auto" w:sz="4" w:space="0"/>
            </w:tcBorders>
            <w:noWrap w:val="0"/>
            <w:vAlign w:val="center"/>
          </w:tcPr>
          <w:p w14:paraId="6CDA463A">
            <w:pPr>
              <w:jc w:val="center"/>
              <w:rPr>
                <w:highlight w:val="none"/>
              </w:rPr>
            </w:pPr>
          </w:p>
        </w:tc>
        <w:tc>
          <w:tcPr>
            <w:tcW w:w="1777" w:type="dxa"/>
            <w:vMerge w:val="continue"/>
            <w:tcBorders>
              <w:bottom w:val="single" w:color="auto" w:sz="4" w:space="0"/>
            </w:tcBorders>
            <w:noWrap w:val="0"/>
            <w:vAlign w:val="center"/>
          </w:tcPr>
          <w:p w14:paraId="236165DA">
            <w:pPr>
              <w:jc w:val="center"/>
              <w:rPr>
                <w:highlight w:val="none"/>
              </w:rPr>
            </w:pPr>
          </w:p>
        </w:tc>
        <w:tc>
          <w:tcPr>
            <w:tcW w:w="6368" w:type="dxa"/>
            <w:tcBorders>
              <w:top w:val="single" w:color="auto" w:sz="4" w:space="0"/>
              <w:bottom w:val="single" w:color="auto" w:sz="4" w:space="0"/>
              <w:right w:val="single" w:color="auto" w:sz="4" w:space="0"/>
            </w:tcBorders>
            <w:noWrap w:val="0"/>
            <w:vAlign w:val="center"/>
          </w:tcPr>
          <w:p w14:paraId="69B74237">
            <w:pPr>
              <w:rPr>
                <w:highlight w:val="none"/>
              </w:rPr>
            </w:pPr>
            <w:r>
              <w:rPr>
                <w:rFonts w:hint="eastAsia"/>
                <w:highlight w:val="none"/>
              </w:rPr>
              <w:t>j)应保证所有与外部的连接均得到授权和批准，应定期检查违反规定无线上网及其他违反网络安全策略的行为</w:t>
            </w:r>
          </w:p>
        </w:tc>
      </w:tr>
      <w:tr w14:paraId="2B81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tcBorders>
              <w:top w:val="single" w:color="auto" w:sz="4" w:space="0"/>
              <w:left w:val="single" w:color="auto" w:sz="4" w:space="0"/>
              <w:right w:val="single" w:color="auto" w:sz="4" w:space="0"/>
            </w:tcBorders>
            <w:noWrap w:val="0"/>
            <w:vAlign w:val="center"/>
          </w:tcPr>
          <w:p w14:paraId="24731AE0">
            <w:pPr>
              <w:jc w:val="center"/>
              <w:rPr>
                <w:rFonts w:hint="default" w:eastAsia="宋体"/>
                <w:highlight w:val="none"/>
                <w:lang w:val="en-US" w:eastAsia="zh-CN"/>
              </w:rPr>
            </w:pPr>
            <w:r>
              <w:rPr>
                <w:rFonts w:hint="eastAsia"/>
                <w:highlight w:val="none"/>
                <w:lang w:val="en-US" w:eastAsia="zh-CN"/>
              </w:rPr>
              <w:t>7</w:t>
            </w:r>
          </w:p>
        </w:tc>
        <w:tc>
          <w:tcPr>
            <w:tcW w:w="1777" w:type="dxa"/>
            <w:vMerge w:val="restart"/>
            <w:tcBorders>
              <w:top w:val="single" w:color="auto" w:sz="4" w:space="0"/>
              <w:left w:val="single" w:color="auto" w:sz="4" w:space="0"/>
              <w:right w:val="single" w:color="auto" w:sz="4" w:space="0"/>
            </w:tcBorders>
            <w:noWrap w:val="0"/>
            <w:vAlign w:val="center"/>
          </w:tcPr>
          <w:p w14:paraId="6D778C01">
            <w:pPr>
              <w:jc w:val="center"/>
              <w:rPr>
                <w:highlight w:val="none"/>
              </w:rPr>
            </w:pPr>
            <w:r>
              <w:rPr>
                <w:rFonts w:hint="eastAsia"/>
                <w:highlight w:val="none"/>
              </w:rPr>
              <w:t>恶意代码防范管理</w:t>
            </w:r>
          </w:p>
        </w:tc>
        <w:tc>
          <w:tcPr>
            <w:tcW w:w="6368" w:type="dxa"/>
            <w:tcBorders>
              <w:top w:val="single" w:color="auto" w:sz="4" w:space="0"/>
              <w:left w:val="single" w:color="auto" w:sz="4" w:space="0"/>
              <w:bottom w:val="single" w:color="auto" w:sz="4" w:space="0"/>
              <w:right w:val="single" w:color="auto" w:sz="4" w:space="0"/>
            </w:tcBorders>
            <w:noWrap w:val="0"/>
            <w:vAlign w:val="bottom"/>
          </w:tcPr>
          <w:p w14:paraId="4FE01C25">
            <w:pPr>
              <w:rPr>
                <w:highlight w:val="none"/>
              </w:rPr>
            </w:pPr>
            <w:r>
              <w:rPr>
                <w:rFonts w:hint="eastAsia"/>
                <w:highlight w:val="none"/>
              </w:rPr>
              <w:t>a)应提高所有用户的防恶意代码意识，对外来计算机或存储设备接入系统前进行恶意代码检查等</w:t>
            </w:r>
          </w:p>
        </w:tc>
      </w:tr>
      <w:tr w14:paraId="7EA0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853" w:type="dxa"/>
            <w:tcBorders>
              <w:left w:val="single" w:color="auto" w:sz="4" w:space="0"/>
              <w:bottom w:val="single" w:color="auto" w:sz="4" w:space="0"/>
              <w:right w:val="single" w:color="auto" w:sz="4" w:space="0"/>
            </w:tcBorders>
            <w:noWrap w:val="0"/>
            <w:vAlign w:val="center"/>
          </w:tcPr>
          <w:p w14:paraId="74F31914">
            <w:pPr>
              <w:jc w:val="center"/>
              <w:rPr>
                <w:rFonts w:hint="eastAsia" w:eastAsia="宋体"/>
                <w:highlight w:val="none"/>
                <w:lang w:val="en-US" w:eastAsia="zh-CN"/>
              </w:rPr>
            </w:pPr>
            <w:r>
              <w:rPr>
                <w:rFonts w:hint="eastAsia"/>
                <w:highlight w:val="none"/>
                <w:lang w:val="en-US" w:eastAsia="zh-CN"/>
              </w:rPr>
              <w:t>8</w:t>
            </w:r>
          </w:p>
        </w:tc>
        <w:tc>
          <w:tcPr>
            <w:tcW w:w="1777" w:type="dxa"/>
            <w:vMerge w:val="continue"/>
            <w:tcBorders>
              <w:left w:val="single" w:color="auto" w:sz="4" w:space="0"/>
              <w:bottom w:val="single" w:color="auto" w:sz="4" w:space="0"/>
              <w:right w:val="single" w:color="auto" w:sz="4" w:space="0"/>
            </w:tcBorders>
            <w:noWrap w:val="0"/>
            <w:vAlign w:val="center"/>
          </w:tcPr>
          <w:p w14:paraId="5B64BEE2">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67B16DE9">
            <w:pPr>
              <w:rPr>
                <w:highlight w:val="none"/>
              </w:rPr>
            </w:pPr>
            <w:r>
              <w:rPr>
                <w:rFonts w:hint="eastAsia"/>
                <w:highlight w:val="none"/>
              </w:rPr>
              <w:t>b) 应定期验证防范恶意代码攻击的技术措施的有效性。</w:t>
            </w:r>
          </w:p>
        </w:tc>
      </w:tr>
      <w:tr w14:paraId="1C2E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restart"/>
            <w:tcBorders>
              <w:top w:val="single" w:color="auto" w:sz="4" w:space="0"/>
              <w:left w:val="single" w:color="auto" w:sz="4" w:space="0"/>
              <w:right w:val="single" w:color="auto" w:sz="4" w:space="0"/>
            </w:tcBorders>
            <w:noWrap w:val="0"/>
            <w:vAlign w:val="center"/>
          </w:tcPr>
          <w:p w14:paraId="4ED5F5F6">
            <w:pPr>
              <w:jc w:val="center"/>
              <w:rPr>
                <w:rFonts w:hint="eastAsia" w:eastAsia="宋体"/>
                <w:highlight w:val="none"/>
                <w:lang w:val="en-US" w:eastAsia="zh-CN"/>
              </w:rPr>
            </w:pPr>
            <w:r>
              <w:rPr>
                <w:rFonts w:hint="eastAsia"/>
                <w:highlight w:val="none"/>
                <w:lang w:val="en-US" w:eastAsia="zh-CN"/>
              </w:rPr>
              <w:t>9</w:t>
            </w:r>
          </w:p>
        </w:tc>
        <w:tc>
          <w:tcPr>
            <w:tcW w:w="1777" w:type="dxa"/>
            <w:vMerge w:val="restart"/>
            <w:tcBorders>
              <w:top w:val="single" w:color="auto" w:sz="4" w:space="0"/>
              <w:left w:val="single" w:color="auto" w:sz="4" w:space="0"/>
              <w:right w:val="single" w:color="auto" w:sz="4" w:space="0"/>
            </w:tcBorders>
            <w:noWrap w:val="0"/>
            <w:vAlign w:val="center"/>
          </w:tcPr>
          <w:p w14:paraId="1956B5CF">
            <w:pPr>
              <w:jc w:val="center"/>
              <w:rPr>
                <w:highlight w:val="none"/>
              </w:rPr>
            </w:pPr>
            <w:r>
              <w:rPr>
                <w:rFonts w:hint="eastAsia"/>
                <w:highlight w:val="none"/>
              </w:rPr>
              <w:t>配置管理</w:t>
            </w:r>
          </w:p>
        </w:tc>
        <w:tc>
          <w:tcPr>
            <w:tcW w:w="6368" w:type="dxa"/>
            <w:tcBorders>
              <w:top w:val="single" w:color="auto" w:sz="4" w:space="0"/>
              <w:left w:val="single" w:color="auto" w:sz="4" w:space="0"/>
              <w:bottom w:val="single" w:color="auto" w:sz="4" w:space="0"/>
              <w:right w:val="single" w:color="auto" w:sz="4" w:space="0"/>
            </w:tcBorders>
            <w:noWrap w:val="0"/>
            <w:vAlign w:val="bottom"/>
          </w:tcPr>
          <w:p w14:paraId="79BA000A">
            <w:pPr>
              <w:rPr>
                <w:highlight w:val="none"/>
              </w:rPr>
            </w:pPr>
            <w:r>
              <w:rPr>
                <w:rFonts w:hint="eastAsia"/>
                <w:highlight w:val="none"/>
              </w:rPr>
              <w:t>a) 应记录和保存基本配置信息，包括网络拓扑结构、各个设备安装的软件组件、软件组 件的版本和补丁信息、各个设备或软件组件的配置参数等</w:t>
            </w:r>
          </w:p>
        </w:tc>
      </w:tr>
      <w:tr w14:paraId="0AC9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bottom w:val="single" w:color="auto" w:sz="4" w:space="0"/>
              <w:right w:val="single" w:color="auto" w:sz="4" w:space="0"/>
            </w:tcBorders>
            <w:noWrap w:val="0"/>
            <w:vAlign w:val="center"/>
          </w:tcPr>
          <w:p w14:paraId="134C039A">
            <w:pPr>
              <w:jc w:val="center"/>
              <w:rPr>
                <w:highlight w:val="none"/>
              </w:rPr>
            </w:pPr>
          </w:p>
        </w:tc>
        <w:tc>
          <w:tcPr>
            <w:tcW w:w="1777" w:type="dxa"/>
            <w:vMerge w:val="continue"/>
            <w:tcBorders>
              <w:left w:val="single" w:color="auto" w:sz="4" w:space="0"/>
              <w:bottom w:val="single" w:color="auto" w:sz="4" w:space="0"/>
              <w:right w:val="single" w:color="auto" w:sz="4" w:space="0"/>
            </w:tcBorders>
            <w:noWrap w:val="0"/>
            <w:vAlign w:val="center"/>
          </w:tcPr>
          <w:p w14:paraId="11B60EB1">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bottom"/>
          </w:tcPr>
          <w:p w14:paraId="3BF19B63">
            <w:pPr>
              <w:rPr>
                <w:highlight w:val="none"/>
              </w:rPr>
            </w:pPr>
            <w:r>
              <w:rPr>
                <w:rFonts w:hint="eastAsia"/>
                <w:highlight w:val="none"/>
              </w:rPr>
              <w:t xml:space="preserve">b) 应将基本配置信息改变纳入变更范畴，实施对配置信息改变的控制，并及时更新基 本配置信息库。 </w:t>
            </w:r>
          </w:p>
        </w:tc>
      </w:tr>
      <w:tr w14:paraId="24C4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853" w:type="dxa"/>
            <w:vMerge w:val="restart"/>
            <w:tcBorders>
              <w:top w:val="single" w:color="auto" w:sz="4" w:space="0"/>
              <w:left w:val="single" w:color="auto" w:sz="4" w:space="0"/>
              <w:right w:val="single" w:color="auto" w:sz="4" w:space="0"/>
            </w:tcBorders>
            <w:noWrap w:val="0"/>
            <w:vAlign w:val="center"/>
          </w:tcPr>
          <w:p w14:paraId="01A22926">
            <w:pPr>
              <w:jc w:val="center"/>
              <w:rPr>
                <w:rFonts w:hint="default" w:eastAsia="宋体"/>
                <w:highlight w:val="none"/>
                <w:lang w:val="en-US" w:eastAsia="zh-CN"/>
              </w:rPr>
            </w:pPr>
            <w:r>
              <w:rPr>
                <w:rFonts w:hint="eastAsia"/>
                <w:highlight w:val="none"/>
                <w:lang w:val="en-US" w:eastAsia="zh-CN"/>
              </w:rPr>
              <w:t>10</w:t>
            </w:r>
          </w:p>
        </w:tc>
        <w:tc>
          <w:tcPr>
            <w:tcW w:w="1777" w:type="dxa"/>
            <w:vMerge w:val="restart"/>
            <w:tcBorders>
              <w:top w:val="single" w:color="auto" w:sz="4" w:space="0"/>
              <w:left w:val="single" w:color="auto" w:sz="4" w:space="0"/>
              <w:right w:val="single" w:color="auto" w:sz="4" w:space="0"/>
            </w:tcBorders>
            <w:noWrap w:val="0"/>
            <w:vAlign w:val="center"/>
          </w:tcPr>
          <w:p w14:paraId="0E6E6C52">
            <w:pPr>
              <w:jc w:val="center"/>
              <w:rPr>
                <w:highlight w:val="none"/>
              </w:rPr>
            </w:pPr>
            <w:r>
              <w:rPr>
                <w:rFonts w:hint="eastAsia"/>
                <w:highlight w:val="none"/>
              </w:rPr>
              <w:t>密码管理</w:t>
            </w:r>
          </w:p>
        </w:tc>
        <w:tc>
          <w:tcPr>
            <w:tcW w:w="6368" w:type="dxa"/>
            <w:tcBorders>
              <w:top w:val="single" w:color="auto" w:sz="4" w:space="0"/>
              <w:left w:val="single" w:color="auto" w:sz="4" w:space="0"/>
              <w:bottom w:val="single" w:color="auto" w:sz="4" w:space="0"/>
              <w:right w:val="single" w:color="auto" w:sz="4" w:space="0"/>
            </w:tcBorders>
            <w:noWrap w:val="0"/>
            <w:vAlign w:val="center"/>
          </w:tcPr>
          <w:p w14:paraId="574ED34E">
            <w:pPr>
              <w:rPr>
                <w:highlight w:val="none"/>
              </w:rPr>
            </w:pPr>
            <w:r>
              <w:rPr>
                <w:rFonts w:hint="eastAsia"/>
                <w:highlight w:val="none"/>
              </w:rPr>
              <w:t>a) 应遵循密码相关的国家标准和行业标准</w:t>
            </w:r>
          </w:p>
        </w:tc>
      </w:tr>
      <w:tr w14:paraId="3696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bottom w:val="single" w:color="auto" w:sz="4" w:space="0"/>
              <w:right w:val="single" w:color="auto" w:sz="4" w:space="0"/>
            </w:tcBorders>
            <w:noWrap w:val="0"/>
            <w:vAlign w:val="center"/>
          </w:tcPr>
          <w:p w14:paraId="3FAD1887">
            <w:pPr>
              <w:jc w:val="center"/>
              <w:rPr>
                <w:highlight w:val="none"/>
              </w:rPr>
            </w:pPr>
          </w:p>
        </w:tc>
        <w:tc>
          <w:tcPr>
            <w:tcW w:w="1777" w:type="dxa"/>
            <w:vMerge w:val="continue"/>
            <w:tcBorders>
              <w:left w:val="single" w:color="auto" w:sz="4" w:space="0"/>
              <w:bottom w:val="single" w:color="auto" w:sz="4" w:space="0"/>
              <w:right w:val="single" w:color="auto" w:sz="4" w:space="0"/>
            </w:tcBorders>
            <w:noWrap w:val="0"/>
            <w:vAlign w:val="center"/>
          </w:tcPr>
          <w:p w14:paraId="7CC7844C">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169FDD93">
            <w:pPr>
              <w:rPr>
                <w:highlight w:val="none"/>
              </w:rPr>
            </w:pPr>
            <w:r>
              <w:rPr>
                <w:rFonts w:hint="eastAsia"/>
                <w:highlight w:val="none"/>
              </w:rPr>
              <w:t>b）应使用国家密码管理主管部门认证核准的密码技术和产品</w:t>
            </w:r>
          </w:p>
        </w:tc>
      </w:tr>
      <w:tr w14:paraId="0783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restart"/>
            <w:tcBorders>
              <w:top w:val="single" w:color="auto" w:sz="4" w:space="0"/>
              <w:left w:val="single" w:color="auto" w:sz="4" w:space="0"/>
              <w:right w:val="single" w:color="auto" w:sz="4" w:space="0"/>
            </w:tcBorders>
            <w:noWrap w:val="0"/>
            <w:vAlign w:val="center"/>
          </w:tcPr>
          <w:p w14:paraId="6571BEEC">
            <w:pPr>
              <w:jc w:val="center"/>
              <w:rPr>
                <w:rFonts w:hint="default" w:eastAsia="宋体"/>
                <w:highlight w:val="none"/>
                <w:lang w:val="en-US" w:eastAsia="zh-CN"/>
              </w:rPr>
            </w:pPr>
            <w:r>
              <w:rPr>
                <w:rFonts w:hint="eastAsia"/>
                <w:highlight w:val="none"/>
                <w:lang w:val="en-US" w:eastAsia="zh-CN"/>
              </w:rPr>
              <w:t>11</w:t>
            </w:r>
          </w:p>
        </w:tc>
        <w:tc>
          <w:tcPr>
            <w:tcW w:w="1777" w:type="dxa"/>
            <w:vMerge w:val="restart"/>
            <w:tcBorders>
              <w:top w:val="single" w:color="auto" w:sz="4" w:space="0"/>
              <w:left w:val="single" w:color="auto" w:sz="4" w:space="0"/>
              <w:right w:val="single" w:color="auto" w:sz="4" w:space="0"/>
            </w:tcBorders>
            <w:noWrap w:val="0"/>
            <w:vAlign w:val="center"/>
          </w:tcPr>
          <w:p w14:paraId="4ECB23A6">
            <w:pPr>
              <w:jc w:val="center"/>
              <w:rPr>
                <w:highlight w:val="none"/>
              </w:rPr>
            </w:pPr>
            <w:r>
              <w:rPr>
                <w:rFonts w:hint="eastAsia"/>
                <w:highlight w:val="none"/>
              </w:rPr>
              <w:t>变更管理</w:t>
            </w:r>
          </w:p>
        </w:tc>
        <w:tc>
          <w:tcPr>
            <w:tcW w:w="6368" w:type="dxa"/>
            <w:tcBorders>
              <w:top w:val="single" w:color="auto" w:sz="4" w:space="0"/>
              <w:left w:val="single" w:color="auto" w:sz="4" w:space="0"/>
              <w:bottom w:val="single" w:color="auto" w:sz="4" w:space="0"/>
              <w:right w:val="single" w:color="auto" w:sz="4" w:space="0"/>
            </w:tcBorders>
            <w:noWrap w:val="0"/>
            <w:vAlign w:val="center"/>
          </w:tcPr>
          <w:p w14:paraId="65DFA1CF">
            <w:pPr>
              <w:rPr>
                <w:highlight w:val="none"/>
              </w:rPr>
            </w:pPr>
            <w:r>
              <w:rPr>
                <w:rFonts w:hint="eastAsia"/>
                <w:highlight w:val="none"/>
              </w:rPr>
              <w:t>a)应明确变更需求，变更前根据变更需求制定变更方案，变更方案经过评审、审批后方 可实施。</w:t>
            </w:r>
          </w:p>
        </w:tc>
      </w:tr>
      <w:tr w14:paraId="10E9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right w:val="single" w:color="auto" w:sz="4" w:space="0"/>
            </w:tcBorders>
            <w:noWrap w:val="0"/>
            <w:vAlign w:val="center"/>
          </w:tcPr>
          <w:p w14:paraId="0F6F177D">
            <w:pPr>
              <w:jc w:val="center"/>
              <w:rPr>
                <w:highlight w:val="none"/>
              </w:rPr>
            </w:pPr>
          </w:p>
        </w:tc>
        <w:tc>
          <w:tcPr>
            <w:tcW w:w="1777" w:type="dxa"/>
            <w:vMerge w:val="continue"/>
            <w:tcBorders>
              <w:left w:val="single" w:color="auto" w:sz="4" w:space="0"/>
              <w:right w:val="single" w:color="auto" w:sz="4" w:space="0"/>
            </w:tcBorders>
            <w:noWrap w:val="0"/>
            <w:vAlign w:val="center"/>
          </w:tcPr>
          <w:p w14:paraId="295E07A6">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46D72138">
            <w:pPr>
              <w:rPr>
                <w:highlight w:val="none"/>
              </w:rPr>
            </w:pPr>
            <w:r>
              <w:rPr>
                <w:rFonts w:hint="eastAsia"/>
                <w:highlight w:val="none"/>
              </w:rPr>
              <w:t>b)应建立变更的申报和审批控制程序，依据程序控制所有的变更，记录变更实施过程。</w:t>
            </w:r>
          </w:p>
        </w:tc>
      </w:tr>
      <w:tr w14:paraId="43FD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bottom w:val="single" w:color="auto" w:sz="4" w:space="0"/>
              <w:right w:val="single" w:color="auto" w:sz="4" w:space="0"/>
            </w:tcBorders>
            <w:noWrap w:val="0"/>
            <w:vAlign w:val="center"/>
          </w:tcPr>
          <w:p w14:paraId="394616E1">
            <w:pPr>
              <w:jc w:val="center"/>
              <w:rPr>
                <w:highlight w:val="none"/>
              </w:rPr>
            </w:pPr>
          </w:p>
        </w:tc>
        <w:tc>
          <w:tcPr>
            <w:tcW w:w="1777" w:type="dxa"/>
            <w:vMerge w:val="continue"/>
            <w:tcBorders>
              <w:left w:val="single" w:color="auto" w:sz="4" w:space="0"/>
              <w:bottom w:val="single" w:color="auto" w:sz="4" w:space="0"/>
              <w:right w:val="single" w:color="auto" w:sz="4" w:space="0"/>
            </w:tcBorders>
            <w:noWrap w:val="0"/>
            <w:vAlign w:val="center"/>
          </w:tcPr>
          <w:p w14:paraId="51738B4D">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487E1E02">
            <w:pPr>
              <w:rPr>
                <w:highlight w:val="none"/>
              </w:rPr>
            </w:pPr>
            <w:r>
              <w:rPr>
                <w:rFonts w:hint="eastAsia"/>
                <w:highlight w:val="none"/>
              </w:rPr>
              <w:t>c)应建立中止变更并从失败变更中恢复的程序，明确过程控制方法和人员职责，必要时对恢复过程进行演练。</w:t>
            </w:r>
          </w:p>
        </w:tc>
      </w:tr>
      <w:tr w14:paraId="1BEB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restart"/>
            <w:tcBorders>
              <w:top w:val="single" w:color="auto" w:sz="4" w:space="0"/>
              <w:left w:val="single" w:color="auto" w:sz="4" w:space="0"/>
              <w:right w:val="single" w:color="auto" w:sz="4" w:space="0"/>
            </w:tcBorders>
            <w:noWrap w:val="0"/>
            <w:vAlign w:val="center"/>
          </w:tcPr>
          <w:p w14:paraId="46063FCE">
            <w:pPr>
              <w:jc w:val="center"/>
              <w:rPr>
                <w:rFonts w:hint="default" w:eastAsia="宋体"/>
                <w:highlight w:val="none"/>
                <w:lang w:val="en-US" w:eastAsia="zh-CN"/>
              </w:rPr>
            </w:pPr>
            <w:r>
              <w:rPr>
                <w:rFonts w:hint="eastAsia"/>
                <w:highlight w:val="none"/>
                <w:lang w:val="en-US" w:eastAsia="zh-CN"/>
              </w:rPr>
              <w:t>12</w:t>
            </w:r>
          </w:p>
        </w:tc>
        <w:tc>
          <w:tcPr>
            <w:tcW w:w="1777" w:type="dxa"/>
            <w:vMerge w:val="restart"/>
            <w:tcBorders>
              <w:top w:val="single" w:color="auto" w:sz="4" w:space="0"/>
              <w:left w:val="single" w:color="auto" w:sz="4" w:space="0"/>
              <w:right w:val="single" w:color="auto" w:sz="4" w:space="0"/>
            </w:tcBorders>
            <w:noWrap w:val="0"/>
            <w:vAlign w:val="center"/>
          </w:tcPr>
          <w:p w14:paraId="2E9C4BAF">
            <w:pPr>
              <w:jc w:val="center"/>
              <w:rPr>
                <w:highlight w:val="none"/>
              </w:rPr>
            </w:pPr>
            <w:r>
              <w:rPr>
                <w:rFonts w:hint="eastAsia"/>
                <w:highlight w:val="none"/>
              </w:rPr>
              <w:t>备份与恢复管理</w:t>
            </w:r>
          </w:p>
        </w:tc>
        <w:tc>
          <w:tcPr>
            <w:tcW w:w="6368" w:type="dxa"/>
            <w:tcBorders>
              <w:top w:val="single" w:color="auto" w:sz="4" w:space="0"/>
              <w:left w:val="single" w:color="auto" w:sz="4" w:space="0"/>
              <w:bottom w:val="single" w:color="auto" w:sz="4" w:space="0"/>
              <w:right w:val="single" w:color="auto" w:sz="4" w:space="0"/>
            </w:tcBorders>
            <w:noWrap w:val="0"/>
            <w:vAlign w:val="center"/>
          </w:tcPr>
          <w:p w14:paraId="20ECD147">
            <w:pPr>
              <w:rPr>
                <w:highlight w:val="none"/>
              </w:rPr>
            </w:pPr>
            <w:r>
              <w:rPr>
                <w:rFonts w:hint="eastAsia"/>
                <w:highlight w:val="none"/>
              </w:rPr>
              <w:t>a)应识别需要定期备份的重要业务信息、系统数据及软件系统等。</w:t>
            </w:r>
          </w:p>
        </w:tc>
      </w:tr>
      <w:tr w14:paraId="14E2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right w:val="single" w:color="auto" w:sz="4" w:space="0"/>
            </w:tcBorders>
            <w:noWrap w:val="0"/>
            <w:vAlign w:val="center"/>
          </w:tcPr>
          <w:p w14:paraId="71C8C81D">
            <w:pPr>
              <w:jc w:val="center"/>
              <w:rPr>
                <w:highlight w:val="none"/>
              </w:rPr>
            </w:pPr>
          </w:p>
        </w:tc>
        <w:tc>
          <w:tcPr>
            <w:tcW w:w="1777" w:type="dxa"/>
            <w:vMerge w:val="continue"/>
            <w:tcBorders>
              <w:left w:val="single" w:color="auto" w:sz="4" w:space="0"/>
              <w:right w:val="single" w:color="auto" w:sz="4" w:space="0"/>
            </w:tcBorders>
            <w:noWrap w:val="0"/>
            <w:vAlign w:val="center"/>
          </w:tcPr>
          <w:p w14:paraId="73775943">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2EE67ECA">
            <w:pPr>
              <w:rPr>
                <w:highlight w:val="none"/>
              </w:rPr>
            </w:pPr>
            <w:r>
              <w:rPr>
                <w:rFonts w:hint="eastAsia"/>
                <w:highlight w:val="none"/>
              </w:rPr>
              <w:t>b)应规定备份信息的备份方式、备份频度、存储介质、保存期等。</w:t>
            </w:r>
          </w:p>
        </w:tc>
      </w:tr>
      <w:tr w14:paraId="36CF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bottom w:val="single" w:color="auto" w:sz="4" w:space="0"/>
              <w:right w:val="single" w:color="auto" w:sz="4" w:space="0"/>
            </w:tcBorders>
            <w:noWrap w:val="0"/>
            <w:vAlign w:val="center"/>
          </w:tcPr>
          <w:p w14:paraId="1BFCF532">
            <w:pPr>
              <w:jc w:val="center"/>
              <w:rPr>
                <w:highlight w:val="none"/>
              </w:rPr>
            </w:pPr>
          </w:p>
        </w:tc>
        <w:tc>
          <w:tcPr>
            <w:tcW w:w="1777" w:type="dxa"/>
            <w:vMerge w:val="continue"/>
            <w:tcBorders>
              <w:left w:val="single" w:color="auto" w:sz="4" w:space="0"/>
              <w:bottom w:val="single" w:color="auto" w:sz="4" w:space="0"/>
              <w:right w:val="single" w:color="auto" w:sz="4" w:space="0"/>
            </w:tcBorders>
            <w:noWrap w:val="0"/>
            <w:vAlign w:val="center"/>
          </w:tcPr>
          <w:p w14:paraId="0B6CDDD5">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235DBA57">
            <w:pPr>
              <w:rPr>
                <w:highlight w:val="none"/>
              </w:rPr>
            </w:pPr>
            <w:r>
              <w:rPr>
                <w:rFonts w:hint="eastAsia"/>
                <w:highlight w:val="none"/>
              </w:rPr>
              <w:t>c)应根据数据的重要性和数据对系统运行的影响，制定数据的备份策略和恢复策略、 备份程序和恢复程序等。</w:t>
            </w:r>
          </w:p>
        </w:tc>
      </w:tr>
      <w:tr w14:paraId="2DA2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853" w:type="dxa"/>
            <w:vMerge w:val="restart"/>
            <w:tcBorders>
              <w:top w:val="single" w:color="auto" w:sz="4" w:space="0"/>
              <w:left w:val="single" w:color="auto" w:sz="4" w:space="0"/>
              <w:right w:val="single" w:color="auto" w:sz="4" w:space="0"/>
            </w:tcBorders>
            <w:noWrap w:val="0"/>
            <w:vAlign w:val="center"/>
          </w:tcPr>
          <w:p w14:paraId="5C13D6EA">
            <w:pPr>
              <w:jc w:val="center"/>
              <w:rPr>
                <w:rFonts w:hint="default" w:eastAsia="宋体"/>
                <w:highlight w:val="none"/>
                <w:lang w:val="en-US" w:eastAsia="zh-CN"/>
              </w:rPr>
            </w:pPr>
            <w:r>
              <w:rPr>
                <w:rFonts w:hint="eastAsia"/>
                <w:highlight w:val="none"/>
                <w:lang w:val="en-US" w:eastAsia="zh-CN"/>
              </w:rPr>
              <w:t>13</w:t>
            </w:r>
          </w:p>
        </w:tc>
        <w:tc>
          <w:tcPr>
            <w:tcW w:w="1777" w:type="dxa"/>
            <w:vMerge w:val="restart"/>
            <w:tcBorders>
              <w:top w:val="single" w:color="auto" w:sz="4" w:space="0"/>
              <w:left w:val="single" w:color="auto" w:sz="4" w:space="0"/>
              <w:right w:val="single" w:color="auto" w:sz="4" w:space="0"/>
            </w:tcBorders>
            <w:noWrap w:val="0"/>
            <w:vAlign w:val="center"/>
          </w:tcPr>
          <w:p w14:paraId="724C7616">
            <w:pPr>
              <w:jc w:val="center"/>
              <w:rPr>
                <w:highlight w:val="none"/>
              </w:rPr>
            </w:pPr>
            <w:r>
              <w:rPr>
                <w:rFonts w:hint="eastAsia"/>
                <w:highlight w:val="none"/>
              </w:rPr>
              <w:t>安全事件处置</w:t>
            </w:r>
          </w:p>
        </w:tc>
        <w:tc>
          <w:tcPr>
            <w:tcW w:w="6368" w:type="dxa"/>
            <w:tcBorders>
              <w:top w:val="single" w:color="auto" w:sz="4" w:space="0"/>
              <w:left w:val="single" w:color="auto" w:sz="4" w:space="0"/>
              <w:bottom w:val="single" w:color="auto" w:sz="4" w:space="0"/>
              <w:right w:val="single" w:color="auto" w:sz="4" w:space="0"/>
            </w:tcBorders>
            <w:noWrap w:val="0"/>
            <w:vAlign w:val="center"/>
          </w:tcPr>
          <w:p w14:paraId="0312ADD7">
            <w:pPr>
              <w:rPr>
                <w:highlight w:val="none"/>
              </w:rPr>
            </w:pPr>
            <w:r>
              <w:rPr>
                <w:rFonts w:hint="eastAsia"/>
                <w:highlight w:val="none"/>
              </w:rPr>
              <w:t>a)应及时向安全管理部门报告所发现的安全弱点和可疑事件。</w:t>
            </w:r>
          </w:p>
        </w:tc>
      </w:tr>
      <w:tr w14:paraId="572C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continue"/>
            <w:tcBorders>
              <w:left w:val="single" w:color="auto" w:sz="4" w:space="0"/>
              <w:right w:val="single" w:color="auto" w:sz="4" w:space="0"/>
            </w:tcBorders>
            <w:noWrap w:val="0"/>
            <w:vAlign w:val="center"/>
          </w:tcPr>
          <w:p w14:paraId="164C6BBF">
            <w:pPr>
              <w:jc w:val="center"/>
              <w:rPr>
                <w:highlight w:val="none"/>
              </w:rPr>
            </w:pPr>
          </w:p>
        </w:tc>
        <w:tc>
          <w:tcPr>
            <w:tcW w:w="1777" w:type="dxa"/>
            <w:vMerge w:val="continue"/>
            <w:tcBorders>
              <w:left w:val="single" w:color="auto" w:sz="4" w:space="0"/>
              <w:right w:val="single" w:color="auto" w:sz="4" w:space="0"/>
            </w:tcBorders>
            <w:noWrap w:val="0"/>
            <w:vAlign w:val="center"/>
          </w:tcPr>
          <w:p w14:paraId="39096B08">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50DC8D66">
            <w:pPr>
              <w:rPr>
                <w:highlight w:val="none"/>
              </w:rPr>
            </w:pPr>
            <w:r>
              <w:rPr>
                <w:rFonts w:hint="eastAsia"/>
                <w:highlight w:val="none"/>
              </w:rPr>
              <w:t>b)应制定安全事件报告和处置管理制度，明确不同安全事件的报告、处置和响应流程， 规定安全事件的现场处理、事件报告和后期恢复的管理职责等。</w:t>
            </w:r>
          </w:p>
        </w:tc>
      </w:tr>
      <w:tr w14:paraId="5C26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continue"/>
            <w:tcBorders>
              <w:left w:val="single" w:color="auto" w:sz="4" w:space="0"/>
              <w:right w:val="single" w:color="auto" w:sz="4" w:space="0"/>
            </w:tcBorders>
            <w:noWrap w:val="0"/>
            <w:vAlign w:val="center"/>
          </w:tcPr>
          <w:p w14:paraId="4C26850F">
            <w:pPr>
              <w:jc w:val="center"/>
              <w:rPr>
                <w:highlight w:val="none"/>
              </w:rPr>
            </w:pPr>
          </w:p>
        </w:tc>
        <w:tc>
          <w:tcPr>
            <w:tcW w:w="1777" w:type="dxa"/>
            <w:vMerge w:val="continue"/>
            <w:tcBorders>
              <w:left w:val="single" w:color="auto" w:sz="4" w:space="0"/>
              <w:right w:val="single" w:color="auto" w:sz="4" w:space="0"/>
            </w:tcBorders>
            <w:noWrap w:val="0"/>
            <w:vAlign w:val="center"/>
          </w:tcPr>
          <w:p w14:paraId="4C71AA96">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58A8E9D0">
            <w:pPr>
              <w:rPr>
                <w:highlight w:val="none"/>
              </w:rPr>
            </w:pPr>
            <w:r>
              <w:rPr>
                <w:rFonts w:hint="eastAsia"/>
                <w:highlight w:val="none"/>
              </w:rPr>
              <w:t>c)应在安全事件报告和响应处理过程中，分析和鉴定事件产生的原因，收集证据，记录 处理过程，总结经验教训。</w:t>
            </w:r>
          </w:p>
        </w:tc>
      </w:tr>
      <w:tr w14:paraId="2038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bottom w:val="single" w:color="auto" w:sz="4" w:space="0"/>
              <w:right w:val="single" w:color="auto" w:sz="4" w:space="0"/>
            </w:tcBorders>
            <w:noWrap w:val="0"/>
            <w:vAlign w:val="center"/>
          </w:tcPr>
          <w:p w14:paraId="1054EE31">
            <w:pPr>
              <w:jc w:val="center"/>
              <w:rPr>
                <w:highlight w:val="none"/>
              </w:rPr>
            </w:pPr>
          </w:p>
        </w:tc>
        <w:tc>
          <w:tcPr>
            <w:tcW w:w="1777" w:type="dxa"/>
            <w:vMerge w:val="continue"/>
            <w:tcBorders>
              <w:left w:val="single" w:color="auto" w:sz="4" w:space="0"/>
              <w:bottom w:val="single" w:color="auto" w:sz="4" w:space="0"/>
              <w:right w:val="single" w:color="auto" w:sz="4" w:space="0"/>
            </w:tcBorders>
            <w:noWrap w:val="0"/>
            <w:vAlign w:val="center"/>
          </w:tcPr>
          <w:p w14:paraId="319F0894">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7476B510">
            <w:pPr>
              <w:rPr>
                <w:highlight w:val="none"/>
              </w:rPr>
            </w:pPr>
            <w:r>
              <w:rPr>
                <w:rFonts w:hint="eastAsia"/>
                <w:highlight w:val="none"/>
              </w:rPr>
              <w:t>d)对造成系统中断和造成信息泄露的重大安全事件采用不同的处理程序和报告程序。</w:t>
            </w:r>
          </w:p>
        </w:tc>
      </w:tr>
      <w:tr w14:paraId="4A95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restart"/>
            <w:tcBorders>
              <w:top w:val="single" w:color="auto" w:sz="4" w:space="0"/>
              <w:left w:val="single" w:color="auto" w:sz="4" w:space="0"/>
              <w:right w:val="single" w:color="auto" w:sz="4" w:space="0"/>
            </w:tcBorders>
            <w:noWrap w:val="0"/>
            <w:vAlign w:val="center"/>
          </w:tcPr>
          <w:p w14:paraId="23BE7257">
            <w:pPr>
              <w:jc w:val="center"/>
              <w:rPr>
                <w:rFonts w:hint="default" w:eastAsia="宋体"/>
                <w:highlight w:val="none"/>
                <w:lang w:val="en-US" w:eastAsia="zh-CN"/>
              </w:rPr>
            </w:pPr>
            <w:r>
              <w:rPr>
                <w:rFonts w:hint="eastAsia"/>
                <w:highlight w:val="none"/>
                <w:lang w:val="en-US" w:eastAsia="zh-CN"/>
              </w:rPr>
              <w:t>14</w:t>
            </w:r>
          </w:p>
        </w:tc>
        <w:tc>
          <w:tcPr>
            <w:tcW w:w="1777" w:type="dxa"/>
            <w:vMerge w:val="restart"/>
            <w:tcBorders>
              <w:top w:val="single" w:color="auto" w:sz="4" w:space="0"/>
              <w:left w:val="single" w:color="auto" w:sz="4" w:space="0"/>
              <w:right w:val="single" w:color="auto" w:sz="4" w:space="0"/>
            </w:tcBorders>
            <w:noWrap w:val="0"/>
            <w:vAlign w:val="center"/>
          </w:tcPr>
          <w:p w14:paraId="54D8BCF8">
            <w:pPr>
              <w:jc w:val="center"/>
              <w:rPr>
                <w:highlight w:val="none"/>
              </w:rPr>
            </w:pPr>
            <w:r>
              <w:rPr>
                <w:rFonts w:hint="eastAsia"/>
                <w:highlight w:val="none"/>
              </w:rPr>
              <w:t>应急预案管理</w:t>
            </w:r>
          </w:p>
        </w:tc>
        <w:tc>
          <w:tcPr>
            <w:tcW w:w="6368" w:type="dxa"/>
            <w:tcBorders>
              <w:top w:val="single" w:color="auto" w:sz="4" w:space="0"/>
              <w:left w:val="single" w:color="auto" w:sz="4" w:space="0"/>
              <w:bottom w:val="single" w:color="auto" w:sz="4" w:space="0"/>
              <w:right w:val="single" w:color="auto" w:sz="4" w:space="0"/>
            </w:tcBorders>
            <w:noWrap w:val="0"/>
            <w:vAlign w:val="center"/>
          </w:tcPr>
          <w:p w14:paraId="11D1F9E5">
            <w:pPr>
              <w:rPr>
                <w:highlight w:val="none"/>
              </w:rPr>
            </w:pPr>
            <w:r>
              <w:rPr>
                <w:rFonts w:hint="eastAsia"/>
                <w:highlight w:val="none"/>
              </w:rPr>
              <w:t>a)应规定统 一 的应急预案框架，包括启动预案的条件、应急组织构成、应急资源保障、事后教育和培训等内容。</w:t>
            </w:r>
          </w:p>
        </w:tc>
      </w:tr>
      <w:tr w14:paraId="3C49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right w:val="single" w:color="auto" w:sz="4" w:space="0"/>
            </w:tcBorders>
            <w:noWrap w:val="0"/>
            <w:vAlign w:val="center"/>
          </w:tcPr>
          <w:p w14:paraId="17291C5A">
            <w:pPr>
              <w:jc w:val="center"/>
              <w:rPr>
                <w:highlight w:val="none"/>
              </w:rPr>
            </w:pPr>
          </w:p>
        </w:tc>
        <w:tc>
          <w:tcPr>
            <w:tcW w:w="1777" w:type="dxa"/>
            <w:vMerge w:val="continue"/>
            <w:tcBorders>
              <w:left w:val="single" w:color="auto" w:sz="4" w:space="0"/>
              <w:right w:val="single" w:color="auto" w:sz="4" w:space="0"/>
            </w:tcBorders>
            <w:noWrap w:val="0"/>
            <w:vAlign w:val="center"/>
          </w:tcPr>
          <w:p w14:paraId="4AB80AC3">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78E578E7">
            <w:pPr>
              <w:rPr>
                <w:highlight w:val="none"/>
              </w:rPr>
            </w:pPr>
            <w:r>
              <w:rPr>
                <w:rFonts w:hint="eastAsia"/>
                <w:highlight w:val="none"/>
              </w:rPr>
              <w:t>b)应制定重要事件的应急预案，包括应急处理流程、系统恢复流程等内容</w:t>
            </w:r>
          </w:p>
        </w:tc>
      </w:tr>
      <w:tr w14:paraId="4559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right w:val="single" w:color="auto" w:sz="4" w:space="0"/>
            </w:tcBorders>
            <w:noWrap w:val="0"/>
            <w:vAlign w:val="center"/>
          </w:tcPr>
          <w:p w14:paraId="1B313BAA">
            <w:pPr>
              <w:jc w:val="center"/>
              <w:rPr>
                <w:highlight w:val="none"/>
              </w:rPr>
            </w:pPr>
          </w:p>
        </w:tc>
        <w:tc>
          <w:tcPr>
            <w:tcW w:w="1777" w:type="dxa"/>
            <w:vMerge w:val="continue"/>
            <w:tcBorders>
              <w:left w:val="single" w:color="auto" w:sz="4" w:space="0"/>
              <w:right w:val="single" w:color="auto" w:sz="4" w:space="0"/>
            </w:tcBorders>
            <w:noWrap w:val="0"/>
            <w:vAlign w:val="center"/>
          </w:tcPr>
          <w:p w14:paraId="7EBD0AA1">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5CDF8578">
            <w:pPr>
              <w:rPr>
                <w:highlight w:val="none"/>
              </w:rPr>
            </w:pPr>
            <w:r>
              <w:rPr>
                <w:rFonts w:hint="eastAsia"/>
                <w:highlight w:val="none"/>
              </w:rPr>
              <w:t>c)应定期对系统相关的人员进行应急预案培训，并进行应急预案的演练。</w:t>
            </w:r>
          </w:p>
        </w:tc>
      </w:tr>
      <w:tr w14:paraId="21C2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853" w:type="dxa"/>
            <w:vMerge w:val="continue"/>
            <w:tcBorders>
              <w:left w:val="single" w:color="auto" w:sz="4" w:space="0"/>
              <w:bottom w:val="single" w:color="auto" w:sz="4" w:space="0"/>
              <w:right w:val="single" w:color="auto" w:sz="4" w:space="0"/>
            </w:tcBorders>
            <w:noWrap w:val="0"/>
            <w:vAlign w:val="center"/>
          </w:tcPr>
          <w:p w14:paraId="1956E5C0">
            <w:pPr>
              <w:jc w:val="center"/>
              <w:rPr>
                <w:highlight w:val="none"/>
              </w:rPr>
            </w:pPr>
          </w:p>
        </w:tc>
        <w:tc>
          <w:tcPr>
            <w:tcW w:w="1777" w:type="dxa"/>
            <w:vMerge w:val="continue"/>
            <w:tcBorders>
              <w:left w:val="single" w:color="auto" w:sz="4" w:space="0"/>
              <w:bottom w:val="single" w:color="auto" w:sz="4" w:space="0"/>
              <w:right w:val="single" w:color="auto" w:sz="4" w:space="0"/>
            </w:tcBorders>
            <w:noWrap w:val="0"/>
            <w:vAlign w:val="center"/>
          </w:tcPr>
          <w:p w14:paraId="5EDDE7A1">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374ABF3D">
            <w:pPr>
              <w:rPr>
                <w:highlight w:val="none"/>
              </w:rPr>
            </w:pPr>
            <w:r>
              <w:rPr>
                <w:rFonts w:hint="eastAsia"/>
                <w:highlight w:val="none"/>
              </w:rPr>
              <w:t>d）应定期对原有的应急预案重新评估，修订完善</w:t>
            </w:r>
          </w:p>
        </w:tc>
      </w:tr>
      <w:tr w14:paraId="0640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853" w:type="dxa"/>
            <w:vMerge w:val="restart"/>
            <w:tcBorders>
              <w:top w:val="single" w:color="auto" w:sz="4" w:space="0"/>
              <w:left w:val="single" w:color="auto" w:sz="4" w:space="0"/>
              <w:right w:val="single" w:color="auto" w:sz="4" w:space="0"/>
            </w:tcBorders>
            <w:noWrap w:val="0"/>
            <w:vAlign w:val="center"/>
          </w:tcPr>
          <w:p w14:paraId="6DF38092">
            <w:pPr>
              <w:jc w:val="center"/>
              <w:rPr>
                <w:rFonts w:hint="default" w:eastAsia="宋体"/>
                <w:highlight w:val="none"/>
                <w:lang w:val="en-US" w:eastAsia="zh-CN"/>
              </w:rPr>
            </w:pPr>
            <w:r>
              <w:rPr>
                <w:rFonts w:hint="eastAsia"/>
                <w:highlight w:val="none"/>
                <w:lang w:val="en-US" w:eastAsia="zh-CN"/>
              </w:rPr>
              <w:t>15</w:t>
            </w:r>
          </w:p>
        </w:tc>
        <w:tc>
          <w:tcPr>
            <w:tcW w:w="1777" w:type="dxa"/>
            <w:vMerge w:val="restart"/>
            <w:tcBorders>
              <w:top w:val="single" w:color="auto" w:sz="4" w:space="0"/>
              <w:left w:val="single" w:color="auto" w:sz="4" w:space="0"/>
              <w:right w:val="single" w:color="auto" w:sz="4" w:space="0"/>
            </w:tcBorders>
            <w:noWrap w:val="0"/>
            <w:vAlign w:val="center"/>
          </w:tcPr>
          <w:p w14:paraId="3D6E1078">
            <w:pPr>
              <w:jc w:val="center"/>
              <w:rPr>
                <w:highlight w:val="none"/>
              </w:rPr>
            </w:pPr>
            <w:r>
              <w:rPr>
                <w:rFonts w:hint="eastAsia"/>
                <w:highlight w:val="none"/>
              </w:rPr>
              <w:t>外包运维管理</w:t>
            </w:r>
          </w:p>
        </w:tc>
        <w:tc>
          <w:tcPr>
            <w:tcW w:w="6368" w:type="dxa"/>
            <w:tcBorders>
              <w:top w:val="single" w:color="auto" w:sz="4" w:space="0"/>
              <w:left w:val="single" w:color="auto" w:sz="4" w:space="0"/>
              <w:bottom w:val="single" w:color="auto" w:sz="4" w:space="0"/>
              <w:right w:val="single" w:color="auto" w:sz="4" w:space="0"/>
            </w:tcBorders>
            <w:noWrap w:val="0"/>
            <w:vAlign w:val="center"/>
          </w:tcPr>
          <w:p w14:paraId="7D65CB3C">
            <w:pPr>
              <w:rPr>
                <w:highlight w:val="none"/>
              </w:rPr>
            </w:pPr>
            <w:r>
              <w:rPr>
                <w:rFonts w:hint="eastAsia"/>
                <w:highlight w:val="none"/>
              </w:rPr>
              <w:t>a)应确保外包运维服务商的选择符合国家的有关规定。</w:t>
            </w:r>
          </w:p>
        </w:tc>
      </w:tr>
      <w:tr w14:paraId="5B7F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right w:val="single" w:color="auto" w:sz="4" w:space="0"/>
            </w:tcBorders>
            <w:noWrap w:val="0"/>
            <w:vAlign w:val="center"/>
          </w:tcPr>
          <w:p w14:paraId="30610AE3">
            <w:pPr>
              <w:rPr>
                <w:highlight w:val="none"/>
              </w:rPr>
            </w:pPr>
          </w:p>
        </w:tc>
        <w:tc>
          <w:tcPr>
            <w:tcW w:w="1777" w:type="dxa"/>
            <w:vMerge w:val="continue"/>
            <w:tcBorders>
              <w:left w:val="single" w:color="auto" w:sz="4" w:space="0"/>
              <w:right w:val="single" w:color="auto" w:sz="4" w:space="0"/>
            </w:tcBorders>
            <w:noWrap w:val="0"/>
            <w:vAlign w:val="center"/>
          </w:tcPr>
          <w:p w14:paraId="7E1AA4DD">
            <w:pP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2FB381FC">
            <w:pPr>
              <w:rPr>
                <w:highlight w:val="none"/>
              </w:rPr>
            </w:pPr>
            <w:r>
              <w:rPr>
                <w:rFonts w:hint="eastAsia"/>
                <w:highlight w:val="none"/>
              </w:rPr>
              <w:t>b)应与选定的外包运维服务商签订相关的协议，明确约定外包运维的范围、工作内容。</w:t>
            </w:r>
          </w:p>
        </w:tc>
      </w:tr>
      <w:tr w14:paraId="781A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continue"/>
            <w:tcBorders>
              <w:left w:val="single" w:color="auto" w:sz="4" w:space="0"/>
              <w:right w:val="single" w:color="auto" w:sz="4" w:space="0"/>
            </w:tcBorders>
            <w:noWrap w:val="0"/>
            <w:vAlign w:val="center"/>
          </w:tcPr>
          <w:p w14:paraId="0FF64B2F">
            <w:pPr>
              <w:rPr>
                <w:highlight w:val="none"/>
              </w:rPr>
            </w:pPr>
          </w:p>
        </w:tc>
        <w:tc>
          <w:tcPr>
            <w:tcW w:w="1777" w:type="dxa"/>
            <w:vMerge w:val="continue"/>
            <w:tcBorders>
              <w:left w:val="single" w:color="auto" w:sz="4" w:space="0"/>
              <w:right w:val="single" w:color="auto" w:sz="4" w:space="0"/>
            </w:tcBorders>
            <w:noWrap w:val="0"/>
            <w:vAlign w:val="center"/>
          </w:tcPr>
          <w:p w14:paraId="626AD73A">
            <w:pP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3748578B">
            <w:pPr>
              <w:rPr>
                <w:highlight w:val="none"/>
              </w:rPr>
            </w:pPr>
            <w:r>
              <w:rPr>
                <w:rFonts w:hint="eastAsia"/>
                <w:highlight w:val="none"/>
              </w:rPr>
              <w:t>c)应保证选择的外包运维服务商在技术和管理方面均应具有按照等级保护要求开展 安全运维工作的能力，并将能力要求在签订的协议中明确。</w:t>
            </w:r>
          </w:p>
        </w:tc>
      </w:tr>
      <w:tr w14:paraId="2BF2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blHeader/>
          <w:jc w:val="center"/>
        </w:trPr>
        <w:tc>
          <w:tcPr>
            <w:tcW w:w="853" w:type="dxa"/>
            <w:vMerge w:val="continue"/>
            <w:tcBorders>
              <w:left w:val="single" w:color="auto" w:sz="4" w:space="0"/>
              <w:bottom w:val="single" w:color="auto" w:sz="4" w:space="0"/>
              <w:right w:val="single" w:color="auto" w:sz="4" w:space="0"/>
            </w:tcBorders>
            <w:noWrap w:val="0"/>
            <w:vAlign w:val="center"/>
          </w:tcPr>
          <w:p w14:paraId="053308DE">
            <w:pPr>
              <w:rPr>
                <w:highlight w:val="none"/>
              </w:rPr>
            </w:pPr>
          </w:p>
        </w:tc>
        <w:tc>
          <w:tcPr>
            <w:tcW w:w="1777" w:type="dxa"/>
            <w:vMerge w:val="continue"/>
            <w:tcBorders>
              <w:left w:val="single" w:color="auto" w:sz="4" w:space="0"/>
              <w:bottom w:val="single" w:color="auto" w:sz="4" w:space="0"/>
              <w:right w:val="single" w:color="auto" w:sz="4" w:space="0"/>
            </w:tcBorders>
            <w:noWrap w:val="0"/>
            <w:vAlign w:val="center"/>
          </w:tcPr>
          <w:p w14:paraId="24F9E029">
            <w:pP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7FF55203">
            <w:pPr>
              <w:rPr>
                <w:highlight w:val="none"/>
              </w:rPr>
            </w:pPr>
            <w:r>
              <w:rPr>
                <w:rFonts w:hint="eastAsia"/>
                <w:highlight w:val="none"/>
              </w:rPr>
              <w:t>d)应在与外包运维服务商签订的协议中明确所有相关的安全要求，如可能涉及对敏感 信息的访问、处理、存储要求，对IT基础设施中断服务的应急保障要求等。</w:t>
            </w:r>
          </w:p>
        </w:tc>
      </w:tr>
    </w:tbl>
    <w:p w14:paraId="280870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bidi="ar-SA"/>
        </w:rPr>
        <w:t>（四）</w:t>
      </w:r>
      <w:r>
        <w:rPr>
          <w:rFonts w:hint="eastAsia" w:ascii="宋体" w:hAnsi="宋体" w:eastAsia="宋体" w:cs="宋体"/>
          <w:kern w:val="0"/>
          <w:sz w:val="24"/>
          <w:szCs w:val="24"/>
          <w:highlight w:val="none"/>
          <w:lang w:val="en-US" w:eastAsia="zh-CN"/>
        </w:rPr>
        <w:t>质量要求：</w:t>
      </w:r>
    </w:p>
    <w:p w14:paraId="3F80F2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1.遵守国家有关法律法规和技术标准，提供安全、客观、公正的检测评估服务，保证测评的质量和效果。</w:t>
      </w:r>
    </w:p>
    <w:p w14:paraId="11C182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2.保守在测评活动中知悉的国家秘密、商业秘密和个人隐私，防范测评风险。</w:t>
      </w:r>
    </w:p>
    <w:p w14:paraId="293D2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3.对测评人员进行安全保密教育，与其签订安全保密责任书，规定应当履行的安全保密义务和承担的法律责任，并负责检查落实。</w:t>
      </w:r>
    </w:p>
    <w:p w14:paraId="65EB34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4.使用的技术装备、设施应当符合本办法对信息安全产品的要求。</w:t>
      </w:r>
    </w:p>
    <w:p w14:paraId="2057E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5.供应商应参照《网络安全等级保护基本要求》GB/T 22239-2019标准对被测的信息系统提出建设整改建议和系统整改方案，协助其所有被测系统整改达到等级保护相应级别的标准和要求，出具《信息系统安全等级测评报告》；并对现有被测评的系统进行梳理，协助用户撰写定级报告和备案表、协助到公安部门办理系统备案手续，使系统能够取得公安部门颁发的《信息系统安全等级保护备案证明》。</w:t>
      </w:r>
    </w:p>
    <w:p w14:paraId="500620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（五）服务团队要求：</w:t>
      </w:r>
    </w:p>
    <w:p w14:paraId="22A62B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供应商应为本项目配备具有丰富经验的测评团队，包含项目经理1名、现场测评人员不少于4名，其中项目经理可由现场测评人员兼任（供应商拟派测评团队人员须是本单位的正式员工，提供人员2025年1月至投标截止之日起任意3个月的社保证明）。</w:t>
      </w:r>
    </w:p>
    <w:p w14:paraId="04A156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2.项目经理具有3年及以上信息系统等保测评工作经验，具有中级信息安全等级测评师及以上证书（提供项目经理工作年限证明及证书复印件）。</w:t>
      </w:r>
    </w:p>
    <w:p w14:paraId="5CEA34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ascii="宋体" w:hAnsi="宋体" w:eastAsia="宋体" w:cs="宋体"/>
          <w:kern w:val="0"/>
          <w:sz w:val="24"/>
          <w:szCs w:val="24"/>
          <w:highlight w:val="none"/>
          <w:lang w:val="en-US" w:eastAsia="zh-CN"/>
        </w:rPr>
        <w:t>3.现场测评人员具有1年及以上信息系统等保测评工作经验，具有信息安全等级测评师（DJCP）资质或具备高级工程师技术职称（提供现场测评人员工作年限证明及证书复印件）。</w:t>
      </w:r>
      <w:r>
        <w:rPr>
          <w:rFonts w:hint="eastAsia"/>
          <w:highlight w:val="none"/>
          <w:lang w:val="en-US" w:eastAsia="zh-CN"/>
        </w:rPr>
        <w:br w:type="page"/>
      </w:r>
    </w:p>
    <w:bookmarkEnd w:id="34"/>
    <w:bookmarkEnd w:id="35"/>
    <w:p w14:paraId="593300C6">
      <w:pPr>
        <w:pStyle w:val="4"/>
        <w:rPr>
          <w:rStyle w:val="49"/>
          <w:rFonts w:hint="eastAsia" w:ascii="宋体" w:hAnsi="宋体" w:eastAsia="宋体" w:cs="宋体"/>
          <w:sz w:val="24"/>
          <w:szCs w:val="24"/>
          <w:highlight w:val="none"/>
          <w:lang w:val="en-US" w:eastAsia="zh-CN"/>
        </w:rPr>
      </w:pPr>
      <w:bookmarkStart w:id="36" w:name="_Toc10465"/>
      <w:bookmarkStart w:id="37" w:name="_Toc114771993"/>
      <w:r>
        <w:rPr>
          <w:rStyle w:val="49"/>
          <w:rFonts w:hint="eastAsia" w:ascii="宋体" w:hAnsi="宋体" w:eastAsia="宋体" w:cs="宋体"/>
          <w:sz w:val="24"/>
          <w:szCs w:val="24"/>
          <w:highlight w:val="none"/>
          <w:lang w:val="en-US" w:eastAsia="zh-CN"/>
        </w:rPr>
        <w:t>三、商务要求</w:t>
      </w:r>
      <w:bookmarkEnd w:id="36"/>
      <w:bookmarkEnd w:id="37"/>
    </w:p>
    <w:tbl>
      <w:tblPr>
        <w:tblStyle w:val="25"/>
        <w:tblW w:w="94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789"/>
        <w:gridCol w:w="6979"/>
      </w:tblGrid>
      <w:tr w14:paraId="680EF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blHeader/>
          <w:jc w:val="center"/>
        </w:trPr>
        <w:tc>
          <w:tcPr>
            <w:tcW w:w="703" w:type="dxa"/>
            <w:tcBorders>
              <w:tl2br w:val="nil"/>
              <w:tr2bl w:val="nil"/>
            </w:tcBorders>
            <w:shd w:val="clear" w:color="auto" w:fill="D0CECE"/>
            <w:vAlign w:val="center"/>
          </w:tcPr>
          <w:p w14:paraId="0D45D36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lang w:bidi="ar"/>
              </w:rPr>
              <w:t>序号</w:t>
            </w:r>
          </w:p>
        </w:tc>
        <w:tc>
          <w:tcPr>
            <w:tcW w:w="1789" w:type="dxa"/>
            <w:tcBorders>
              <w:tl2br w:val="nil"/>
              <w:tr2bl w:val="nil"/>
            </w:tcBorders>
            <w:shd w:val="clear" w:color="auto" w:fill="D0CECE"/>
            <w:vAlign w:val="center"/>
          </w:tcPr>
          <w:p w14:paraId="68BA555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lang w:bidi="ar"/>
              </w:rPr>
              <w:t>指标项</w:t>
            </w:r>
          </w:p>
        </w:tc>
        <w:tc>
          <w:tcPr>
            <w:tcW w:w="6979" w:type="dxa"/>
            <w:tcBorders>
              <w:tl2br w:val="nil"/>
              <w:tr2bl w:val="nil"/>
            </w:tcBorders>
            <w:shd w:val="clear" w:color="auto" w:fill="D0CECE"/>
            <w:vAlign w:val="center"/>
          </w:tcPr>
          <w:p w14:paraId="2555D97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lang w:bidi="ar"/>
              </w:rPr>
              <w:t>指标要求</w:t>
            </w:r>
          </w:p>
        </w:tc>
      </w:tr>
      <w:tr w14:paraId="7E15B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4" w:hRule="atLeast"/>
          <w:jc w:val="center"/>
        </w:trPr>
        <w:tc>
          <w:tcPr>
            <w:tcW w:w="703" w:type="dxa"/>
            <w:tcBorders>
              <w:tl2br w:val="nil"/>
              <w:tr2bl w:val="nil"/>
            </w:tcBorders>
            <w:shd w:val="clear" w:color="auto" w:fill="auto"/>
            <w:vAlign w:val="center"/>
          </w:tcPr>
          <w:p w14:paraId="2045B255">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3F05078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lang w:bidi="ar"/>
              </w:rPr>
            </w:pPr>
            <w:r>
              <w:rPr>
                <w:rFonts w:hint="eastAsia" w:cs="Times New Roman"/>
                <w:kern w:val="0"/>
                <w:sz w:val="21"/>
                <w:szCs w:val="21"/>
                <w:highlight w:val="none"/>
                <w:lang w:val="en-US" w:eastAsia="zh-CN" w:bidi="ar"/>
              </w:rPr>
              <w:t>响应</w:t>
            </w:r>
            <w:r>
              <w:rPr>
                <w:rFonts w:hint="default" w:ascii="Times New Roman" w:hAnsi="Times New Roman" w:eastAsia="宋体" w:cs="Times New Roman"/>
                <w:kern w:val="0"/>
                <w:sz w:val="21"/>
                <w:szCs w:val="21"/>
                <w:highlight w:val="none"/>
                <w:lang w:bidi="ar"/>
              </w:rPr>
              <w:t>报价</w:t>
            </w:r>
          </w:p>
        </w:tc>
        <w:tc>
          <w:tcPr>
            <w:tcW w:w="6979" w:type="dxa"/>
            <w:tcBorders>
              <w:tl2br w:val="nil"/>
              <w:tr2bl w:val="nil"/>
            </w:tcBorders>
            <w:shd w:val="clear" w:color="auto" w:fill="auto"/>
            <w:vAlign w:val="center"/>
          </w:tcPr>
          <w:p w14:paraId="4CE3F3F1">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 w:val="21"/>
                <w:szCs w:val="21"/>
                <w:highlight w:val="none"/>
                <w:lang w:val="en-US" w:eastAsia="zh-CN" w:bidi="ar"/>
              </w:rPr>
            </w:pPr>
            <w:r>
              <w:rPr>
                <w:rFonts w:hint="default" w:ascii="Times New Roman" w:hAnsi="Times New Roman" w:cs="Times New Roman"/>
                <w:sz w:val="21"/>
                <w:szCs w:val="21"/>
                <w:highlight w:val="none"/>
                <w:lang w:val="en-US" w:eastAsia="zh-CN" w:bidi="ar"/>
              </w:rPr>
              <w:t>（1）本项目报价币种为人民币，供应商报价不得超过限价，否则按无效响应处理</w:t>
            </w:r>
            <w:r>
              <w:rPr>
                <w:rFonts w:hint="eastAsia" w:cs="Times New Roman"/>
                <w:sz w:val="21"/>
                <w:szCs w:val="21"/>
                <w:highlight w:val="none"/>
                <w:lang w:val="en-US" w:eastAsia="zh-CN" w:bidi="ar"/>
              </w:rPr>
              <w:t>；</w:t>
            </w:r>
          </w:p>
          <w:p w14:paraId="295ECC89">
            <w:pPr>
              <w:keepNext w:val="0"/>
              <w:keepLines w:val="0"/>
              <w:widowControl/>
              <w:suppressLineNumbers w:val="0"/>
              <w:spacing w:before="0" w:beforeAutospacing="0" w:after="0" w:afterAutospacing="0"/>
              <w:ind w:left="0" w:right="0" w:firstLine="210" w:firstLineChars="100"/>
              <w:rPr>
                <w:rFonts w:hint="default" w:cs="Times New Roman"/>
                <w:sz w:val="21"/>
                <w:szCs w:val="21"/>
                <w:highlight w:val="none"/>
                <w:lang w:val="en-US" w:eastAsia="zh-CN" w:bidi="ar"/>
              </w:rPr>
            </w:pPr>
            <w:r>
              <w:rPr>
                <w:rFonts w:hint="default" w:ascii="Times New Roman" w:hAnsi="Times New Roman" w:cs="Times New Roman"/>
                <w:sz w:val="21"/>
                <w:szCs w:val="21"/>
                <w:highlight w:val="none"/>
                <w:lang w:val="en-US" w:eastAsia="zh-CN" w:bidi="ar"/>
              </w:rPr>
              <w:t>（2）供应商的</w:t>
            </w:r>
            <w:r>
              <w:rPr>
                <w:rFonts w:hint="eastAsia" w:cs="Times New Roman"/>
                <w:sz w:val="21"/>
                <w:szCs w:val="21"/>
                <w:highlight w:val="none"/>
                <w:lang w:val="en-US" w:eastAsia="zh-CN" w:bidi="ar"/>
              </w:rPr>
              <w:t>响应</w:t>
            </w:r>
            <w:r>
              <w:rPr>
                <w:rFonts w:hint="default" w:ascii="Times New Roman" w:hAnsi="Times New Roman" w:cs="Times New Roman"/>
                <w:sz w:val="21"/>
                <w:szCs w:val="21"/>
                <w:highlight w:val="none"/>
                <w:lang w:val="en-US" w:eastAsia="zh-CN" w:bidi="ar"/>
              </w:rPr>
              <w:t>报价是指供应商完成本项目要求的全部工作内容的价格体现</w:t>
            </w:r>
            <w:r>
              <w:rPr>
                <w:rFonts w:hint="eastAsia" w:cs="Times New Roman"/>
                <w:sz w:val="21"/>
                <w:szCs w:val="21"/>
                <w:highlight w:val="none"/>
                <w:lang w:val="en-US" w:eastAsia="zh-CN" w:bidi="ar"/>
              </w:rPr>
              <w:t>，</w:t>
            </w:r>
            <w:r>
              <w:rPr>
                <w:rFonts w:hint="default" w:ascii="Times New Roman" w:hAnsi="Times New Roman" w:cs="Times New Roman"/>
                <w:sz w:val="21"/>
                <w:szCs w:val="21"/>
                <w:highlight w:val="none"/>
                <w:lang w:val="en-US" w:eastAsia="zh-CN" w:bidi="ar"/>
              </w:rPr>
              <w:t>包括</w:t>
            </w:r>
            <w:r>
              <w:rPr>
                <w:rFonts w:hint="eastAsia" w:cs="Times New Roman"/>
                <w:sz w:val="21"/>
                <w:szCs w:val="21"/>
                <w:highlight w:val="none"/>
                <w:lang w:val="en-US" w:eastAsia="zh-CN" w:bidi="ar"/>
              </w:rPr>
              <w:t>但不限于服务人员的工资、五险一金、保险、劳保福利、住宿、管理费、加班费等人工成本以及其他成本</w:t>
            </w:r>
            <w:r>
              <w:rPr>
                <w:rFonts w:hint="default" w:ascii="Times New Roman" w:hAnsi="Times New Roman" w:cs="Times New Roman"/>
                <w:sz w:val="21"/>
                <w:szCs w:val="21"/>
                <w:highlight w:val="none"/>
                <w:lang w:val="en-US" w:eastAsia="zh-CN" w:bidi="ar"/>
              </w:rPr>
              <w:t>等合同义务所有款项，不受任何调价因素的影响，在整个履行合同期间有效，采购人不另外支付</w:t>
            </w:r>
            <w:r>
              <w:rPr>
                <w:rFonts w:hint="eastAsia" w:cs="Times New Roman"/>
                <w:sz w:val="21"/>
                <w:szCs w:val="21"/>
                <w:highlight w:val="none"/>
                <w:lang w:val="en-US" w:eastAsia="zh-CN" w:bidi="ar"/>
              </w:rPr>
              <w:t>。</w:t>
            </w:r>
          </w:p>
        </w:tc>
      </w:tr>
      <w:tr w14:paraId="6326B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3" w:hRule="atLeast"/>
          <w:jc w:val="center"/>
        </w:trPr>
        <w:tc>
          <w:tcPr>
            <w:tcW w:w="703" w:type="dxa"/>
            <w:tcBorders>
              <w:tl2br w:val="nil"/>
              <w:tr2bl w:val="nil"/>
            </w:tcBorders>
            <w:shd w:val="clear" w:color="auto" w:fill="auto"/>
            <w:vAlign w:val="center"/>
          </w:tcPr>
          <w:p w14:paraId="38522B8A">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76DC52A8">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1"/>
                <w:szCs w:val="21"/>
                <w:highlight w:val="none"/>
                <w:lang w:val="en-US" w:eastAsia="zh-CN" w:bidi="ar"/>
              </w:rPr>
            </w:pPr>
            <w:r>
              <w:rPr>
                <w:rFonts w:hint="eastAsia" w:ascii="Times New Roman" w:hAnsi="Times New Roman" w:cs="Times New Roman"/>
                <w:kern w:val="0"/>
                <w:sz w:val="21"/>
                <w:szCs w:val="21"/>
                <w:highlight w:val="none"/>
                <w:lang w:val="en-US" w:eastAsia="zh-CN" w:bidi="ar"/>
              </w:rPr>
              <w:t>付款方式</w:t>
            </w:r>
          </w:p>
        </w:tc>
        <w:tc>
          <w:tcPr>
            <w:tcW w:w="6979" w:type="dxa"/>
            <w:tcBorders>
              <w:tl2br w:val="nil"/>
              <w:tr2bl w:val="nil"/>
            </w:tcBorders>
            <w:shd w:val="clear" w:color="auto" w:fill="auto"/>
            <w:vAlign w:val="center"/>
          </w:tcPr>
          <w:p w14:paraId="4FDF2B1B">
            <w:pPr>
              <w:keepNext w:val="0"/>
              <w:keepLines w:val="0"/>
              <w:widowControl/>
              <w:suppressLineNumbers w:val="0"/>
              <w:spacing w:before="0" w:beforeAutospacing="0" w:after="0" w:afterAutospacing="0"/>
              <w:ind w:left="0" w:right="0" w:firstLine="210" w:firstLineChars="100"/>
              <w:rPr>
                <w:rFonts w:hint="default"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供应商完成恩施机场网络等级保护测评工作，并取得当地公安机关备案回执，报采购人验收。验收合格，供应商开具合同金额100%的增值税专用发票后，采购人向供应商支付合同金额的100%</w:t>
            </w:r>
          </w:p>
        </w:tc>
      </w:tr>
      <w:tr w14:paraId="3E48C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703" w:type="dxa"/>
            <w:tcBorders>
              <w:tl2br w:val="nil"/>
              <w:tr2bl w:val="nil"/>
            </w:tcBorders>
            <w:shd w:val="clear" w:color="auto" w:fill="auto"/>
            <w:vAlign w:val="center"/>
          </w:tcPr>
          <w:p w14:paraId="627B5E95">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249BFF6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lang w:val="en-US" w:eastAsia="zh-CN" w:bidi="ar"/>
              </w:rPr>
            </w:pPr>
            <w:r>
              <w:rPr>
                <w:rFonts w:hint="eastAsia" w:cs="Times New Roman"/>
                <w:kern w:val="0"/>
                <w:sz w:val="21"/>
                <w:szCs w:val="21"/>
                <w:highlight w:val="none"/>
                <w:lang w:val="en-US" w:eastAsia="zh-CN" w:bidi="ar"/>
              </w:rPr>
              <w:t>服务地点</w:t>
            </w:r>
          </w:p>
        </w:tc>
        <w:tc>
          <w:tcPr>
            <w:tcW w:w="6979" w:type="dxa"/>
            <w:tcBorders>
              <w:tl2br w:val="nil"/>
              <w:tr2bl w:val="nil"/>
            </w:tcBorders>
            <w:shd w:val="clear" w:color="auto" w:fill="auto"/>
            <w:vAlign w:val="center"/>
          </w:tcPr>
          <w:p w14:paraId="7311DE90">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宋体" w:cs="Times New Roman"/>
                <w:sz w:val="21"/>
                <w:szCs w:val="21"/>
                <w:highlight w:val="none"/>
                <w:lang w:bidi="ar"/>
              </w:rPr>
            </w:pPr>
            <w:r>
              <w:rPr>
                <w:rFonts w:hint="eastAsia" w:cs="Times New Roman"/>
                <w:sz w:val="21"/>
                <w:szCs w:val="21"/>
                <w:highlight w:val="none"/>
                <w:lang w:val="en-US" w:eastAsia="zh-CN" w:bidi="ar"/>
              </w:rPr>
              <w:t>恩施机场</w:t>
            </w:r>
            <w:r>
              <w:rPr>
                <w:rFonts w:hint="default" w:ascii="Times New Roman" w:hAnsi="Times New Roman" w:eastAsia="宋体" w:cs="Times New Roman"/>
                <w:sz w:val="21"/>
                <w:szCs w:val="21"/>
                <w:highlight w:val="none"/>
                <w:lang w:bidi="ar"/>
              </w:rPr>
              <w:t>。</w:t>
            </w:r>
          </w:p>
        </w:tc>
      </w:tr>
      <w:tr w14:paraId="06AE1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703" w:type="dxa"/>
            <w:tcBorders>
              <w:tl2br w:val="nil"/>
              <w:tr2bl w:val="nil"/>
            </w:tcBorders>
            <w:shd w:val="clear" w:color="auto" w:fill="auto"/>
            <w:vAlign w:val="center"/>
          </w:tcPr>
          <w:p w14:paraId="26557A10">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06F670B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C0C0C"/>
                <w:kern w:val="2"/>
                <w:sz w:val="21"/>
                <w:szCs w:val="21"/>
                <w:highlight w:val="none"/>
                <w:lang w:val="en-US" w:eastAsia="zh-CN" w:bidi="ar"/>
              </w:rPr>
            </w:pPr>
            <w:r>
              <w:rPr>
                <w:rFonts w:hint="eastAsia" w:cs="Times New Roman"/>
                <w:color w:val="0C0C0C"/>
                <w:kern w:val="2"/>
                <w:sz w:val="21"/>
                <w:szCs w:val="21"/>
                <w:highlight w:val="none"/>
                <w:lang w:val="en-US" w:eastAsia="zh-CN" w:bidi="ar"/>
              </w:rPr>
              <w:t>测评期限</w:t>
            </w:r>
          </w:p>
        </w:tc>
        <w:tc>
          <w:tcPr>
            <w:tcW w:w="6979" w:type="dxa"/>
            <w:tcBorders>
              <w:tl2br w:val="nil"/>
              <w:tr2bl w:val="nil"/>
            </w:tcBorders>
            <w:shd w:val="clear" w:color="auto" w:fill="auto"/>
            <w:vAlign w:val="center"/>
          </w:tcPr>
          <w:p w14:paraId="1555F521">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合同签订后35个日历天内，完成等级保护测评工作，45个日历天内取得当地公安机关备案回执。</w:t>
            </w:r>
          </w:p>
        </w:tc>
      </w:tr>
    </w:tbl>
    <w:p w14:paraId="288C4DEE">
      <w:pPr>
        <w:pStyle w:val="34"/>
        <w:pageBreakBefore w:val="0"/>
        <w:kinsoku/>
        <w:wordWrap/>
        <w:overflowPunct/>
        <w:topLinePunct w:val="0"/>
        <w:bidi w:val="0"/>
        <w:spacing w:line="360" w:lineRule="auto"/>
        <w:ind w:firstLine="420"/>
        <w:textAlignment w:val="auto"/>
        <w:rPr>
          <w:rFonts w:hint="eastAsia" w:ascii="宋体" w:hAnsi="宋体" w:cs="宋体"/>
          <w:b/>
          <w:bCs/>
          <w:sz w:val="28"/>
          <w:szCs w:val="16"/>
          <w:highlight w:val="none"/>
        </w:rPr>
      </w:pPr>
      <w:r>
        <w:rPr>
          <w:rFonts w:hint="eastAsia" w:ascii="宋体" w:hAnsi="宋体" w:cs="宋体"/>
          <w:b/>
          <w:bCs/>
          <w:sz w:val="28"/>
          <w:szCs w:val="16"/>
          <w:highlight w:val="none"/>
        </w:rPr>
        <w:br w:type="page"/>
      </w:r>
    </w:p>
    <w:tbl>
      <w:tblPr>
        <w:tblStyle w:val="25"/>
        <w:tblW w:w="94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789"/>
        <w:gridCol w:w="6972"/>
      </w:tblGrid>
      <w:tr w14:paraId="0C61E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blHeader/>
          <w:jc w:val="center"/>
        </w:trPr>
        <w:tc>
          <w:tcPr>
            <w:tcW w:w="703" w:type="dxa"/>
            <w:tcBorders>
              <w:tl2br w:val="nil"/>
              <w:tr2bl w:val="nil"/>
            </w:tcBorders>
            <w:shd w:val="clear" w:color="auto" w:fill="D0CECE"/>
            <w:vAlign w:val="center"/>
          </w:tcPr>
          <w:p w14:paraId="0F118D8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bookmarkStart w:id="38" w:name="_Toc31052"/>
            <w:bookmarkStart w:id="39" w:name="_Toc4696"/>
            <w:r>
              <w:rPr>
                <w:rFonts w:hint="default" w:ascii="Times New Roman" w:hAnsi="Times New Roman" w:eastAsia="宋体" w:cs="Times New Roman"/>
                <w:b/>
                <w:bCs/>
                <w:sz w:val="21"/>
                <w:szCs w:val="21"/>
                <w:highlight w:val="none"/>
                <w:lang w:bidi="ar"/>
              </w:rPr>
              <w:t>序号</w:t>
            </w:r>
          </w:p>
        </w:tc>
        <w:tc>
          <w:tcPr>
            <w:tcW w:w="1789" w:type="dxa"/>
            <w:tcBorders>
              <w:tl2br w:val="nil"/>
              <w:tr2bl w:val="nil"/>
            </w:tcBorders>
            <w:shd w:val="clear" w:color="auto" w:fill="D0CECE"/>
            <w:vAlign w:val="center"/>
          </w:tcPr>
          <w:p w14:paraId="283BE23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lang w:bidi="ar"/>
              </w:rPr>
              <w:t>指标项</w:t>
            </w:r>
          </w:p>
        </w:tc>
        <w:tc>
          <w:tcPr>
            <w:tcW w:w="6972" w:type="dxa"/>
            <w:tcBorders>
              <w:tl2br w:val="nil"/>
              <w:tr2bl w:val="nil"/>
            </w:tcBorders>
            <w:shd w:val="clear" w:color="auto" w:fill="D0CECE"/>
            <w:vAlign w:val="center"/>
          </w:tcPr>
          <w:p w14:paraId="539A833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lang w:bidi="ar"/>
              </w:rPr>
              <w:t>指标要求</w:t>
            </w:r>
          </w:p>
        </w:tc>
      </w:tr>
      <w:tr w14:paraId="0CE2D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atLeast"/>
          <w:jc w:val="center"/>
        </w:trPr>
        <w:tc>
          <w:tcPr>
            <w:tcW w:w="703" w:type="dxa"/>
            <w:tcBorders>
              <w:tl2br w:val="nil"/>
              <w:tr2bl w:val="nil"/>
            </w:tcBorders>
            <w:shd w:val="clear" w:color="auto" w:fill="auto"/>
            <w:vAlign w:val="center"/>
          </w:tcPr>
          <w:p w14:paraId="3DFCBA93">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3BE39FE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lang w:bidi="ar"/>
              </w:rPr>
            </w:pPr>
            <w:r>
              <w:rPr>
                <w:rFonts w:hint="default" w:ascii="Times New Roman" w:hAnsi="Times New Roman" w:eastAsia="宋体" w:cs="Times New Roman"/>
                <w:kern w:val="0"/>
                <w:sz w:val="21"/>
                <w:szCs w:val="21"/>
                <w:highlight w:val="none"/>
                <w:lang w:bidi="ar"/>
              </w:rPr>
              <w:t>报价</w:t>
            </w:r>
          </w:p>
        </w:tc>
        <w:tc>
          <w:tcPr>
            <w:tcW w:w="6972" w:type="dxa"/>
            <w:tcBorders>
              <w:tl2br w:val="nil"/>
              <w:tr2bl w:val="nil"/>
            </w:tcBorders>
            <w:shd w:val="clear" w:color="auto" w:fill="auto"/>
            <w:vAlign w:val="center"/>
          </w:tcPr>
          <w:p w14:paraId="34DB060C">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 w:val="21"/>
                <w:szCs w:val="21"/>
                <w:highlight w:val="none"/>
                <w:lang w:val="en-US" w:eastAsia="zh-CN" w:bidi="ar"/>
              </w:rPr>
            </w:pPr>
            <w:r>
              <w:rPr>
                <w:rFonts w:hint="default" w:ascii="Times New Roman" w:hAnsi="Times New Roman" w:cs="Times New Roman"/>
                <w:sz w:val="21"/>
                <w:szCs w:val="21"/>
                <w:highlight w:val="none"/>
                <w:lang w:val="en-US" w:eastAsia="zh-CN" w:bidi="ar"/>
              </w:rPr>
              <w:t>（1）本项目报价币种为人民币，供应商报价不得超过限价，否则按无效响应处理</w:t>
            </w:r>
          </w:p>
          <w:p w14:paraId="6456F61A">
            <w:pPr>
              <w:keepNext w:val="0"/>
              <w:keepLines w:val="0"/>
              <w:widowControl/>
              <w:suppressLineNumbers w:val="0"/>
              <w:spacing w:before="0" w:beforeAutospacing="0" w:after="0" w:afterAutospacing="0"/>
              <w:ind w:left="0" w:right="0" w:firstLine="210" w:firstLineChars="100"/>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lang w:val="en-US" w:eastAsia="zh-CN" w:bidi="ar"/>
              </w:rPr>
              <w:t>（2）供应商</w:t>
            </w:r>
            <w:r>
              <w:rPr>
                <w:rFonts w:hint="default" w:ascii="Times New Roman" w:hAnsi="Times New Roman" w:eastAsia="宋体" w:cs="Times New Roman"/>
                <w:sz w:val="21"/>
                <w:szCs w:val="21"/>
                <w:highlight w:val="none"/>
                <w:lang w:bidi="ar"/>
              </w:rPr>
              <w:t>的报价应包含为完成</w:t>
            </w:r>
            <w:r>
              <w:rPr>
                <w:rFonts w:hint="default" w:ascii="Times New Roman" w:hAnsi="Times New Roman" w:cs="Times New Roman"/>
                <w:sz w:val="21"/>
                <w:szCs w:val="21"/>
                <w:highlight w:val="none"/>
                <w:lang w:val="en-US" w:eastAsia="zh-CN" w:bidi="ar"/>
              </w:rPr>
              <w:t>采购</w:t>
            </w:r>
            <w:r>
              <w:rPr>
                <w:rFonts w:hint="default" w:ascii="Times New Roman" w:hAnsi="Times New Roman" w:eastAsia="宋体" w:cs="Times New Roman"/>
                <w:sz w:val="21"/>
                <w:szCs w:val="21"/>
                <w:highlight w:val="none"/>
                <w:lang w:bidi="ar"/>
              </w:rPr>
              <w:t>文件提出的设备采购、运输、安装、软件开发、集成、调试、报检以及售后服务等全部相关工作所有可能发生的费用。对在合同实施过程中可能发生的其他费用（如：增加耗材、材料涨价、人工、运输成本增加等因素），</w:t>
            </w:r>
            <w:r>
              <w:rPr>
                <w:rFonts w:hint="default" w:ascii="Times New Roman" w:hAnsi="Times New Roman" w:cs="Times New Roman"/>
                <w:sz w:val="21"/>
                <w:szCs w:val="21"/>
                <w:highlight w:val="none"/>
                <w:lang w:val="en-US" w:eastAsia="zh-CN" w:bidi="ar"/>
              </w:rPr>
              <w:t>采购人</w:t>
            </w:r>
            <w:r>
              <w:rPr>
                <w:rFonts w:hint="default" w:ascii="Times New Roman" w:hAnsi="Times New Roman" w:eastAsia="宋体" w:cs="Times New Roman"/>
                <w:sz w:val="21"/>
                <w:szCs w:val="21"/>
                <w:highlight w:val="none"/>
                <w:lang w:bidi="ar"/>
              </w:rPr>
              <w:t>概不负责。本文件所要求内容应视为保证设备运行所需最低要求，如有遗漏，</w:t>
            </w:r>
            <w:r>
              <w:rPr>
                <w:rFonts w:hint="default" w:ascii="Times New Roman" w:hAnsi="Times New Roman" w:cs="Times New Roman"/>
                <w:sz w:val="21"/>
                <w:szCs w:val="21"/>
                <w:highlight w:val="none"/>
                <w:lang w:val="en-US" w:eastAsia="zh-CN" w:bidi="ar"/>
              </w:rPr>
              <w:t>供应商</w:t>
            </w:r>
            <w:r>
              <w:rPr>
                <w:rFonts w:hint="default" w:ascii="Times New Roman" w:hAnsi="Times New Roman" w:eastAsia="宋体" w:cs="Times New Roman"/>
                <w:sz w:val="21"/>
                <w:szCs w:val="21"/>
                <w:highlight w:val="none"/>
                <w:lang w:bidi="ar"/>
              </w:rPr>
              <w:t>应予补充。否则，将不予以付款。</w:t>
            </w:r>
          </w:p>
        </w:tc>
      </w:tr>
      <w:tr w14:paraId="21155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9" w:hRule="atLeast"/>
          <w:jc w:val="center"/>
        </w:trPr>
        <w:tc>
          <w:tcPr>
            <w:tcW w:w="703" w:type="dxa"/>
            <w:tcBorders>
              <w:tl2br w:val="nil"/>
              <w:tr2bl w:val="nil"/>
            </w:tcBorders>
            <w:shd w:val="clear" w:color="auto" w:fill="auto"/>
            <w:vAlign w:val="center"/>
          </w:tcPr>
          <w:p w14:paraId="359F2E93">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2D39BF2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lang w:bidi="ar"/>
              </w:rPr>
            </w:pPr>
            <w:r>
              <w:rPr>
                <w:rFonts w:hint="default" w:ascii="Times New Roman" w:hAnsi="Times New Roman" w:eastAsia="宋体" w:cs="Times New Roman"/>
                <w:kern w:val="0"/>
                <w:sz w:val="21"/>
                <w:szCs w:val="21"/>
                <w:highlight w:val="none"/>
                <w:lang w:bidi="ar"/>
              </w:rPr>
              <w:t>包装和运输</w:t>
            </w:r>
          </w:p>
        </w:tc>
        <w:tc>
          <w:tcPr>
            <w:tcW w:w="6972" w:type="dxa"/>
            <w:tcBorders>
              <w:tl2br w:val="nil"/>
              <w:tr2bl w:val="nil"/>
            </w:tcBorders>
            <w:shd w:val="clear" w:color="auto" w:fill="auto"/>
            <w:vAlign w:val="center"/>
          </w:tcPr>
          <w:p w14:paraId="18D4DFED">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val="en-US" w:eastAsia="zh-CN" w:bidi="ar"/>
              </w:rPr>
              <w:t>货物</w:t>
            </w:r>
            <w:r>
              <w:rPr>
                <w:rFonts w:hint="default" w:ascii="Times New Roman" w:hAnsi="Times New Roman" w:eastAsia="宋体" w:cs="Times New Roman"/>
                <w:sz w:val="21"/>
                <w:szCs w:val="21"/>
                <w:highlight w:val="none"/>
                <w:lang w:bidi="ar"/>
              </w:rPr>
              <w:t>包装应符合</w:t>
            </w:r>
            <w:r>
              <w:rPr>
                <w:rFonts w:hint="eastAsia" w:ascii="Times New Roman" w:hAnsi="Times New Roman" w:eastAsia="宋体" w:cs="Times New Roman"/>
                <w:sz w:val="21"/>
                <w:szCs w:val="21"/>
                <w:highlight w:val="none"/>
                <w:lang w:val="en-US" w:eastAsia="zh-CN" w:bidi="ar"/>
              </w:rPr>
              <w:t>对应货物</w:t>
            </w:r>
            <w:r>
              <w:rPr>
                <w:rFonts w:hint="default" w:ascii="Times New Roman" w:hAnsi="Times New Roman" w:cs="Times New Roman"/>
                <w:sz w:val="21"/>
                <w:szCs w:val="21"/>
                <w:highlight w:val="none"/>
                <w:lang w:val="en-US" w:eastAsia="zh-CN" w:bidi="ar"/>
              </w:rPr>
              <w:t>包装标准规范</w:t>
            </w:r>
            <w:r>
              <w:rPr>
                <w:rFonts w:hint="default" w:ascii="Times New Roman" w:hAnsi="Times New Roman" w:eastAsia="宋体" w:cs="Times New Roman"/>
                <w:sz w:val="21"/>
                <w:szCs w:val="21"/>
                <w:highlight w:val="none"/>
                <w:lang w:bidi="ar"/>
              </w:rPr>
              <w:t>的相关要求。</w:t>
            </w:r>
            <w:r>
              <w:rPr>
                <w:rFonts w:hint="default" w:ascii="Times New Roman" w:hAnsi="Times New Roman" w:cs="Times New Roman"/>
                <w:sz w:val="21"/>
                <w:szCs w:val="21"/>
                <w:highlight w:val="none"/>
                <w:lang w:val="en-US" w:eastAsia="zh-CN" w:bidi="ar"/>
              </w:rPr>
              <w:t>供应商</w:t>
            </w:r>
            <w:r>
              <w:rPr>
                <w:rFonts w:hint="default" w:ascii="Times New Roman" w:hAnsi="Times New Roman" w:eastAsia="宋体" w:cs="Times New Roman"/>
                <w:sz w:val="21"/>
                <w:szCs w:val="21"/>
                <w:highlight w:val="none"/>
                <w:lang w:bidi="ar"/>
              </w:rPr>
              <w:t>应选择适当的交通工具对货物进行运输，所交付的货物要有适合长途运输和多次搬运、装卸的坚固包装，运输过程中不得出现箱件破损、设备和零件散失等情况。</w:t>
            </w:r>
            <w:r>
              <w:rPr>
                <w:rFonts w:hint="default" w:ascii="Times New Roman" w:hAnsi="Times New Roman" w:cs="Times New Roman"/>
                <w:sz w:val="21"/>
                <w:szCs w:val="21"/>
                <w:highlight w:val="none"/>
                <w:lang w:val="en-US" w:eastAsia="zh-CN" w:bidi="ar"/>
              </w:rPr>
              <w:t>供应商</w:t>
            </w:r>
            <w:r>
              <w:rPr>
                <w:rFonts w:hint="default" w:ascii="Times New Roman" w:hAnsi="Times New Roman" w:eastAsia="宋体" w:cs="Times New Roman"/>
                <w:sz w:val="21"/>
                <w:szCs w:val="21"/>
                <w:highlight w:val="none"/>
                <w:lang w:bidi="ar"/>
              </w:rPr>
              <w:t>应按货物特点，按需要分别采取防潮、防霉、防锈、防腐蚀等保护措施，以保证货物在没有任何损坏和腐蚀的情况下安全运抵</w:t>
            </w:r>
            <w:r>
              <w:rPr>
                <w:rFonts w:hint="default" w:ascii="Times New Roman" w:hAnsi="Times New Roman" w:cs="Times New Roman"/>
                <w:sz w:val="21"/>
                <w:szCs w:val="21"/>
                <w:highlight w:val="none"/>
                <w:lang w:val="en-US" w:eastAsia="zh-CN" w:bidi="ar"/>
              </w:rPr>
              <w:t>采购人</w:t>
            </w:r>
            <w:r>
              <w:rPr>
                <w:rFonts w:hint="default" w:ascii="Times New Roman" w:hAnsi="Times New Roman" w:eastAsia="宋体" w:cs="Times New Roman"/>
                <w:sz w:val="21"/>
                <w:szCs w:val="21"/>
                <w:highlight w:val="none"/>
                <w:lang w:bidi="ar"/>
              </w:rPr>
              <w:t>指定地点。包装、运输及装卸费用由</w:t>
            </w:r>
            <w:r>
              <w:rPr>
                <w:rFonts w:hint="default" w:ascii="Times New Roman" w:hAnsi="Times New Roman" w:cs="Times New Roman"/>
                <w:sz w:val="21"/>
                <w:szCs w:val="21"/>
                <w:highlight w:val="none"/>
                <w:lang w:val="en-US" w:eastAsia="zh-CN" w:bidi="ar"/>
              </w:rPr>
              <w:t>供应商</w:t>
            </w:r>
            <w:r>
              <w:rPr>
                <w:rFonts w:hint="default" w:ascii="Times New Roman" w:hAnsi="Times New Roman" w:eastAsia="宋体" w:cs="Times New Roman"/>
                <w:sz w:val="21"/>
                <w:szCs w:val="21"/>
                <w:highlight w:val="none"/>
                <w:lang w:bidi="ar"/>
              </w:rPr>
              <w:t>承担。</w:t>
            </w:r>
          </w:p>
        </w:tc>
      </w:tr>
      <w:tr w14:paraId="7938A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703" w:type="dxa"/>
            <w:tcBorders>
              <w:tl2br w:val="nil"/>
              <w:tr2bl w:val="nil"/>
            </w:tcBorders>
            <w:shd w:val="clear" w:color="auto" w:fill="auto"/>
            <w:vAlign w:val="center"/>
          </w:tcPr>
          <w:p w14:paraId="133E4F70">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58232A98">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1"/>
                <w:szCs w:val="21"/>
                <w:highlight w:val="none"/>
                <w:lang w:val="en-US" w:eastAsia="zh-CN" w:bidi="ar"/>
              </w:rPr>
            </w:pPr>
            <w:r>
              <w:rPr>
                <w:rFonts w:hint="eastAsia" w:ascii="Times New Roman" w:hAnsi="Times New Roman" w:cs="Times New Roman"/>
                <w:kern w:val="0"/>
                <w:sz w:val="21"/>
                <w:szCs w:val="21"/>
                <w:highlight w:val="none"/>
                <w:lang w:val="en-US" w:eastAsia="zh-CN" w:bidi="ar"/>
              </w:rPr>
              <w:t>交货地点</w:t>
            </w:r>
          </w:p>
        </w:tc>
        <w:tc>
          <w:tcPr>
            <w:tcW w:w="6972" w:type="dxa"/>
            <w:tcBorders>
              <w:tl2br w:val="nil"/>
              <w:tr2bl w:val="nil"/>
            </w:tcBorders>
            <w:shd w:val="clear" w:color="auto" w:fill="auto"/>
            <w:vAlign w:val="center"/>
          </w:tcPr>
          <w:p w14:paraId="6A8F5AEB">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恩施许家坪国际机场。</w:t>
            </w:r>
          </w:p>
        </w:tc>
      </w:tr>
      <w:tr w14:paraId="19153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703" w:type="dxa"/>
            <w:tcBorders>
              <w:tl2br w:val="nil"/>
              <w:tr2bl w:val="nil"/>
            </w:tcBorders>
            <w:shd w:val="clear" w:color="auto" w:fill="auto"/>
            <w:vAlign w:val="center"/>
          </w:tcPr>
          <w:p w14:paraId="4BD08687">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61681E4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1"/>
                <w:szCs w:val="21"/>
                <w:highlight w:val="none"/>
                <w:lang w:val="en-US" w:eastAsia="zh-CN" w:bidi="ar"/>
              </w:rPr>
            </w:pPr>
            <w:r>
              <w:rPr>
                <w:rFonts w:hint="eastAsia" w:ascii="Times New Roman" w:hAnsi="Times New Roman" w:cs="Times New Roman"/>
                <w:kern w:val="0"/>
                <w:sz w:val="21"/>
                <w:szCs w:val="21"/>
                <w:highlight w:val="none"/>
                <w:lang w:val="en-US" w:eastAsia="zh-CN" w:bidi="ar"/>
              </w:rPr>
              <w:t>付款方式</w:t>
            </w:r>
          </w:p>
        </w:tc>
        <w:tc>
          <w:tcPr>
            <w:tcW w:w="6972" w:type="dxa"/>
            <w:tcBorders>
              <w:tl2br w:val="nil"/>
              <w:tr2bl w:val="nil"/>
            </w:tcBorders>
            <w:shd w:val="clear" w:color="auto" w:fill="auto"/>
            <w:vAlign w:val="center"/>
          </w:tcPr>
          <w:p w14:paraId="5F185421">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宋体" w:cs="Times New Roman"/>
                <w:sz w:val="21"/>
                <w:szCs w:val="21"/>
                <w:highlight w:val="none"/>
                <w:lang w:bidi="ar"/>
              </w:rPr>
            </w:pPr>
          </w:p>
        </w:tc>
      </w:tr>
      <w:tr w14:paraId="036A9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703" w:type="dxa"/>
            <w:tcBorders>
              <w:tl2br w:val="nil"/>
              <w:tr2bl w:val="nil"/>
            </w:tcBorders>
            <w:shd w:val="clear" w:color="auto" w:fill="auto"/>
            <w:vAlign w:val="center"/>
          </w:tcPr>
          <w:p w14:paraId="314F2758">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1D3E34B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cs="Times New Roman"/>
                <w:kern w:val="0"/>
                <w:sz w:val="21"/>
                <w:szCs w:val="21"/>
                <w:highlight w:val="none"/>
                <w:lang w:val="en-US" w:eastAsia="zh-CN" w:bidi="ar"/>
              </w:rPr>
              <w:t>质量要求</w:t>
            </w:r>
          </w:p>
        </w:tc>
        <w:tc>
          <w:tcPr>
            <w:tcW w:w="6972" w:type="dxa"/>
            <w:tcBorders>
              <w:tl2br w:val="nil"/>
              <w:tr2bl w:val="nil"/>
            </w:tcBorders>
            <w:shd w:val="clear" w:color="auto" w:fill="auto"/>
            <w:vAlign w:val="center"/>
          </w:tcPr>
          <w:p w14:paraId="65006D79">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符合国家标准和采购人要求。</w:t>
            </w:r>
          </w:p>
        </w:tc>
      </w:tr>
      <w:tr w14:paraId="7B3D8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03" w:type="dxa"/>
            <w:tcBorders>
              <w:tl2br w:val="nil"/>
              <w:tr2bl w:val="nil"/>
            </w:tcBorders>
            <w:shd w:val="clear" w:color="auto" w:fill="auto"/>
            <w:vAlign w:val="center"/>
          </w:tcPr>
          <w:p w14:paraId="646EA980">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72668FC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lang w:bidi="ar"/>
              </w:rPr>
            </w:pPr>
            <w:r>
              <w:rPr>
                <w:rFonts w:hint="default" w:ascii="Times New Roman" w:hAnsi="Times New Roman" w:eastAsia="宋体" w:cs="Times New Roman"/>
                <w:color w:val="0C0C0C"/>
                <w:kern w:val="2"/>
                <w:sz w:val="21"/>
                <w:szCs w:val="21"/>
                <w:highlight w:val="none"/>
                <w:lang w:val="en-US" w:eastAsia="zh-CN" w:bidi="ar"/>
              </w:rPr>
              <w:t>产品到货验收</w:t>
            </w:r>
          </w:p>
        </w:tc>
        <w:tc>
          <w:tcPr>
            <w:tcW w:w="6972" w:type="dxa"/>
            <w:tcBorders>
              <w:tl2br w:val="nil"/>
              <w:tr2bl w:val="nil"/>
            </w:tcBorders>
            <w:shd w:val="clear" w:color="auto" w:fill="auto"/>
            <w:vAlign w:val="center"/>
          </w:tcPr>
          <w:p w14:paraId="2BCAD070">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货物运送至采购人指定地点后，由成交供应商及采购人双方共同对货物进行检验并办理相关移交手续。</w:t>
            </w:r>
          </w:p>
        </w:tc>
      </w:tr>
      <w:tr w14:paraId="32310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03" w:type="dxa"/>
            <w:tcBorders>
              <w:tl2br w:val="nil"/>
              <w:tr2bl w:val="nil"/>
            </w:tcBorders>
            <w:shd w:val="clear" w:color="auto" w:fill="auto"/>
            <w:vAlign w:val="center"/>
          </w:tcPr>
          <w:p w14:paraId="5637086F">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3199DAA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cs="Times New Roman"/>
                <w:kern w:val="0"/>
                <w:sz w:val="21"/>
                <w:szCs w:val="21"/>
                <w:highlight w:val="none"/>
                <w:lang w:val="en-US" w:eastAsia="zh-CN" w:bidi="ar"/>
              </w:rPr>
              <w:t>售后服务</w:t>
            </w:r>
          </w:p>
        </w:tc>
        <w:tc>
          <w:tcPr>
            <w:tcW w:w="6972" w:type="dxa"/>
            <w:tcBorders>
              <w:tl2br w:val="nil"/>
              <w:tr2bl w:val="nil"/>
            </w:tcBorders>
            <w:shd w:val="clear" w:color="auto" w:fill="auto"/>
            <w:vAlign w:val="center"/>
          </w:tcPr>
          <w:p w14:paraId="5D7CCA4B">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cs="Times New Roman"/>
                <w:sz w:val="21"/>
                <w:szCs w:val="21"/>
                <w:highlight w:val="none"/>
                <w:lang w:val="en-US" w:eastAsia="zh-CN" w:bidi="ar"/>
              </w:rPr>
            </w:pPr>
            <w:r>
              <w:rPr>
                <w:rFonts w:hint="default" w:ascii="Times New Roman" w:hAnsi="Times New Roman" w:cs="Times New Roman"/>
                <w:sz w:val="21"/>
                <w:szCs w:val="21"/>
                <w:highlight w:val="none"/>
                <w:lang w:val="en-US" w:eastAsia="zh-CN" w:bidi="ar"/>
              </w:rPr>
              <w:t>质量保证期内，如采购人发现存在质量问题，采购人仍有权选择要求成交供应商更换或退货。采购人要求更换的，成交供应商应在采购人提出要求后2日内回复意见，并在要求的时间内予以更换；如成交供应商无法更换，或成交供应商未在采购人提出更换要求后2 日内回复，采购人可要求退货。</w:t>
            </w:r>
          </w:p>
        </w:tc>
      </w:tr>
      <w:tr w14:paraId="5D2DA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703" w:type="dxa"/>
            <w:tcBorders>
              <w:tl2br w:val="nil"/>
              <w:tr2bl w:val="nil"/>
            </w:tcBorders>
            <w:shd w:val="clear" w:color="auto" w:fill="auto"/>
            <w:vAlign w:val="center"/>
          </w:tcPr>
          <w:p w14:paraId="338AD006">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6E2C760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lang w:bidi="ar"/>
              </w:rPr>
            </w:pPr>
            <w:r>
              <w:rPr>
                <w:rFonts w:hint="eastAsia" w:ascii="宋体" w:hAnsi="宋体" w:cs="宋体"/>
                <w:sz w:val="21"/>
                <w:szCs w:val="21"/>
                <w:highlight w:val="none"/>
              </w:rPr>
              <w:t>违约责任</w:t>
            </w:r>
          </w:p>
        </w:tc>
        <w:tc>
          <w:tcPr>
            <w:tcW w:w="6972" w:type="dxa"/>
            <w:tcBorders>
              <w:tl2br w:val="nil"/>
              <w:tr2bl w:val="nil"/>
            </w:tcBorders>
            <w:shd w:val="clear" w:color="auto" w:fill="auto"/>
            <w:vAlign w:val="center"/>
          </w:tcPr>
          <w:p w14:paraId="6EA13B3A">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cs="Times New Roman"/>
                <w:sz w:val="21"/>
                <w:szCs w:val="21"/>
                <w:highlight w:val="none"/>
                <w:lang w:val="en-US" w:eastAsia="zh-CN" w:bidi="ar"/>
              </w:rPr>
            </w:pPr>
            <w:r>
              <w:rPr>
                <w:rFonts w:hint="default" w:ascii="Times New Roman" w:hAnsi="Times New Roman" w:cs="Times New Roman"/>
                <w:sz w:val="21"/>
                <w:szCs w:val="21"/>
                <w:highlight w:val="none"/>
                <w:lang w:val="en-US" w:eastAsia="zh-CN" w:bidi="ar"/>
              </w:rPr>
              <w:t>如成交供应商未按合同规定时间将产品运到采购人指定地点，每延期一日，成交供应商应向采购人支付总货款千分之二的违约金，延期超过十五日的，采购人亦有权解除该笔采购</w:t>
            </w:r>
            <w:r>
              <w:rPr>
                <w:rFonts w:hint="eastAsia" w:ascii="Times New Roman" w:hAnsi="Times New Roman" w:cs="Times New Roman"/>
                <w:sz w:val="21"/>
                <w:szCs w:val="21"/>
                <w:highlight w:val="none"/>
                <w:lang w:val="en-US" w:eastAsia="zh-CN" w:bidi="ar"/>
              </w:rPr>
              <w:t>。</w:t>
            </w:r>
          </w:p>
        </w:tc>
      </w:tr>
      <w:tr w14:paraId="16E06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703" w:type="dxa"/>
            <w:tcBorders>
              <w:tl2br w:val="nil"/>
              <w:tr2bl w:val="nil"/>
            </w:tcBorders>
            <w:shd w:val="clear" w:color="auto" w:fill="auto"/>
            <w:vAlign w:val="center"/>
          </w:tcPr>
          <w:p w14:paraId="22D1C5A5">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74400B46">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1"/>
                <w:szCs w:val="21"/>
                <w:highlight w:val="none"/>
                <w:lang w:val="en-US" w:eastAsia="zh-CN" w:bidi="ar"/>
              </w:rPr>
            </w:pPr>
            <w:r>
              <w:rPr>
                <w:rFonts w:hint="eastAsia" w:ascii="Times New Roman" w:hAnsi="Times New Roman" w:cs="Times New Roman"/>
                <w:kern w:val="0"/>
                <w:sz w:val="21"/>
                <w:szCs w:val="21"/>
                <w:highlight w:val="none"/>
                <w:lang w:val="en-US" w:eastAsia="zh-CN" w:bidi="ar"/>
              </w:rPr>
              <w:t>培训</w:t>
            </w:r>
          </w:p>
        </w:tc>
        <w:tc>
          <w:tcPr>
            <w:tcW w:w="6972" w:type="dxa"/>
            <w:tcBorders>
              <w:tl2br w:val="nil"/>
              <w:tr2bl w:val="nil"/>
            </w:tcBorders>
            <w:shd w:val="clear" w:color="auto" w:fill="auto"/>
            <w:vAlign w:val="center"/>
          </w:tcPr>
          <w:p w14:paraId="180C9101">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cs="Times New Roman"/>
                <w:sz w:val="21"/>
                <w:szCs w:val="21"/>
                <w:highlight w:val="none"/>
                <w:lang w:val="en-US" w:eastAsia="zh-CN" w:bidi="ar"/>
              </w:rPr>
            </w:pPr>
            <w:r>
              <w:rPr>
                <w:rFonts w:hint="default" w:ascii="Times New Roman" w:hAnsi="Times New Roman" w:cs="Times New Roman"/>
                <w:sz w:val="21"/>
                <w:szCs w:val="21"/>
                <w:highlight w:val="none"/>
                <w:lang w:val="en-US" w:eastAsia="zh-CN" w:bidi="ar"/>
              </w:rPr>
              <w:t>成交供应商</w:t>
            </w:r>
            <w:r>
              <w:rPr>
                <w:rFonts w:hint="default" w:ascii="Times New Roman" w:hAnsi="Times New Roman"/>
                <w:sz w:val="21"/>
                <w:szCs w:val="21"/>
                <w:highlight w:val="none"/>
                <w:lang w:bidi="ar"/>
              </w:rPr>
              <w:t>安排主要设备厂商工程师为采购人相关</w:t>
            </w:r>
            <w:r>
              <w:rPr>
                <w:rFonts w:hint="eastAsia" w:ascii="Times New Roman" w:hAnsi="Times New Roman"/>
                <w:sz w:val="21"/>
                <w:szCs w:val="21"/>
                <w:highlight w:val="none"/>
                <w:lang w:val="en-US" w:eastAsia="zh-CN" w:bidi="ar"/>
              </w:rPr>
              <w:t>人员</w:t>
            </w:r>
            <w:r>
              <w:rPr>
                <w:rFonts w:hint="default" w:ascii="Times New Roman" w:hAnsi="Times New Roman"/>
                <w:sz w:val="21"/>
                <w:szCs w:val="21"/>
                <w:highlight w:val="none"/>
                <w:lang w:bidi="ar"/>
              </w:rPr>
              <w:t>提供安装、操作、一般故障排除等培训，场地、交通等与培训相关的费用均由成交</w:t>
            </w:r>
            <w:r>
              <w:rPr>
                <w:rFonts w:hint="default" w:ascii="Times New Roman" w:hAnsi="Times New Roman" w:cs="Times New Roman"/>
                <w:sz w:val="21"/>
                <w:szCs w:val="21"/>
                <w:highlight w:val="none"/>
                <w:lang w:val="en-US" w:eastAsia="zh-CN" w:bidi="ar"/>
              </w:rPr>
              <w:t>成交供应商</w:t>
            </w:r>
            <w:r>
              <w:rPr>
                <w:rFonts w:hint="default" w:ascii="Times New Roman" w:hAnsi="Times New Roman"/>
                <w:sz w:val="21"/>
                <w:szCs w:val="21"/>
                <w:highlight w:val="none"/>
                <w:lang w:bidi="ar"/>
              </w:rPr>
              <w:t>承担。</w:t>
            </w:r>
          </w:p>
        </w:tc>
      </w:tr>
      <w:tr w14:paraId="04E21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703" w:type="dxa"/>
            <w:tcBorders>
              <w:tl2br w:val="nil"/>
              <w:tr2bl w:val="nil"/>
            </w:tcBorders>
            <w:shd w:val="clear" w:color="auto" w:fill="auto"/>
            <w:vAlign w:val="center"/>
          </w:tcPr>
          <w:p w14:paraId="087FE372">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7F64F83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lang w:val="en-US" w:eastAsia="zh-CN" w:bidi="ar"/>
              </w:rPr>
            </w:pPr>
            <w:r>
              <w:rPr>
                <w:rFonts w:hint="eastAsia" w:ascii="Times New Roman" w:hAnsi="Times New Roman" w:cs="Times New Roman"/>
                <w:kern w:val="0"/>
                <w:sz w:val="21"/>
                <w:szCs w:val="21"/>
                <w:highlight w:val="none"/>
                <w:lang w:val="en-US" w:eastAsia="zh-CN" w:bidi="ar"/>
              </w:rPr>
              <w:t>其他要求</w:t>
            </w:r>
          </w:p>
        </w:tc>
        <w:tc>
          <w:tcPr>
            <w:tcW w:w="6972" w:type="dxa"/>
            <w:tcBorders>
              <w:tl2br w:val="nil"/>
              <w:tr2bl w:val="nil"/>
            </w:tcBorders>
            <w:shd w:val="clear" w:color="auto" w:fill="auto"/>
            <w:vAlign w:val="center"/>
          </w:tcPr>
          <w:p w14:paraId="1E0E2222">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cs="Times New Roman"/>
                <w:sz w:val="21"/>
                <w:szCs w:val="21"/>
                <w:highlight w:val="none"/>
                <w:lang w:val="en-US" w:eastAsia="zh-CN" w:bidi="ar"/>
              </w:rPr>
            </w:pPr>
            <w:r>
              <w:rPr>
                <w:rFonts w:hint="default" w:ascii="Times New Roman" w:hAnsi="Times New Roman" w:cs="Times New Roman"/>
                <w:sz w:val="21"/>
                <w:szCs w:val="21"/>
                <w:highlight w:val="none"/>
                <w:lang w:val="en-US" w:eastAsia="zh-CN" w:bidi="ar"/>
              </w:rPr>
              <w:t>成交供应商提供的货物未达到采购文件规定要求，且对采购人造成损失的，由成交供应商承担一切责任，并赔偿所造成的损失，其他未尽事宜在合同签订时约定</w:t>
            </w:r>
          </w:p>
        </w:tc>
      </w:tr>
      <w:tr w14:paraId="570FA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5" w:hRule="atLeast"/>
          <w:jc w:val="center"/>
        </w:trPr>
        <w:tc>
          <w:tcPr>
            <w:tcW w:w="703" w:type="dxa"/>
            <w:tcBorders>
              <w:tl2br w:val="nil"/>
              <w:tr2bl w:val="nil"/>
            </w:tcBorders>
            <w:shd w:val="clear" w:color="auto" w:fill="auto"/>
            <w:vAlign w:val="center"/>
          </w:tcPr>
          <w:p w14:paraId="3D9CADA8">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409F506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lang w:bidi="ar"/>
              </w:rPr>
            </w:pPr>
            <w:r>
              <w:rPr>
                <w:rFonts w:hint="default" w:ascii="Times New Roman" w:hAnsi="Times New Roman" w:eastAsia="宋体" w:cs="Times New Roman"/>
                <w:kern w:val="0"/>
                <w:sz w:val="21"/>
                <w:szCs w:val="21"/>
                <w:highlight w:val="none"/>
                <w:lang w:bidi="ar"/>
              </w:rPr>
              <w:t>知识产权</w:t>
            </w:r>
          </w:p>
        </w:tc>
        <w:tc>
          <w:tcPr>
            <w:tcW w:w="6972" w:type="dxa"/>
            <w:tcBorders>
              <w:tl2br w:val="nil"/>
              <w:tr2bl w:val="nil"/>
            </w:tcBorders>
            <w:shd w:val="clear" w:color="auto" w:fill="auto"/>
            <w:vAlign w:val="center"/>
          </w:tcPr>
          <w:p w14:paraId="6614DD78">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宋体" w:cs="Times New Roman"/>
                <w:sz w:val="21"/>
                <w:szCs w:val="21"/>
                <w:highlight w:val="none"/>
                <w:lang w:bidi="ar"/>
              </w:rPr>
            </w:pPr>
            <w:r>
              <w:rPr>
                <w:rFonts w:hint="default" w:ascii="Times New Roman" w:hAnsi="Times New Roman" w:cs="Times New Roman"/>
                <w:sz w:val="21"/>
                <w:szCs w:val="21"/>
                <w:highlight w:val="none"/>
                <w:lang w:val="en-US" w:eastAsia="zh-CN" w:bidi="ar"/>
              </w:rPr>
              <w:t>采购人</w:t>
            </w:r>
            <w:r>
              <w:rPr>
                <w:rFonts w:hint="default" w:ascii="Times New Roman" w:hAnsi="Times New Roman" w:eastAsia="宋体" w:cs="Times New Roman"/>
                <w:sz w:val="21"/>
                <w:szCs w:val="21"/>
                <w:highlight w:val="none"/>
                <w:lang w:val="en-US" w:eastAsia="zh-CN" w:bidi="ar"/>
              </w:rPr>
              <w:t>无偿</w:t>
            </w:r>
            <w:r>
              <w:rPr>
                <w:rFonts w:hint="default" w:ascii="Times New Roman" w:hAnsi="Times New Roman" w:eastAsia="宋体" w:cs="Times New Roman"/>
                <w:sz w:val="21"/>
                <w:szCs w:val="21"/>
                <w:highlight w:val="none"/>
                <w:lang w:bidi="ar"/>
              </w:rPr>
              <w:t>享有</w:t>
            </w:r>
            <w:r>
              <w:rPr>
                <w:rFonts w:hint="default" w:ascii="Times New Roman" w:hAnsi="Times New Roman" w:cs="Times New Roman"/>
                <w:sz w:val="21"/>
                <w:szCs w:val="21"/>
                <w:highlight w:val="none"/>
                <w:lang w:val="en-US" w:eastAsia="zh-CN" w:bidi="ar"/>
              </w:rPr>
              <w:t>供应商</w:t>
            </w:r>
            <w:r>
              <w:rPr>
                <w:rFonts w:hint="default" w:ascii="Times New Roman" w:hAnsi="Times New Roman" w:eastAsia="宋体" w:cs="Times New Roman"/>
                <w:sz w:val="21"/>
                <w:szCs w:val="21"/>
                <w:highlight w:val="none"/>
                <w:lang w:bidi="ar"/>
              </w:rPr>
              <w:t>按照合同提供的货物、软件（如有）、文件资料及所包含知识产权的使用权，且</w:t>
            </w:r>
            <w:r>
              <w:rPr>
                <w:rFonts w:hint="default" w:ascii="Times New Roman" w:hAnsi="Times New Roman" w:cs="Times New Roman"/>
                <w:sz w:val="21"/>
                <w:szCs w:val="21"/>
                <w:highlight w:val="none"/>
                <w:lang w:val="en-US" w:eastAsia="zh-CN" w:bidi="ar"/>
              </w:rPr>
              <w:t>供应商</w:t>
            </w:r>
            <w:r>
              <w:rPr>
                <w:rFonts w:hint="default" w:ascii="Times New Roman" w:hAnsi="Times New Roman" w:eastAsia="宋体" w:cs="Times New Roman"/>
                <w:sz w:val="21"/>
                <w:szCs w:val="21"/>
                <w:highlight w:val="none"/>
                <w:lang w:bidi="ar"/>
              </w:rPr>
              <w:t>向</w:t>
            </w:r>
            <w:r>
              <w:rPr>
                <w:rFonts w:hint="default" w:ascii="Times New Roman" w:hAnsi="Times New Roman" w:cs="Times New Roman"/>
                <w:sz w:val="21"/>
                <w:szCs w:val="21"/>
                <w:highlight w:val="none"/>
                <w:lang w:val="en-US" w:eastAsia="zh-CN" w:bidi="ar"/>
              </w:rPr>
              <w:t>采购人</w:t>
            </w:r>
            <w:r>
              <w:rPr>
                <w:rFonts w:hint="default" w:ascii="Times New Roman" w:hAnsi="Times New Roman" w:eastAsia="宋体" w:cs="Times New Roman"/>
                <w:sz w:val="21"/>
                <w:szCs w:val="21"/>
                <w:highlight w:val="none"/>
                <w:lang w:bidi="ar"/>
              </w:rPr>
              <w:t>提供的货物、软件（如有）及相关服务免受第三方提出的侵犯其专利权、商标权、著作权或其他知识产权的主张，任何第三方如果提出此类权利主张，由</w:t>
            </w:r>
            <w:r>
              <w:rPr>
                <w:rFonts w:hint="default" w:ascii="Times New Roman" w:hAnsi="Times New Roman" w:cs="Times New Roman"/>
                <w:sz w:val="21"/>
                <w:szCs w:val="21"/>
                <w:highlight w:val="none"/>
                <w:lang w:val="en-US" w:eastAsia="zh-CN" w:bidi="ar"/>
              </w:rPr>
              <w:t>供应商</w:t>
            </w:r>
            <w:r>
              <w:rPr>
                <w:rFonts w:hint="default" w:ascii="Times New Roman" w:hAnsi="Times New Roman" w:eastAsia="宋体" w:cs="Times New Roman"/>
                <w:sz w:val="21"/>
                <w:szCs w:val="21"/>
                <w:highlight w:val="none"/>
                <w:lang w:bidi="ar"/>
              </w:rPr>
              <w:t>承担由此产生的费用和后果。</w:t>
            </w:r>
          </w:p>
        </w:tc>
      </w:tr>
    </w:tbl>
    <w:p w14:paraId="3E5469F8">
      <w:pPr>
        <w:rPr>
          <w:rStyle w:val="49"/>
          <w:rFonts w:hint="eastAsia" w:ascii="宋体" w:hAnsi="宋体" w:eastAsia="宋体" w:cs="宋体"/>
          <w:sz w:val="24"/>
          <w:szCs w:val="24"/>
          <w:highlight w:val="none"/>
          <w:lang w:val="en-US" w:eastAsia="zh-CN"/>
        </w:rPr>
      </w:pPr>
      <w:r>
        <w:rPr>
          <w:rStyle w:val="49"/>
          <w:rFonts w:hint="eastAsia" w:ascii="宋体" w:hAnsi="宋体" w:eastAsia="宋体" w:cs="宋体"/>
          <w:sz w:val="24"/>
          <w:szCs w:val="24"/>
          <w:highlight w:val="none"/>
          <w:lang w:val="en-US" w:eastAsia="zh-CN"/>
        </w:rPr>
        <w:br w:type="page"/>
      </w:r>
    </w:p>
    <w:p w14:paraId="027CE255">
      <w:pPr>
        <w:pStyle w:val="4"/>
        <w:rPr>
          <w:rStyle w:val="49"/>
          <w:rFonts w:hint="eastAsia" w:ascii="宋体" w:hAnsi="宋体" w:eastAsia="宋体" w:cs="宋体"/>
          <w:sz w:val="24"/>
          <w:szCs w:val="24"/>
          <w:highlight w:val="none"/>
          <w:lang w:val="en-US" w:eastAsia="zh-CN"/>
        </w:rPr>
      </w:pPr>
      <w:r>
        <w:rPr>
          <w:rStyle w:val="49"/>
          <w:rFonts w:hint="eastAsia" w:ascii="宋体" w:hAnsi="宋体" w:eastAsia="宋体" w:cs="宋体"/>
          <w:sz w:val="24"/>
          <w:szCs w:val="24"/>
          <w:highlight w:val="none"/>
          <w:lang w:val="en-US" w:eastAsia="zh-CN"/>
        </w:rPr>
        <w:t>四、附《湖北机场集团有限公司“供应商不良行为”管理办法》</w:t>
      </w:r>
      <w:bookmarkEnd w:id="38"/>
    </w:p>
    <w:p w14:paraId="637914F3">
      <w:pPr>
        <w:pStyle w:val="6"/>
        <w:spacing w:after="0" w:line="360" w:lineRule="auto"/>
        <w:ind w:left="440"/>
        <w:rPr>
          <w:rFonts w:ascii="宋体" w:hAnsi="宋体" w:cs="宋体"/>
          <w:sz w:val="21"/>
          <w:szCs w:val="21"/>
          <w:highlight w:val="none"/>
        </w:rPr>
      </w:pPr>
    </w:p>
    <w:p w14:paraId="6830E5B4">
      <w:pPr>
        <w:pStyle w:val="57"/>
        <w:spacing w:line="276" w:lineRule="auto"/>
        <w:jc w:val="center"/>
        <w:rPr>
          <w:rFonts w:ascii="宋体" w:hAnsi="宋体" w:cs="宋体"/>
          <w:sz w:val="24"/>
          <w:szCs w:val="24"/>
          <w:highlight w:val="none"/>
        </w:rPr>
      </w:pPr>
      <w:r>
        <w:rPr>
          <w:rFonts w:hint="eastAsia" w:ascii="宋体" w:hAnsi="宋体" w:cs="宋体"/>
          <w:sz w:val="24"/>
          <w:szCs w:val="24"/>
          <w:highlight w:val="none"/>
        </w:rPr>
        <w:t>湖北机场集团“供应商不良行为”管理暂行办法-节选</w:t>
      </w:r>
    </w:p>
    <w:p w14:paraId="53D9BC7E">
      <w:pPr>
        <w:pStyle w:val="57"/>
        <w:spacing w:line="276" w:lineRule="auto"/>
        <w:ind w:firstLine="480" w:firstLineChars="200"/>
        <w:rPr>
          <w:sz w:val="24"/>
          <w:szCs w:val="24"/>
          <w:highlight w:val="none"/>
        </w:rPr>
      </w:pPr>
    </w:p>
    <w:p w14:paraId="46EC34DB">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第一章 总则</w:t>
      </w:r>
    </w:p>
    <w:p w14:paraId="79A16461">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37BB189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供应商不良行为分一般不良行为和严重不良行为。</w:t>
      </w:r>
    </w:p>
    <w:p w14:paraId="70235161">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1D73015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第二章 不良行为的定义</w:t>
      </w:r>
    </w:p>
    <w:p w14:paraId="7E5D4744">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第四条 供应商“一般不良行为”定义。</w:t>
      </w:r>
    </w:p>
    <w:p w14:paraId="5B518F4B">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（一）采取不正当手段诋毁、排挤其他供应商或故意以虚构事实等方式进行投诉的；</w:t>
      </w:r>
    </w:p>
    <w:p w14:paraId="4C21025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（二）中标（成交）后未按文件规定要求提交履约保证金，给采购方工作造成一定影响的；</w:t>
      </w:r>
    </w:p>
    <w:p w14:paraId="56BF695B">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（三）中标（成交）后违反投标、竞价承诺或合同约定，擅自提高价格、降低质量标准、无故拖延工期或供货时间，给采购方工作造成影响，情节较轻的；</w:t>
      </w:r>
    </w:p>
    <w:p w14:paraId="6617C48C">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（四）不能完全履行合同约定，但违约情节较轻的；</w:t>
      </w:r>
    </w:p>
    <w:p w14:paraId="6A420D9A">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（五）其他违背诚实信用原则，情节较轻的行为。</w:t>
      </w:r>
    </w:p>
    <w:p w14:paraId="5082C792">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第五条 供应商“严重不良行为”定义。</w:t>
      </w:r>
    </w:p>
    <w:p w14:paraId="50A29C9A">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（一）向集团从事招标采购工作的各类相关工作人员、集团委托的招标代理机构等行贿或者提供其他不正当利益，以及其他可能影响集团相关工作人员公正履行工作职责的；</w:t>
      </w:r>
    </w:p>
    <w:p w14:paraId="15BFC918">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（二）串通采购人、其他供应商或集团委托的招标代理机构进行投标、围标和竞价，干扰正常招标采购秩序的；</w:t>
      </w:r>
    </w:p>
    <w:p w14:paraId="6AE10DED">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（三）非法以他人名义进行投标、竞价或者以其他方式弄虚作假骗取中标（成交）的；</w:t>
      </w:r>
    </w:p>
    <w:p w14:paraId="530A84E8">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（四）中标（成交）后，不按照招标文件（采购文件）和中标（成交）供应商的投标文件（响应文件）签订合同，或者要求与采购人另行签订背离合同实质性内容协议的；</w:t>
      </w:r>
    </w:p>
    <w:p w14:paraId="104FF812">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（五）合同签订后，无正当理由拒不履行或者拖延履行采购合同义务的，给采购方工作造成影响，情节严重的；</w:t>
      </w:r>
    </w:p>
    <w:p w14:paraId="7A5EFCFB">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（六）将中标（成交）项目转让（转包）给他人，或者违反招标文件（采购文件）规定，擅自将中标（成交）项目分包给他人的；</w:t>
      </w:r>
    </w:p>
    <w:p w14:paraId="1259B081">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（七）擅自变更、中止或终止采购合同，给采购方造成重大经济损失或严重影响生产、建设工期的；</w:t>
      </w:r>
    </w:p>
    <w:p w14:paraId="1DAE5041">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（八）未按合同规定履行合同义务，造成严重的质量问题或给采购方造成严重经济损失、安全事故以及不良社会影响的；</w:t>
      </w:r>
    </w:p>
    <w:p w14:paraId="47D807E2">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（九）提供虚假材料、虚构事实进行恶意诽谤、诬告、陷害等行为的；</w:t>
      </w:r>
    </w:p>
    <w:p w14:paraId="216DE3C7">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（十）存在其他严重不良行为的。</w:t>
      </w:r>
    </w:p>
    <w:p w14:paraId="6F256518">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7C8C99B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第三章 不良行为认定</w:t>
      </w:r>
    </w:p>
    <w:p w14:paraId="5C959DB1">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第六条 供应商列入“不良行为”的主要依据：</w:t>
      </w:r>
    </w:p>
    <w:p w14:paraId="218129E4">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（一）政府行政主管部门书面认定文件、司法机关的相关生效判决、裁定、决定等；</w:t>
      </w:r>
    </w:p>
    <w:p w14:paraId="4F35286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（二）纪检、监察、审计等部门的调查结果；</w:t>
      </w:r>
    </w:p>
    <w:p w14:paraId="4DC6E567">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（三）项目管理部门、使用单位对供应商合同履约情况的评估或调查；</w:t>
      </w:r>
    </w:p>
    <w:p w14:paraId="3CD9AFB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1FE0518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第四章 不良行为的处罚</w:t>
      </w:r>
    </w:p>
    <w:p w14:paraId="0D78163D">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6262494A">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0E9DF01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第十五条 供应商对处理决定有异议的，可向集团招标采购部提出申诉。申诉期间，不停止对供应商“不良行为”的处理，但原处理决定被依法停止执行的除外。</w:t>
      </w:r>
    </w:p>
    <w:p w14:paraId="6F5C4564">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217706DA">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第五章 信用修复</w:t>
      </w:r>
    </w:p>
    <w:p w14:paraId="1B3F761F">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第十八条 供应商有下列情形之一的，可进行信用修复：</w:t>
      </w:r>
    </w:p>
    <w:p w14:paraId="50E27B3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（一）供应商已履行义务，赔偿损失并消除不良影响，可经原认定程序修复信用；</w:t>
      </w:r>
    </w:p>
    <w:p w14:paraId="6E56225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（二）“不良行为”的限制措施期满后信用自动修复。</w:t>
      </w:r>
    </w:p>
    <w:p w14:paraId="7FDE9E0C">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52083321">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第六章 附则</w:t>
      </w:r>
    </w:p>
    <w:p w14:paraId="543960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8"/>
          <w:szCs w:val="16"/>
          <w:highlight w:val="none"/>
        </w:rPr>
      </w:pPr>
      <w:r>
        <w:rPr>
          <w:rFonts w:hint="eastAsia"/>
          <w:sz w:val="24"/>
          <w:szCs w:val="24"/>
          <w:highlight w:val="none"/>
        </w:rPr>
        <w:t>第十九条 本办法由湖北机场集团招标采购部负责解释。</w:t>
      </w:r>
      <w:r>
        <w:rPr>
          <w:rFonts w:hint="eastAsia" w:ascii="宋体" w:hAnsi="宋体" w:cs="宋体"/>
          <w:b/>
          <w:bCs/>
          <w:sz w:val="28"/>
          <w:szCs w:val="16"/>
          <w:highlight w:val="none"/>
        </w:rPr>
        <w:br w:type="page"/>
      </w:r>
    </w:p>
    <w:p w14:paraId="2C604580">
      <w:pPr>
        <w:spacing w:line="500" w:lineRule="exact"/>
        <w:jc w:val="center"/>
        <w:outlineLvl w:val="0"/>
        <w:rPr>
          <w:rFonts w:ascii="宋体" w:hAnsi="宋体" w:cs="宋体"/>
          <w:highlight w:val="none"/>
        </w:rPr>
      </w:pPr>
      <w:bookmarkStart w:id="40" w:name="_Toc21882"/>
      <w:r>
        <w:rPr>
          <w:rFonts w:hint="eastAsia" w:ascii="宋体" w:hAnsi="宋体" w:cs="宋体"/>
          <w:b/>
          <w:bCs/>
          <w:sz w:val="28"/>
          <w:szCs w:val="16"/>
          <w:highlight w:val="none"/>
        </w:rPr>
        <w:t>第</w:t>
      </w:r>
      <w:r>
        <w:rPr>
          <w:rFonts w:hint="eastAsia" w:ascii="宋体" w:hAnsi="宋体" w:cs="宋体"/>
          <w:b/>
          <w:bCs/>
          <w:sz w:val="28"/>
          <w:szCs w:val="16"/>
          <w:highlight w:val="none"/>
          <w:lang w:val="en-US" w:eastAsia="zh-CN"/>
        </w:rPr>
        <w:t>四</w:t>
      </w:r>
      <w:r>
        <w:rPr>
          <w:rFonts w:hint="eastAsia" w:ascii="宋体" w:hAnsi="宋体" w:cs="宋体"/>
          <w:b/>
          <w:bCs/>
          <w:sz w:val="28"/>
          <w:szCs w:val="16"/>
          <w:highlight w:val="none"/>
        </w:rPr>
        <w:t>章 询价响应文件格式</w:t>
      </w:r>
      <w:bookmarkEnd w:id="39"/>
      <w:bookmarkEnd w:id="40"/>
    </w:p>
    <w:p w14:paraId="4754B734">
      <w:pPr>
        <w:spacing w:line="500" w:lineRule="exact"/>
        <w:rPr>
          <w:rFonts w:ascii="宋体" w:hAnsi="宋体" w:cs="宋体"/>
          <w:spacing w:val="2"/>
          <w:sz w:val="28"/>
          <w:szCs w:val="28"/>
          <w:highlight w:val="none"/>
        </w:rPr>
      </w:pPr>
    </w:p>
    <w:p w14:paraId="1B1363EA">
      <w:pPr>
        <w:spacing w:line="500" w:lineRule="exact"/>
        <w:rPr>
          <w:rFonts w:ascii="宋体" w:hAnsi="宋体" w:cs="宋体"/>
          <w:spacing w:val="2"/>
          <w:sz w:val="28"/>
          <w:szCs w:val="28"/>
          <w:highlight w:val="none"/>
        </w:rPr>
      </w:pPr>
    </w:p>
    <w:p w14:paraId="71A56652">
      <w:pPr>
        <w:spacing w:line="500" w:lineRule="exact"/>
        <w:rPr>
          <w:rFonts w:ascii="宋体" w:hAnsi="宋体" w:cs="宋体"/>
          <w:spacing w:val="2"/>
          <w:sz w:val="28"/>
          <w:szCs w:val="28"/>
          <w:highlight w:val="none"/>
        </w:rPr>
      </w:pPr>
      <w:r>
        <w:rPr>
          <w:rFonts w:hint="eastAsia" w:ascii="宋体" w:hAnsi="宋体" w:cs="宋体"/>
          <w:spacing w:val="2"/>
          <w:sz w:val="28"/>
          <w:szCs w:val="28"/>
          <w:highlight w:val="none"/>
        </w:rPr>
        <w:t>封面：</w:t>
      </w:r>
    </w:p>
    <w:p w14:paraId="5956ED0A">
      <w:pPr>
        <w:spacing w:line="500" w:lineRule="exact"/>
        <w:rPr>
          <w:rFonts w:ascii="宋体" w:hAnsi="宋体" w:cs="宋体"/>
          <w:sz w:val="28"/>
          <w:szCs w:val="28"/>
          <w:highlight w:val="none"/>
        </w:rPr>
      </w:pPr>
    </w:p>
    <w:p w14:paraId="40EFE4FF">
      <w:pPr>
        <w:spacing w:line="800" w:lineRule="exact"/>
        <w:jc w:val="center"/>
        <w:rPr>
          <w:rFonts w:ascii="宋体" w:hAnsi="宋体" w:cs="宋体"/>
          <w:b/>
          <w:bCs/>
          <w:sz w:val="36"/>
          <w:szCs w:val="36"/>
          <w:highlight w:val="none"/>
        </w:rPr>
      </w:pPr>
    </w:p>
    <w:p w14:paraId="45302356">
      <w:pPr>
        <w:spacing w:line="800" w:lineRule="exact"/>
        <w:jc w:val="center"/>
        <w:rPr>
          <w:rFonts w:ascii="宋体" w:hAnsi="宋体" w:cs="宋体"/>
          <w:b/>
          <w:bCs/>
          <w:sz w:val="44"/>
          <w:szCs w:val="44"/>
          <w:highlight w:val="none"/>
        </w:rPr>
      </w:pPr>
      <w:r>
        <w:rPr>
          <w:rFonts w:hint="eastAsia" w:ascii="宋体" w:hAnsi="宋体" w:cs="宋体"/>
          <w:b/>
          <w:bCs/>
          <w:sz w:val="44"/>
          <w:szCs w:val="44"/>
          <w:highlight w:val="none"/>
        </w:rPr>
        <w:t>询 价 响 应 文 件</w:t>
      </w:r>
    </w:p>
    <w:p w14:paraId="60DA542A">
      <w:pPr>
        <w:spacing w:line="500" w:lineRule="exact"/>
        <w:jc w:val="center"/>
        <w:rPr>
          <w:rFonts w:ascii="宋体" w:hAnsi="宋体" w:cs="宋体"/>
          <w:b/>
          <w:bCs/>
          <w:sz w:val="44"/>
          <w:szCs w:val="44"/>
          <w:highlight w:val="none"/>
        </w:rPr>
      </w:pPr>
      <w:r>
        <w:rPr>
          <w:rFonts w:hint="eastAsia" w:ascii="宋体" w:hAnsi="宋体" w:cs="宋体"/>
          <w:b/>
          <w:bCs/>
          <w:sz w:val="44"/>
          <w:szCs w:val="44"/>
          <w:highlight w:val="none"/>
        </w:rPr>
        <w:t>（正本/副本）</w:t>
      </w:r>
    </w:p>
    <w:p w14:paraId="03A6CF79">
      <w:pPr>
        <w:spacing w:line="500" w:lineRule="exact"/>
        <w:jc w:val="center"/>
        <w:rPr>
          <w:rFonts w:ascii="宋体" w:hAnsi="宋体" w:cs="宋体"/>
          <w:sz w:val="28"/>
          <w:szCs w:val="28"/>
          <w:highlight w:val="none"/>
        </w:rPr>
      </w:pPr>
    </w:p>
    <w:p w14:paraId="5BDCA10B">
      <w:pPr>
        <w:spacing w:line="500" w:lineRule="exact"/>
        <w:jc w:val="center"/>
        <w:rPr>
          <w:rFonts w:ascii="宋体" w:hAnsi="宋体" w:cs="宋体"/>
          <w:sz w:val="28"/>
          <w:szCs w:val="28"/>
          <w:highlight w:val="none"/>
        </w:rPr>
      </w:pPr>
    </w:p>
    <w:p w14:paraId="57C65434">
      <w:pPr>
        <w:spacing w:line="500" w:lineRule="exact"/>
        <w:jc w:val="center"/>
        <w:rPr>
          <w:rFonts w:ascii="宋体" w:hAnsi="宋体" w:cs="宋体"/>
          <w:sz w:val="28"/>
          <w:szCs w:val="28"/>
          <w:highlight w:val="none"/>
        </w:rPr>
      </w:pPr>
    </w:p>
    <w:p w14:paraId="2C5965C3">
      <w:pPr>
        <w:spacing w:line="500" w:lineRule="exact"/>
        <w:rPr>
          <w:rFonts w:ascii="宋体" w:hAnsi="宋体" w:cs="宋体"/>
          <w:b/>
          <w:bCs/>
          <w:sz w:val="28"/>
          <w:szCs w:val="28"/>
          <w:highlight w:val="none"/>
        </w:rPr>
      </w:pPr>
      <w:r>
        <w:rPr>
          <w:rFonts w:hint="eastAsia" w:ascii="宋体" w:hAnsi="宋体" w:cs="宋体"/>
          <w:b/>
          <w:bCs/>
          <w:sz w:val="28"/>
          <w:szCs w:val="28"/>
          <w:highlight w:val="none"/>
        </w:rPr>
        <w:t xml:space="preserve">                   项目名称：</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rPr>
        <w:t xml:space="preserve"> </w:t>
      </w:r>
    </w:p>
    <w:p w14:paraId="7538EF68">
      <w:pPr>
        <w:spacing w:line="500" w:lineRule="exact"/>
        <w:rPr>
          <w:rFonts w:ascii="宋体" w:hAnsi="宋体" w:cs="宋体"/>
          <w:b/>
          <w:bCs/>
          <w:sz w:val="28"/>
          <w:szCs w:val="28"/>
          <w:highlight w:val="none"/>
        </w:rPr>
      </w:pPr>
      <w:r>
        <w:rPr>
          <w:rFonts w:hint="eastAsia" w:ascii="宋体" w:hAnsi="宋体" w:cs="宋体"/>
          <w:b/>
          <w:bCs/>
          <w:sz w:val="28"/>
          <w:szCs w:val="28"/>
          <w:highlight w:val="none"/>
        </w:rPr>
        <w:t xml:space="preserve">                   项目编号：</w:t>
      </w:r>
      <w:r>
        <w:rPr>
          <w:rFonts w:hint="eastAsia" w:ascii="宋体" w:hAnsi="宋体" w:cs="宋体"/>
          <w:b/>
          <w:bCs/>
          <w:sz w:val="28"/>
          <w:szCs w:val="28"/>
          <w:highlight w:val="none"/>
          <w:u w:val="single"/>
        </w:rPr>
        <w:t xml:space="preserve">                   </w:t>
      </w:r>
    </w:p>
    <w:p w14:paraId="275391CF">
      <w:pPr>
        <w:tabs>
          <w:tab w:val="left" w:pos="2625"/>
        </w:tabs>
        <w:spacing w:line="500" w:lineRule="exact"/>
        <w:jc w:val="center"/>
        <w:rPr>
          <w:rFonts w:ascii="宋体" w:hAnsi="宋体" w:cs="宋体"/>
          <w:b/>
          <w:bCs/>
          <w:sz w:val="28"/>
          <w:szCs w:val="28"/>
          <w:highlight w:val="none"/>
        </w:rPr>
      </w:pPr>
    </w:p>
    <w:p w14:paraId="13D81690">
      <w:pPr>
        <w:tabs>
          <w:tab w:val="left" w:pos="2625"/>
        </w:tabs>
        <w:spacing w:line="500" w:lineRule="exact"/>
        <w:jc w:val="center"/>
        <w:rPr>
          <w:rFonts w:ascii="宋体" w:hAnsi="宋体" w:cs="宋体"/>
          <w:sz w:val="28"/>
          <w:szCs w:val="28"/>
          <w:highlight w:val="none"/>
        </w:rPr>
      </w:pPr>
    </w:p>
    <w:p w14:paraId="2DCAD2A5">
      <w:pPr>
        <w:tabs>
          <w:tab w:val="left" w:pos="2625"/>
        </w:tabs>
        <w:spacing w:line="500" w:lineRule="exact"/>
        <w:jc w:val="center"/>
        <w:rPr>
          <w:rFonts w:ascii="宋体" w:hAnsi="宋体" w:cs="宋体"/>
          <w:sz w:val="28"/>
          <w:szCs w:val="28"/>
          <w:highlight w:val="none"/>
        </w:rPr>
      </w:pPr>
    </w:p>
    <w:p w14:paraId="5FB4C64C">
      <w:pPr>
        <w:tabs>
          <w:tab w:val="left" w:pos="2625"/>
        </w:tabs>
        <w:spacing w:line="500" w:lineRule="exact"/>
        <w:jc w:val="center"/>
        <w:rPr>
          <w:rFonts w:ascii="宋体" w:hAnsi="宋体" w:cs="宋体"/>
          <w:sz w:val="28"/>
          <w:szCs w:val="28"/>
          <w:highlight w:val="none"/>
        </w:rPr>
      </w:pPr>
    </w:p>
    <w:p w14:paraId="5E018DFE">
      <w:pPr>
        <w:tabs>
          <w:tab w:val="left" w:pos="2625"/>
        </w:tabs>
        <w:spacing w:line="500" w:lineRule="exact"/>
        <w:jc w:val="center"/>
        <w:rPr>
          <w:rFonts w:ascii="宋体" w:hAnsi="宋体" w:cs="宋体"/>
          <w:sz w:val="28"/>
          <w:szCs w:val="28"/>
          <w:highlight w:val="none"/>
        </w:rPr>
      </w:pPr>
    </w:p>
    <w:p w14:paraId="44C5DFB2">
      <w:pPr>
        <w:tabs>
          <w:tab w:val="left" w:pos="2625"/>
        </w:tabs>
        <w:spacing w:line="500" w:lineRule="exact"/>
        <w:jc w:val="center"/>
        <w:rPr>
          <w:rFonts w:ascii="宋体" w:hAnsi="宋体" w:cs="宋体"/>
          <w:sz w:val="28"/>
          <w:szCs w:val="28"/>
          <w:highlight w:val="none"/>
        </w:rPr>
      </w:pPr>
    </w:p>
    <w:p w14:paraId="42EB0970">
      <w:pPr>
        <w:spacing w:line="500" w:lineRule="exact"/>
        <w:jc w:val="center"/>
        <w:rPr>
          <w:rFonts w:ascii="宋体" w:hAnsi="宋体" w:cs="宋体"/>
          <w:b/>
          <w:bCs/>
          <w:sz w:val="28"/>
          <w:szCs w:val="28"/>
          <w:highlight w:val="none"/>
          <w:u w:val="single"/>
        </w:rPr>
      </w:pPr>
      <w:r>
        <w:rPr>
          <w:rFonts w:hint="eastAsia" w:ascii="宋体" w:hAnsi="宋体" w:cs="宋体"/>
          <w:b/>
          <w:bCs/>
          <w:sz w:val="28"/>
          <w:szCs w:val="28"/>
          <w:highlight w:val="none"/>
          <w:u w:val="single"/>
        </w:rPr>
        <w:t>（供应商名称）（盖章）</w:t>
      </w:r>
    </w:p>
    <w:p w14:paraId="346B7BAD">
      <w:pPr>
        <w:spacing w:line="500" w:lineRule="exact"/>
        <w:jc w:val="center"/>
        <w:rPr>
          <w:rFonts w:ascii="宋体" w:hAnsi="宋体" w:cs="宋体"/>
          <w:sz w:val="28"/>
          <w:szCs w:val="28"/>
          <w:highlight w:val="none"/>
          <w:u w:val="singl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6179C3AA">
      <w:pPr>
        <w:spacing w:line="500" w:lineRule="exact"/>
        <w:jc w:val="center"/>
        <w:rPr>
          <w:rFonts w:ascii="宋体" w:hAnsi="宋体" w:cs="宋体"/>
          <w:b/>
          <w:sz w:val="28"/>
          <w:szCs w:val="28"/>
          <w:highlight w:val="none"/>
        </w:rPr>
      </w:pPr>
    </w:p>
    <w:p w14:paraId="2451A57B">
      <w:pPr>
        <w:outlineLvl w:val="1"/>
        <w:rPr>
          <w:rStyle w:val="28"/>
          <w:rFonts w:ascii="宋体" w:hAnsi="宋体" w:cs="宋体"/>
          <w:highlight w:val="none"/>
        </w:rPr>
      </w:pPr>
      <w:r>
        <w:rPr>
          <w:rStyle w:val="28"/>
          <w:rFonts w:hint="eastAsia" w:ascii="宋体" w:hAnsi="宋体" w:cs="宋体"/>
          <w:highlight w:val="none"/>
        </w:rPr>
        <w:br w:type="page"/>
      </w:r>
      <w:r>
        <w:rPr>
          <w:rStyle w:val="28"/>
          <w:rFonts w:hint="eastAsia" w:ascii="宋体" w:hAnsi="宋体" w:cs="宋体"/>
          <w:highlight w:val="none"/>
        </w:rPr>
        <w:t>附件一：</w:t>
      </w:r>
    </w:p>
    <w:p w14:paraId="74DB497C">
      <w:pPr>
        <w:spacing w:line="500" w:lineRule="exact"/>
        <w:jc w:val="center"/>
        <w:rPr>
          <w:rFonts w:ascii="宋体" w:hAnsi="宋体" w:cs="宋体"/>
          <w:b/>
          <w:bCs/>
          <w:sz w:val="24"/>
          <w:szCs w:val="24"/>
          <w:highlight w:val="none"/>
        </w:rPr>
      </w:pPr>
      <w:r>
        <w:rPr>
          <w:rFonts w:hint="eastAsia" w:ascii="宋体" w:hAnsi="宋体" w:cs="宋体"/>
          <w:b/>
          <w:bCs/>
          <w:sz w:val="24"/>
          <w:szCs w:val="24"/>
          <w:highlight w:val="none"/>
        </w:rPr>
        <w:t>询价响应书</w:t>
      </w:r>
    </w:p>
    <w:p w14:paraId="0D6BE70E">
      <w:pPr>
        <w:adjustRightInd w:val="0"/>
        <w:snapToGrid w:val="0"/>
        <w:spacing w:line="460" w:lineRule="exact"/>
        <w:rPr>
          <w:rFonts w:ascii="宋体" w:hAnsi="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20EDE15C">
      <w:pPr>
        <w:autoSpaceDE w:val="0"/>
        <w:autoSpaceDN w:val="0"/>
        <w:adjustRightInd w:val="0"/>
        <w:spacing w:line="460" w:lineRule="exact"/>
        <w:ind w:right="26" w:firstLine="480" w:firstLineChars="200"/>
        <w:rPr>
          <w:rFonts w:ascii="宋体" w:hAnsi="宋体" w:cs="宋体"/>
          <w:kern w:val="0"/>
          <w:sz w:val="24"/>
          <w:szCs w:val="24"/>
          <w:highlight w:val="none"/>
        </w:rPr>
      </w:pPr>
      <w:r>
        <w:rPr>
          <w:rFonts w:hint="eastAsia" w:ascii="宋体" w:hAnsi="宋体" w:cs="宋体"/>
          <w:kern w:val="0"/>
          <w:sz w:val="24"/>
          <w:szCs w:val="24"/>
          <w:highlight w:val="none"/>
        </w:rPr>
        <w:t>依据贵方</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采购项目名称/项目编号</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项目询价通知书，我方代表</w:t>
      </w:r>
      <w:r>
        <w:rPr>
          <w:rFonts w:hint="eastAsia" w:ascii="宋体" w:hAnsi="宋体" w:cs="宋体"/>
          <w:sz w:val="24"/>
          <w:szCs w:val="24"/>
          <w:highlight w:val="none"/>
          <w:u w:val="single"/>
        </w:rPr>
        <w:t>（姓名、职务</w:t>
      </w:r>
      <w:r>
        <w:rPr>
          <w:rFonts w:hint="eastAsia" w:ascii="宋体" w:hAnsi="宋体" w:cs="宋体"/>
          <w:kern w:val="0"/>
          <w:sz w:val="24"/>
          <w:szCs w:val="24"/>
          <w:highlight w:val="none"/>
        </w:rPr>
        <w:t>）经正式授权并代表供应商</w:t>
      </w:r>
      <w:r>
        <w:rPr>
          <w:rFonts w:hint="eastAsia" w:ascii="宋体" w:hAnsi="宋体" w:cs="宋体"/>
          <w:sz w:val="24"/>
          <w:szCs w:val="24"/>
          <w:highlight w:val="none"/>
          <w:u w:val="single"/>
        </w:rPr>
        <w:t>（供应商名称、地址）</w:t>
      </w:r>
      <w:r>
        <w:rPr>
          <w:rFonts w:hint="eastAsia" w:ascii="宋体" w:hAnsi="宋体" w:cs="宋体"/>
          <w:kern w:val="0"/>
          <w:sz w:val="24"/>
          <w:szCs w:val="24"/>
          <w:highlight w:val="none"/>
        </w:rPr>
        <w:t>提交下述文件正本一份，副本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份。</w:t>
      </w:r>
    </w:p>
    <w:p w14:paraId="0E1764CD">
      <w:pPr>
        <w:pStyle w:val="13"/>
        <w:numPr>
          <w:ilvl w:val="0"/>
          <w:numId w:val="7"/>
        </w:numPr>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报价一览表；</w:t>
      </w:r>
    </w:p>
    <w:p w14:paraId="164910CE">
      <w:pPr>
        <w:pStyle w:val="13"/>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2、法定代表人身份证明复印件和法定代表人授权委托书；</w:t>
      </w:r>
    </w:p>
    <w:p w14:paraId="172F3B68">
      <w:pPr>
        <w:pStyle w:val="13"/>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3、营业执照复印件；</w:t>
      </w:r>
    </w:p>
    <w:p w14:paraId="457C618A">
      <w:pPr>
        <w:spacing w:line="500" w:lineRule="exact"/>
        <w:ind w:firstLine="600" w:firstLineChars="250"/>
        <w:rPr>
          <w:rFonts w:ascii="宋体" w:hAnsi="宋体" w:cs="宋体"/>
          <w:bCs/>
          <w:sz w:val="24"/>
          <w:szCs w:val="24"/>
          <w:highlight w:val="none"/>
        </w:rPr>
      </w:pPr>
      <w:r>
        <w:rPr>
          <w:rFonts w:hint="eastAsia" w:ascii="宋体" w:hAnsi="宋体" w:cs="宋体"/>
          <w:bCs/>
          <w:sz w:val="24"/>
          <w:szCs w:val="24"/>
          <w:highlight w:val="none"/>
        </w:rPr>
        <w:t>4、供应商基本情况；</w:t>
      </w:r>
    </w:p>
    <w:p w14:paraId="43DAC56D">
      <w:pPr>
        <w:pStyle w:val="13"/>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5、供应商认为需要提供的有关资料；</w:t>
      </w:r>
    </w:p>
    <w:p w14:paraId="03E123DF">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在此，我方宣布同意如下：</w:t>
      </w:r>
    </w:p>
    <w:p w14:paraId="3921D102">
      <w:pPr>
        <w:autoSpaceDE w:val="0"/>
        <w:autoSpaceDN w:val="0"/>
        <w:adjustRightInd w:val="0"/>
        <w:spacing w:line="460" w:lineRule="exact"/>
        <w:ind w:left="839" w:leftChars="228" w:right="26" w:hanging="360" w:hangingChars="150"/>
        <w:rPr>
          <w:rFonts w:ascii="宋体" w:hAnsi="宋体" w:cs="宋体"/>
          <w:kern w:val="0"/>
          <w:sz w:val="24"/>
          <w:szCs w:val="24"/>
          <w:highlight w:val="none"/>
          <w:u w:val="single"/>
        </w:rPr>
      </w:pPr>
      <w:r>
        <w:rPr>
          <w:rFonts w:hint="eastAsia" w:ascii="宋体" w:hAnsi="宋体" w:cs="宋体"/>
          <w:kern w:val="0"/>
          <w:sz w:val="24"/>
          <w:szCs w:val="24"/>
          <w:highlight w:val="none"/>
        </w:rPr>
        <w:t>1. 我方所附《报价一览表》中完全响应询价通知书中采购内容的</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报价为</w:t>
      </w:r>
      <w:r>
        <w:rPr>
          <w:rFonts w:hint="eastAsia" w:ascii="宋体" w:hAnsi="宋体" w:cs="宋体"/>
          <w:sz w:val="24"/>
          <w:szCs w:val="24"/>
          <w:highlight w:val="none"/>
          <w:u w:val="single"/>
        </w:rPr>
        <w:t>（注明币种，并用文字和数字表示报价）</w:t>
      </w:r>
      <w:r>
        <w:rPr>
          <w:rFonts w:hint="eastAsia" w:ascii="宋体" w:hAnsi="宋体" w:cs="宋体"/>
          <w:kern w:val="0"/>
          <w:sz w:val="24"/>
          <w:szCs w:val="24"/>
          <w:highlight w:val="none"/>
        </w:rPr>
        <w:t>。</w:t>
      </w:r>
    </w:p>
    <w:p w14:paraId="1B60CBF1">
      <w:pPr>
        <w:autoSpaceDE w:val="0"/>
        <w:autoSpaceDN w:val="0"/>
        <w:adjustRightInd w:val="0"/>
        <w:spacing w:line="460" w:lineRule="exact"/>
        <w:ind w:left="839" w:leftChars="228" w:right="26" w:hanging="360" w:hangingChars="150"/>
        <w:rPr>
          <w:rFonts w:ascii="宋体" w:hAnsi="宋体" w:cs="宋体"/>
          <w:kern w:val="0"/>
          <w:sz w:val="24"/>
          <w:szCs w:val="24"/>
          <w:highlight w:val="none"/>
          <w:u w:val="single"/>
        </w:rPr>
      </w:pPr>
      <w:r>
        <w:rPr>
          <w:rFonts w:hint="eastAsia" w:ascii="宋体" w:hAnsi="宋体" w:cs="宋体"/>
          <w:kern w:val="0"/>
          <w:sz w:val="24"/>
          <w:szCs w:val="24"/>
          <w:highlight w:val="none"/>
        </w:rPr>
        <w:t>2. 我方将按询价通知书的约定履行合同责任和义务。</w:t>
      </w:r>
    </w:p>
    <w:p w14:paraId="5F955DB9">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highlight w:val="none"/>
        </w:rPr>
      </w:pPr>
      <w:r>
        <w:rPr>
          <w:rFonts w:hint="eastAsia" w:ascii="宋体" w:hAnsi="宋体" w:cs="宋体"/>
          <w:kern w:val="0"/>
          <w:sz w:val="24"/>
          <w:szCs w:val="24"/>
          <w:highlight w:val="none"/>
        </w:rPr>
        <w:t>3. 我方已详细审查全部询价通知书，包括</w:t>
      </w:r>
      <w:r>
        <w:rPr>
          <w:rFonts w:hint="eastAsia" w:ascii="宋体" w:hAnsi="宋体" w:cs="宋体"/>
          <w:kern w:val="0"/>
          <w:sz w:val="24"/>
          <w:szCs w:val="24"/>
          <w:highlight w:val="none"/>
          <w:u w:val="single"/>
        </w:rPr>
        <w:t>（补充文件）</w:t>
      </w:r>
      <w:r>
        <w:rPr>
          <w:rFonts w:hint="eastAsia" w:ascii="宋体" w:hAnsi="宋体" w:cs="宋体"/>
          <w:kern w:val="0"/>
          <w:sz w:val="24"/>
          <w:szCs w:val="24"/>
          <w:highlight w:val="none"/>
        </w:rPr>
        <w:t>，对此无异议。</w:t>
      </w:r>
    </w:p>
    <w:p w14:paraId="0076AACB">
      <w:pPr>
        <w:autoSpaceDE w:val="0"/>
        <w:autoSpaceDN w:val="0"/>
        <w:adjustRightInd w:val="0"/>
        <w:spacing w:line="460" w:lineRule="exact"/>
        <w:ind w:left="839" w:leftChars="228" w:right="246" w:hanging="360" w:hangingChars="150"/>
        <w:rPr>
          <w:rFonts w:ascii="宋体" w:hAnsi="宋体" w:cs="宋体"/>
          <w:kern w:val="0"/>
          <w:sz w:val="24"/>
          <w:szCs w:val="24"/>
          <w:highlight w:val="none"/>
        </w:rPr>
      </w:pPr>
      <w:r>
        <w:rPr>
          <w:rFonts w:hint="eastAsia" w:ascii="宋体" w:hAnsi="宋体" w:cs="宋体"/>
          <w:kern w:val="0"/>
          <w:sz w:val="24"/>
          <w:szCs w:val="24"/>
          <w:highlight w:val="none"/>
        </w:rPr>
        <w:t>4. 本报价有效期（询价有效期）为自询</w:t>
      </w:r>
      <w:r>
        <w:rPr>
          <w:rFonts w:hint="eastAsia" w:ascii="宋体" w:hAnsi="宋体" w:cs="宋体"/>
          <w:kern w:val="0"/>
          <w:sz w:val="24"/>
          <w:szCs w:val="24"/>
          <w:highlight w:val="none"/>
        </w:rPr>
        <w:t>价之日起共</w:t>
      </w:r>
      <w:r>
        <w:rPr>
          <w:rFonts w:hint="eastAsia" w:ascii="宋体" w:hAnsi="宋体" w:cs="宋体"/>
          <w:kern w:val="0"/>
          <w:sz w:val="24"/>
          <w:szCs w:val="24"/>
          <w:highlight w:val="none"/>
          <w:u w:val="single"/>
          <w:lang w:val="en-US" w:eastAsia="zh-CN"/>
        </w:rPr>
        <w:t>60</w:t>
      </w:r>
      <w:r>
        <w:rPr>
          <w:rFonts w:hint="eastAsia" w:ascii="宋体" w:hAnsi="宋体" w:cs="宋体"/>
          <w:kern w:val="0"/>
          <w:sz w:val="24"/>
          <w:szCs w:val="24"/>
          <w:highlight w:val="none"/>
        </w:rPr>
        <w:t>个日历</w:t>
      </w:r>
      <w:r>
        <w:rPr>
          <w:rFonts w:hint="eastAsia" w:ascii="宋体" w:hAnsi="宋体" w:cs="宋体"/>
          <w:kern w:val="0"/>
          <w:sz w:val="24"/>
          <w:szCs w:val="24"/>
          <w:highlight w:val="none"/>
          <w:lang w:val="en-US" w:eastAsia="zh-CN"/>
        </w:rPr>
        <w:t>天</w:t>
      </w:r>
      <w:r>
        <w:rPr>
          <w:rFonts w:hint="eastAsia" w:ascii="宋体" w:hAnsi="宋体" w:cs="宋体"/>
          <w:kern w:val="0"/>
          <w:sz w:val="24"/>
          <w:szCs w:val="24"/>
          <w:highlight w:val="none"/>
        </w:rPr>
        <w:t>。</w:t>
      </w:r>
    </w:p>
    <w:p w14:paraId="3435091C">
      <w:pPr>
        <w:autoSpaceDE w:val="0"/>
        <w:autoSpaceDN w:val="0"/>
        <w:adjustRightInd w:val="0"/>
        <w:spacing w:line="460" w:lineRule="exact"/>
        <w:ind w:left="839" w:leftChars="228" w:right="33" w:hanging="360" w:hangingChars="150"/>
        <w:rPr>
          <w:rFonts w:ascii="宋体" w:hAnsi="宋体" w:cs="宋体"/>
          <w:kern w:val="0"/>
          <w:sz w:val="24"/>
          <w:szCs w:val="24"/>
          <w:highlight w:val="none"/>
        </w:rPr>
      </w:pPr>
      <w:r>
        <w:rPr>
          <w:rFonts w:hint="eastAsia" w:ascii="宋体" w:hAnsi="宋体" w:cs="宋体"/>
          <w:kern w:val="0"/>
          <w:sz w:val="24"/>
          <w:szCs w:val="24"/>
          <w:highlight w:val="none"/>
        </w:rPr>
        <w:t>5. 同意提供按照贵方可能要求的与其报价有关的一切数据或资料。</w:t>
      </w:r>
    </w:p>
    <w:p w14:paraId="1DB367CB">
      <w:pPr>
        <w:autoSpaceDE w:val="0"/>
        <w:autoSpaceDN w:val="0"/>
        <w:adjustRightInd w:val="0"/>
        <w:spacing w:line="460" w:lineRule="exact"/>
        <w:ind w:left="839" w:leftChars="228" w:right="246" w:hanging="360" w:hangingChars="150"/>
        <w:rPr>
          <w:rFonts w:ascii="宋体" w:hAnsi="宋体" w:cs="宋体"/>
          <w:kern w:val="0"/>
          <w:sz w:val="24"/>
          <w:szCs w:val="24"/>
          <w:highlight w:val="none"/>
        </w:rPr>
      </w:pPr>
      <w:r>
        <w:rPr>
          <w:rFonts w:hint="eastAsia" w:ascii="宋体" w:hAnsi="宋体" w:cs="宋体"/>
          <w:kern w:val="0"/>
          <w:sz w:val="24"/>
          <w:szCs w:val="24"/>
          <w:highlight w:val="none"/>
        </w:rPr>
        <w:t xml:space="preserve">6. 与本报价有关的一切正式往来信函请寄：          </w:t>
      </w:r>
    </w:p>
    <w:p w14:paraId="14821A4E">
      <w:pPr>
        <w:adjustRightInd w:val="0"/>
        <w:snapToGrid w:val="0"/>
        <w:spacing w:line="460" w:lineRule="exact"/>
        <w:rPr>
          <w:rFonts w:ascii="宋体" w:hAnsi="宋体" w:cs="宋体"/>
          <w:sz w:val="24"/>
          <w:szCs w:val="24"/>
          <w:highlight w:val="none"/>
        </w:rPr>
      </w:pPr>
    </w:p>
    <w:p w14:paraId="589D727E">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供应商名称</w:t>
      </w:r>
      <w:r>
        <w:rPr>
          <w:rFonts w:hint="eastAsia" w:ascii="宋体" w:hAnsi="宋体" w:cs="宋体"/>
          <w:sz w:val="24"/>
          <w:szCs w:val="24"/>
          <w:highlight w:val="none"/>
          <w:lang w:eastAsia="zh-CN"/>
        </w:rPr>
        <w:t>（</w:t>
      </w:r>
      <w:r>
        <w:rPr>
          <w:rFonts w:hint="eastAsia" w:ascii="宋体" w:hAnsi="宋体" w:cs="宋体"/>
          <w:sz w:val="24"/>
          <w:szCs w:val="24"/>
          <w:highlight w:val="none"/>
        </w:rPr>
        <w:t>盖章</w:t>
      </w:r>
      <w:r>
        <w:rPr>
          <w:rFonts w:hint="eastAsia" w:ascii="宋体" w:hAnsi="宋体" w:cs="宋体"/>
          <w:sz w:val="24"/>
          <w:szCs w:val="24"/>
          <w:highlight w:val="none"/>
          <w:lang w:eastAsia="zh-CN"/>
        </w:rPr>
        <w:t>）</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p>
    <w:p w14:paraId="57CFC25B">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地址：</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电子函件：</w:t>
      </w:r>
      <w:r>
        <w:rPr>
          <w:rFonts w:hint="eastAsia" w:ascii="宋体" w:hAnsi="宋体" w:cs="宋体"/>
          <w:kern w:val="0"/>
          <w:sz w:val="24"/>
          <w:szCs w:val="24"/>
          <w:highlight w:val="none"/>
          <w:u w:val="single"/>
        </w:rPr>
        <w:t xml:space="preserve">                        </w:t>
      </w:r>
    </w:p>
    <w:p w14:paraId="6A1B5CC2">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电话：</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传真：</w:t>
      </w:r>
      <w:r>
        <w:rPr>
          <w:rFonts w:hint="eastAsia" w:ascii="宋体" w:hAnsi="宋体" w:cs="宋体"/>
          <w:kern w:val="0"/>
          <w:sz w:val="24"/>
          <w:szCs w:val="24"/>
          <w:highlight w:val="none"/>
          <w:u w:val="single"/>
        </w:rPr>
        <w:t xml:space="preserve">                 </w:t>
      </w:r>
    </w:p>
    <w:p w14:paraId="1325AF7B">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供应商（授权）代表签字：</w:t>
      </w:r>
      <w:r>
        <w:rPr>
          <w:rFonts w:hint="eastAsia" w:ascii="宋体" w:hAnsi="宋体" w:cs="宋体"/>
          <w:sz w:val="24"/>
          <w:szCs w:val="24"/>
          <w:highlight w:val="none"/>
          <w:u w:val="single"/>
        </w:rPr>
        <w:t xml:space="preserve">                 </w:t>
      </w:r>
    </w:p>
    <w:p w14:paraId="7E318584">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p>
    <w:p w14:paraId="318E2A41">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开户银行：</w:t>
      </w:r>
      <w:r>
        <w:rPr>
          <w:rFonts w:hint="eastAsia" w:ascii="宋体" w:hAnsi="宋体" w:cs="宋体"/>
          <w:sz w:val="24"/>
          <w:szCs w:val="24"/>
          <w:highlight w:val="none"/>
          <w:u w:val="single"/>
        </w:rPr>
        <w:t xml:space="preserve">                               </w:t>
      </w:r>
    </w:p>
    <w:p w14:paraId="729DAA0E">
      <w:pPr>
        <w:autoSpaceDE w:val="0"/>
        <w:autoSpaceDN w:val="0"/>
        <w:spacing w:line="460" w:lineRule="exact"/>
        <w:rPr>
          <w:rFonts w:ascii="宋体" w:hAnsi="宋体" w:cs="宋体"/>
          <w:b/>
          <w:sz w:val="28"/>
          <w:szCs w:val="28"/>
          <w:highlight w:val="none"/>
        </w:rPr>
      </w:pPr>
      <w:r>
        <w:rPr>
          <w:rFonts w:hint="eastAsia" w:ascii="宋体" w:hAnsi="宋体" w:cs="宋体"/>
          <w:sz w:val="24"/>
          <w:szCs w:val="24"/>
          <w:highlight w:val="none"/>
        </w:rPr>
        <w:t>帐号/行号：</w:t>
      </w:r>
      <w:r>
        <w:rPr>
          <w:rFonts w:hint="eastAsia" w:ascii="宋体" w:hAnsi="宋体" w:cs="宋体"/>
          <w:sz w:val="24"/>
          <w:szCs w:val="24"/>
          <w:highlight w:val="none"/>
          <w:u w:val="single"/>
        </w:rPr>
        <w:t xml:space="preserve">                         </w:t>
      </w:r>
    </w:p>
    <w:p w14:paraId="17A532D8">
      <w:pPr>
        <w:spacing w:line="560" w:lineRule="exact"/>
        <w:rPr>
          <w:rStyle w:val="28"/>
          <w:rFonts w:ascii="宋体" w:hAnsi="宋体" w:cs="宋体"/>
          <w:szCs w:val="28"/>
          <w:highlight w:val="none"/>
        </w:rPr>
      </w:pPr>
    </w:p>
    <w:p w14:paraId="1DE88C44">
      <w:pPr>
        <w:spacing w:line="560" w:lineRule="exact"/>
        <w:rPr>
          <w:rStyle w:val="28"/>
          <w:rFonts w:ascii="宋体" w:hAnsi="宋体" w:cs="宋体"/>
          <w:szCs w:val="28"/>
          <w:highlight w:val="none"/>
        </w:rPr>
      </w:pPr>
    </w:p>
    <w:p w14:paraId="3512CFB8">
      <w:pPr>
        <w:pStyle w:val="10"/>
        <w:rPr>
          <w:rFonts w:ascii="宋体" w:hAnsi="宋体" w:cs="宋体"/>
          <w:highlight w:val="none"/>
        </w:rPr>
      </w:pPr>
    </w:p>
    <w:p w14:paraId="1289C86E">
      <w:pPr>
        <w:spacing w:line="560" w:lineRule="exact"/>
        <w:outlineLvl w:val="1"/>
        <w:rPr>
          <w:rStyle w:val="28"/>
          <w:rFonts w:ascii="宋体" w:hAnsi="宋体" w:cs="宋体"/>
          <w:szCs w:val="28"/>
          <w:highlight w:val="none"/>
        </w:rPr>
      </w:pPr>
      <w:r>
        <w:rPr>
          <w:rStyle w:val="28"/>
          <w:rFonts w:hint="eastAsia" w:ascii="宋体" w:hAnsi="宋体" w:cs="宋体"/>
          <w:szCs w:val="28"/>
          <w:highlight w:val="none"/>
        </w:rPr>
        <w:t>附件二：</w:t>
      </w:r>
    </w:p>
    <w:p w14:paraId="7AAFCDE2">
      <w:pPr>
        <w:spacing w:line="500" w:lineRule="exact"/>
        <w:jc w:val="center"/>
        <w:rPr>
          <w:rFonts w:hint="eastAsia" w:ascii="宋体" w:hAnsi="宋体" w:eastAsia="宋体" w:cs="宋体"/>
          <w:b/>
          <w:sz w:val="24"/>
          <w:szCs w:val="24"/>
          <w:highlight w:val="none"/>
          <w:lang w:eastAsia="zh-CN"/>
        </w:rPr>
      </w:pPr>
      <w:r>
        <w:rPr>
          <w:rFonts w:hint="eastAsia" w:ascii="宋体" w:hAnsi="宋体" w:cs="宋体"/>
          <w:b/>
          <w:sz w:val="24"/>
          <w:szCs w:val="24"/>
          <w:highlight w:val="none"/>
        </w:rPr>
        <w:t>报价一览表</w:t>
      </w:r>
    </w:p>
    <w:p w14:paraId="3C18838E">
      <w:pPr>
        <w:spacing w:line="500" w:lineRule="exact"/>
        <w:rPr>
          <w:rFonts w:hint="eastAsia" w:ascii="宋体" w:hAnsi="宋体" w:cs="宋体"/>
          <w:sz w:val="24"/>
          <w:szCs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0A50535C">
      <w:pPr>
        <w:spacing w:line="500" w:lineRule="exact"/>
        <w:rPr>
          <w:rFonts w:ascii="宋体" w:hAnsi="宋体" w:cs="宋体"/>
          <w:sz w:val="24"/>
          <w:szCs w:val="24"/>
          <w:highlight w:val="none"/>
          <w:u w:val="single"/>
        </w:rPr>
      </w:pPr>
      <w:r>
        <w:rPr>
          <w:rFonts w:hint="eastAsia" w:ascii="宋体" w:hAnsi="宋体" w:cs="宋体"/>
          <w:sz w:val="24"/>
          <w:szCs w:val="24"/>
          <w:highlight w:val="none"/>
          <w:lang w:val="en-US" w:eastAsia="zh-CN"/>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tbl>
      <w:tblPr>
        <w:tblStyle w:val="25"/>
        <w:tblW w:w="93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6732"/>
      </w:tblGrid>
      <w:tr w14:paraId="13331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15" w:type="dxa"/>
            <w:tcBorders>
              <w:tl2br w:val="nil"/>
              <w:tr2bl w:val="nil"/>
            </w:tcBorders>
            <w:vAlign w:val="center"/>
          </w:tcPr>
          <w:p w14:paraId="66D829CE">
            <w:pPr>
              <w:jc w:val="center"/>
              <w:rPr>
                <w:rFonts w:ascii="宋体" w:hAnsi="宋体" w:cs="宋体"/>
                <w:szCs w:val="21"/>
                <w:highlight w:val="none"/>
              </w:rPr>
            </w:pPr>
            <w:r>
              <w:rPr>
                <w:rFonts w:hint="eastAsia" w:ascii="宋体" w:hAnsi="宋体" w:cs="宋体"/>
                <w:szCs w:val="21"/>
                <w:highlight w:val="none"/>
              </w:rPr>
              <w:t>供应商名称</w:t>
            </w:r>
          </w:p>
        </w:tc>
        <w:tc>
          <w:tcPr>
            <w:tcW w:w="6732" w:type="dxa"/>
            <w:tcBorders>
              <w:tl2br w:val="nil"/>
              <w:tr2bl w:val="nil"/>
            </w:tcBorders>
            <w:vAlign w:val="center"/>
          </w:tcPr>
          <w:p w14:paraId="1E4A9262">
            <w:pPr>
              <w:jc w:val="center"/>
              <w:rPr>
                <w:rFonts w:ascii="宋体" w:hAnsi="宋体" w:cs="宋体"/>
                <w:szCs w:val="21"/>
                <w:highlight w:val="none"/>
              </w:rPr>
            </w:pPr>
          </w:p>
        </w:tc>
      </w:tr>
      <w:tr w14:paraId="478AC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15" w:type="dxa"/>
            <w:tcBorders>
              <w:tl2br w:val="nil"/>
              <w:tr2bl w:val="nil"/>
            </w:tcBorders>
            <w:vAlign w:val="center"/>
          </w:tcPr>
          <w:p w14:paraId="78A597D8">
            <w:pPr>
              <w:jc w:val="center"/>
              <w:rPr>
                <w:rFonts w:ascii="宋体" w:hAnsi="宋体" w:cs="宋体"/>
                <w:szCs w:val="21"/>
                <w:highlight w:val="none"/>
              </w:rPr>
            </w:pPr>
            <w:r>
              <w:rPr>
                <w:rFonts w:hint="eastAsia" w:ascii="宋体" w:hAnsi="宋体" w:cs="宋体"/>
                <w:szCs w:val="21"/>
                <w:highlight w:val="none"/>
              </w:rPr>
              <w:t>供应商地址</w:t>
            </w:r>
          </w:p>
        </w:tc>
        <w:tc>
          <w:tcPr>
            <w:tcW w:w="6732" w:type="dxa"/>
            <w:tcBorders>
              <w:tl2br w:val="nil"/>
              <w:tr2bl w:val="nil"/>
            </w:tcBorders>
            <w:vAlign w:val="center"/>
          </w:tcPr>
          <w:p w14:paraId="3B693950">
            <w:pPr>
              <w:jc w:val="center"/>
              <w:rPr>
                <w:rFonts w:ascii="宋体" w:hAnsi="宋体" w:cs="宋体"/>
                <w:szCs w:val="21"/>
                <w:highlight w:val="none"/>
              </w:rPr>
            </w:pPr>
          </w:p>
        </w:tc>
      </w:tr>
      <w:tr w14:paraId="52260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15" w:type="dxa"/>
            <w:tcBorders>
              <w:tl2br w:val="nil"/>
              <w:tr2bl w:val="nil"/>
            </w:tcBorders>
            <w:vAlign w:val="center"/>
          </w:tcPr>
          <w:p w14:paraId="35EF304C">
            <w:pPr>
              <w:jc w:val="center"/>
              <w:rPr>
                <w:rFonts w:ascii="宋体" w:hAnsi="宋体" w:cs="宋体"/>
                <w:szCs w:val="21"/>
                <w:highlight w:val="none"/>
              </w:rPr>
            </w:pPr>
            <w:r>
              <w:rPr>
                <w:rFonts w:hint="eastAsia" w:ascii="宋体" w:hAnsi="宋体" w:cs="宋体"/>
                <w:szCs w:val="21"/>
                <w:highlight w:val="none"/>
              </w:rPr>
              <w:t>项目名称</w:t>
            </w:r>
          </w:p>
        </w:tc>
        <w:tc>
          <w:tcPr>
            <w:tcW w:w="6732" w:type="dxa"/>
            <w:tcBorders>
              <w:tl2br w:val="nil"/>
              <w:tr2bl w:val="nil"/>
            </w:tcBorders>
            <w:vAlign w:val="center"/>
          </w:tcPr>
          <w:p w14:paraId="25192407">
            <w:pPr>
              <w:jc w:val="center"/>
              <w:rPr>
                <w:rFonts w:ascii="宋体" w:hAnsi="宋体" w:cs="宋体"/>
                <w:szCs w:val="21"/>
                <w:highlight w:val="none"/>
              </w:rPr>
            </w:pPr>
          </w:p>
        </w:tc>
      </w:tr>
      <w:tr w14:paraId="1159B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3175CE74">
            <w:pPr>
              <w:jc w:val="center"/>
              <w:rPr>
                <w:rFonts w:ascii="宋体" w:hAnsi="宋体" w:cs="宋体"/>
                <w:szCs w:val="21"/>
                <w:highlight w:val="none"/>
              </w:rPr>
            </w:pPr>
            <w:r>
              <w:rPr>
                <w:rFonts w:hint="eastAsia" w:ascii="宋体" w:hAnsi="宋体" w:cs="宋体"/>
                <w:bCs/>
                <w:szCs w:val="21"/>
                <w:highlight w:val="none"/>
              </w:rPr>
              <w:t>总报价（元）</w:t>
            </w:r>
          </w:p>
        </w:tc>
        <w:tc>
          <w:tcPr>
            <w:tcW w:w="6732" w:type="dxa"/>
            <w:tcBorders>
              <w:tl2br w:val="nil"/>
              <w:tr2bl w:val="nil"/>
            </w:tcBorders>
            <w:vAlign w:val="center"/>
          </w:tcPr>
          <w:p w14:paraId="7FDC6696">
            <w:pPr>
              <w:jc w:val="center"/>
              <w:rPr>
                <w:rFonts w:ascii="宋体" w:hAnsi="宋体" w:cs="宋体"/>
                <w:szCs w:val="21"/>
                <w:highlight w:val="none"/>
              </w:rPr>
            </w:pPr>
          </w:p>
        </w:tc>
      </w:tr>
      <w:tr w14:paraId="4AAD0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7B62CDDA">
            <w:pPr>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服务地点</w:t>
            </w:r>
          </w:p>
        </w:tc>
        <w:tc>
          <w:tcPr>
            <w:tcW w:w="6732" w:type="dxa"/>
            <w:tcBorders>
              <w:tl2br w:val="nil"/>
              <w:tr2bl w:val="nil"/>
            </w:tcBorders>
            <w:vAlign w:val="center"/>
          </w:tcPr>
          <w:p w14:paraId="75AC9995">
            <w:pPr>
              <w:jc w:val="center"/>
              <w:rPr>
                <w:rFonts w:ascii="宋体" w:hAnsi="宋体" w:cs="宋体"/>
                <w:szCs w:val="21"/>
                <w:highlight w:val="none"/>
              </w:rPr>
            </w:pPr>
          </w:p>
        </w:tc>
      </w:tr>
      <w:tr w14:paraId="75F90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4B4AF987">
            <w:pPr>
              <w:jc w:val="center"/>
              <w:rPr>
                <w:rFonts w:ascii="宋体" w:hAnsi="宋体" w:cs="宋体"/>
                <w:szCs w:val="21"/>
                <w:highlight w:val="none"/>
              </w:rPr>
            </w:pPr>
            <w:r>
              <w:rPr>
                <w:rFonts w:hint="eastAsia" w:ascii="宋体" w:hAnsi="宋体" w:eastAsia="宋体" w:cs="宋体"/>
                <w:color w:val="auto"/>
                <w:szCs w:val="24"/>
                <w:highlight w:val="none"/>
                <w:lang w:eastAsia="zh-CN"/>
              </w:rPr>
              <w:t>测评期限</w:t>
            </w:r>
          </w:p>
        </w:tc>
        <w:tc>
          <w:tcPr>
            <w:tcW w:w="6732" w:type="dxa"/>
            <w:tcBorders>
              <w:tl2br w:val="nil"/>
              <w:tr2bl w:val="nil"/>
            </w:tcBorders>
            <w:vAlign w:val="center"/>
          </w:tcPr>
          <w:p w14:paraId="62198F2C">
            <w:pPr>
              <w:jc w:val="center"/>
              <w:rPr>
                <w:rFonts w:ascii="宋体" w:hAnsi="宋体" w:cs="宋体"/>
                <w:szCs w:val="21"/>
                <w:highlight w:val="none"/>
              </w:rPr>
            </w:pPr>
          </w:p>
        </w:tc>
      </w:tr>
      <w:tr w14:paraId="41ACB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615" w:type="dxa"/>
            <w:tcBorders>
              <w:tl2br w:val="nil"/>
              <w:tr2bl w:val="nil"/>
            </w:tcBorders>
            <w:vAlign w:val="center"/>
          </w:tcPr>
          <w:p w14:paraId="736E384C">
            <w:pPr>
              <w:jc w:val="center"/>
              <w:rPr>
                <w:rFonts w:ascii="宋体" w:hAnsi="宋体" w:cs="宋体"/>
                <w:szCs w:val="21"/>
                <w:highlight w:val="none"/>
              </w:rPr>
            </w:pPr>
            <w:r>
              <w:rPr>
                <w:rFonts w:hint="eastAsia" w:ascii="宋体" w:hAnsi="宋体" w:cs="宋体"/>
                <w:szCs w:val="21"/>
                <w:highlight w:val="none"/>
              </w:rPr>
              <w:t>备注</w:t>
            </w:r>
          </w:p>
        </w:tc>
        <w:tc>
          <w:tcPr>
            <w:tcW w:w="6732" w:type="dxa"/>
            <w:tcBorders>
              <w:tl2br w:val="nil"/>
              <w:tr2bl w:val="nil"/>
            </w:tcBorders>
            <w:vAlign w:val="center"/>
          </w:tcPr>
          <w:p w14:paraId="19DC5E0E">
            <w:pPr>
              <w:jc w:val="center"/>
              <w:rPr>
                <w:rFonts w:ascii="宋体" w:hAnsi="宋体" w:cs="宋体"/>
                <w:szCs w:val="21"/>
                <w:highlight w:val="none"/>
              </w:rPr>
            </w:pPr>
          </w:p>
        </w:tc>
      </w:tr>
    </w:tbl>
    <w:p w14:paraId="5E903FB3">
      <w:pPr>
        <w:rPr>
          <w:rFonts w:hint="eastAsia" w:ascii="宋体" w:hAnsi="宋体" w:cs="宋体"/>
          <w:sz w:val="24"/>
          <w:szCs w:val="24"/>
          <w:highlight w:val="none"/>
          <w:lang w:eastAsia="zh-CN"/>
        </w:rPr>
      </w:pPr>
      <w:r>
        <w:rPr>
          <w:rFonts w:hint="eastAsia" w:ascii="宋体" w:hAnsi="宋体" w:cs="宋体"/>
          <w:sz w:val="24"/>
          <w:szCs w:val="24"/>
          <w:highlight w:val="none"/>
        </w:rPr>
        <w:t>说明：</w:t>
      </w:r>
      <w:r>
        <w:rPr>
          <w:rFonts w:hint="eastAsia" w:ascii="宋体" w:hAnsi="宋体" w:cs="宋体"/>
          <w:sz w:val="24"/>
          <w:szCs w:val="24"/>
          <w:highlight w:val="none"/>
          <w:lang w:val="en-US" w:eastAsia="zh-CN"/>
        </w:rPr>
        <w:t>1.</w:t>
      </w:r>
      <w:r>
        <w:rPr>
          <w:rFonts w:hint="eastAsia" w:ascii="宋体" w:hAnsi="宋体" w:cs="宋体"/>
          <w:sz w:val="24"/>
          <w:szCs w:val="24"/>
          <w:highlight w:val="none"/>
        </w:rPr>
        <w:t>所有价格均系用人民币表示，精确到个数位</w:t>
      </w:r>
      <w:r>
        <w:rPr>
          <w:rFonts w:hint="eastAsia" w:ascii="宋体" w:hAnsi="宋体" w:cs="宋体"/>
          <w:sz w:val="24"/>
          <w:szCs w:val="24"/>
          <w:highlight w:val="none"/>
          <w:lang w:eastAsia="zh-CN"/>
        </w:rPr>
        <w:t>；</w:t>
      </w:r>
    </w:p>
    <w:p w14:paraId="7647822E">
      <w:pPr>
        <w:ind w:firstLine="720" w:firstLineChars="3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2.此表除保留在响应文件中外，另复制一份签字及加盖公章单独密封装在一个小信封中，作为记录之用。</w:t>
      </w:r>
    </w:p>
    <w:p w14:paraId="71B18F21">
      <w:pPr>
        <w:adjustRightInd w:val="0"/>
        <w:snapToGrid w:val="0"/>
        <w:spacing w:line="360" w:lineRule="auto"/>
        <w:rPr>
          <w:rFonts w:ascii="宋体" w:hAnsi="宋体" w:cs="宋体"/>
          <w:sz w:val="24"/>
          <w:szCs w:val="24"/>
          <w:highlight w:val="none"/>
        </w:rPr>
      </w:pPr>
    </w:p>
    <w:p w14:paraId="50866150">
      <w:pPr>
        <w:adjustRightInd w:val="0"/>
        <w:snapToGrid w:val="0"/>
        <w:spacing w:line="360" w:lineRule="auto"/>
        <w:rPr>
          <w:rFonts w:ascii="宋体" w:hAnsi="宋体" w:cs="宋体"/>
          <w:sz w:val="24"/>
          <w:szCs w:val="24"/>
          <w:highlight w:val="none"/>
        </w:rPr>
      </w:pPr>
    </w:p>
    <w:p w14:paraId="0B37A9C4">
      <w:pPr>
        <w:adjustRightInd w:val="0"/>
        <w:snapToGrid w:val="0"/>
        <w:spacing w:line="360" w:lineRule="auto"/>
        <w:rPr>
          <w:rFonts w:ascii="宋体" w:hAnsi="宋体" w:cs="宋体"/>
          <w:sz w:val="24"/>
          <w:szCs w:val="24"/>
          <w:highlight w:val="none"/>
          <w:u w:val="single"/>
        </w:rPr>
      </w:pPr>
      <w:r>
        <w:rPr>
          <w:rFonts w:hint="eastAsia" w:ascii="宋体" w:hAnsi="宋体" w:cs="宋体"/>
          <w:sz w:val="24"/>
          <w:szCs w:val="24"/>
          <w:highlight w:val="none"/>
        </w:rPr>
        <w:t>供应商名称（盖章）：</w:t>
      </w:r>
      <w:r>
        <w:rPr>
          <w:rFonts w:hint="eastAsia" w:ascii="宋体" w:hAnsi="宋体" w:cs="宋体"/>
          <w:sz w:val="24"/>
          <w:szCs w:val="24"/>
          <w:highlight w:val="none"/>
          <w:u w:val="single"/>
        </w:rPr>
        <w:t xml:space="preserve">                        </w:t>
      </w:r>
    </w:p>
    <w:p w14:paraId="0F0C560D">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授权代表签字或盖章：</w:t>
      </w:r>
      <w:r>
        <w:rPr>
          <w:rFonts w:hint="eastAsia" w:ascii="宋体" w:hAnsi="宋体" w:cs="宋体"/>
          <w:sz w:val="24"/>
          <w:szCs w:val="24"/>
          <w:highlight w:val="none"/>
          <w:u w:val="single"/>
        </w:rPr>
        <w:t xml:space="preserve">                        </w:t>
      </w:r>
    </w:p>
    <w:p w14:paraId="3CD73E18">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6DDA814">
      <w:pPr>
        <w:numPr>
          <w:ilvl w:val="0"/>
          <w:numId w:val="0"/>
        </w:numPr>
        <w:spacing w:before="20" w:after="20"/>
        <w:ind w:left="828" w:leftChars="0" w:hanging="828" w:firstLineChars="0"/>
        <w:jc w:val="center"/>
        <w:outlineLvl w:val="9"/>
        <w:rPr>
          <w:rFonts w:hint="eastAsia" w:ascii="宋体" w:hAnsi="宋体" w:cs="宋体"/>
          <w:b/>
          <w:sz w:val="28"/>
          <w:szCs w:val="28"/>
          <w:highlight w:val="none"/>
        </w:rPr>
      </w:pPr>
      <w:r>
        <w:rPr>
          <w:rFonts w:hint="eastAsia" w:ascii="宋体" w:hAnsi="宋体" w:cs="宋体"/>
          <w:b/>
          <w:sz w:val="28"/>
          <w:szCs w:val="28"/>
          <w:highlight w:val="none"/>
        </w:rPr>
        <w:br w:type="page"/>
      </w:r>
      <w:bookmarkStart w:id="41" w:name="_Toc114772006"/>
      <w:bookmarkStart w:id="42" w:name="_Toc476239623"/>
    </w:p>
    <w:p w14:paraId="70272292">
      <w:pPr>
        <w:numPr>
          <w:ilvl w:val="0"/>
          <w:numId w:val="0"/>
        </w:numPr>
        <w:spacing w:before="20" w:after="20"/>
        <w:ind w:left="828" w:leftChars="0" w:hanging="828" w:firstLineChars="0"/>
        <w:jc w:val="center"/>
        <w:outlineLvl w:val="9"/>
        <w:rPr>
          <w:rFonts w:ascii="宋体" w:hAnsi="宋体" w:cs="宋体"/>
          <w:sz w:val="24"/>
          <w:szCs w:val="24"/>
          <w:highlight w:val="none"/>
        </w:rPr>
      </w:pPr>
      <w:r>
        <w:rPr>
          <w:rFonts w:hint="eastAsia" w:ascii="宋体" w:hAnsi="宋体" w:eastAsia="宋体" w:cs="宋体"/>
          <w:b/>
          <w:bCs w:val="0"/>
          <w:kern w:val="2"/>
          <w:sz w:val="24"/>
          <w:szCs w:val="24"/>
          <w:highlight w:val="none"/>
          <w:lang w:val="en-US" w:eastAsia="zh-CN" w:bidi="ar-SA"/>
        </w:rPr>
        <w:t>分项报价表</w:t>
      </w:r>
      <w:bookmarkEnd w:id="41"/>
      <w:bookmarkEnd w:id="42"/>
    </w:p>
    <w:p w14:paraId="380DFB4C">
      <w:pPr>
        <w:spacing w:line="500" w:lineRule="exact"/>
        <w:rPr>
          <w:rFonts w:hint="eastAsia" w:ascii="宋体" w:hAnsi="宋体" w:cs="宋体"/>
          <w:sz w:val="24"/>
          <w:szCs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7ED15B1A">
      <w:pPr>
        <w:adjustRightInd w:val="0"/>
        <w:snapToGrid w:val="0"/>
        <w:spacing w:line="400" w:lineRule="exact"/>
        <w:rPr>
          <w:rFonts w:ascii="宋体" w:hAnsi="宋体"/>
          <w:szCs w:val="21"/>
          <w:highlight w:val="none"/>
        </w:rPr>
      </w:pPr>
      <w:r>
        <w:rPr>
          <w:rFonts w:hint="eastAsia" w:ascii="宋体" w:hAnsi="宋体" w:cs="宋体"/>
          <w:sz w:val="24"/>
          <w:szCs w:val="24"/>
          <w:highlight w:val="none"/>
          <w:lang w:val="en-US" w:eastAsia="zh-CN"/>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r>
        <w:rPr>
          <w:rFonts w:hint="eastAsia" w:ascii="宋体" w:hAnsi="宋体"/>
          <w:szCs w:val="21"/>
          <w:highlight w:val="none"/>
        </w:rPr>
        <w:t xml:space="preserve">         </w:t>
      </w:r>
    </w:p>
    <w:p w14:paraId="6C67FDBE">
      <w:pPr>
        <w:pStyle w:val="34"/>
        <w:ind w:firstLine="420"/>
        <w:rPr>
          <w:rFonts w:ascii="Tahoma" w:hAnsi="Tahoma"/>
          <w:sz w:val="21"/>
          <w:highlight w:val="none"/>
        </w:rPr>
      </w:pPr>
    </w:p>
    <w:tbl>
      <w:tblPr>
        <w:tblStyle w:val="25"/>
        <w:tblW w:w="9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82"/>
        <w:gridCol w:w="1572"/>
        <w:gridCol w:w="1650"/>
        <w:gridCol w:w="1470"/>
        <w:gridCol w:w="1245"/>
      </w:tblGrid>
      <w:tr w14:paraId="4F714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4" w:type="dxa"/>
            <w:tcBorders>
              <w:tl2br w:val="nil"/>
              <w:tr2bl w:val="nil"/>
            </w:tcBorders>
            <w:vAlign w:val="center"/>
          </w:tcPr>
          <w:p w14:paraId="70A2533E">
            <w:pPr>
              <w:jc w:val="center"/>
              <w:rPr>
                <w:rFonts w:ascii="宋体" w:hAnsi="宋体" w:cs="宋体"/>
                <w:b/>
                <w:bCs/>
                <w:sz w:val="22"/>
                <w:szCs w:val="18"/>
                <w:highlight w:val="none"/>
              </w:rPr>
            </w:pPr>
            <w:r>
              <w:rPr>
                <w:rFonts w:hint="eastAsia" w:ascii="宋体" w:hAnsi="宋体" w:cs="宋体"/>
                <w:b/>
                <w:bCs/>
                <w:sz w:val="22"/>
                <w:szCs w:val="18"/>
                <w:highlight w:val="none"/>
              </w:rPr>
              <w:t>序号</w:t>
            </w:r>
          </w:p>
        </w:tc>
        <w:tc>
          <w:tcPr>
            <w:tcW w:w="2682" w:type="dxa"/>
            <w:tcBorders>
              <w:tl2br w:val="nil"/>
              <w:tr2bl w:val="nil"/>
            </w:tcBorders>
            <w:vAlign w:val="center"/>
          </w:tcPr>
          <w:p w14:paraId="313E0492">
            <w:pPr>
              <w:jc w:val="center"/>
              <w:rPr>
                <w:rFonts w:ascii="宋体" w:hAnsi="宋体" w:cs="宋体"/>
                <w:b/>
                <w:bCs/>
                <w:sz w:val="22"/>
                <w:szCs w:val="18"/>
                <w:highlight w:val="none"/>
              </w:rPr>
            </w:pPr>
            <w:r>
              <w:rPr>
                <w:rFonts w:hint="eastAsia" w:ascii="宋体" w:hAnsi="宋体" w:cs="宋体"/>
                <w:b/>
                <w:bCs/>
                <w:sz w:val="22"/>
                <w:szCs w:val="18"/>
                <w:highlight w:val="none"/>
                <w:lang w:val="en-US" w:eastAsia="zh-CN"/>
              </w:rPr>
              <w:t>内容</w:t>
            </w:r>
            <w:r>
              <w:rPr>
                <w:rFonts w:hint="eastAsia" w:ascii="宋体" w:hAnsi="宋体" w:cs="宋体"/>
                <w:b/>
                <w:bCs/>
                <w:sz w:val="22"/>
                <w:szCs w:val="18"/>
                <w:highlight w:val="none"/>
              </w:rPr>
              <w:t xml:space="preserve">     </w:t>
            </w:r>
          </w:p>
        </w:tc>
        <w:tc>
          <w:tcPr>
            <w:tcW w:w="1572" w:type="dxa"/>
            <w:tcBorders>
              <w:tl2br w:val="nil"/>
              <w:tr2bl w:val="nil"/>
            </w:tcBorders>
            <w:vAlign w:val="center"/>
          </w:tcPr>
          <w:p w14:paraId="32CB73A0">
            <w:pPr>
              <w:jc w:val="center"/>
              <w:rPr>
                <w:rFonts w:hint="eastAsia" w:ascii="宋体" w:hAnsi="宋体" w:cs="宋体"/>
                <w:b/>
                <w:bCs/>
                <w:sz w:val="22"/>
                <w:szCs w:val="18"/>
                <w:highlight w:val="none"/>
                <w:lang w:val="en-US" w:eastAsia="zh-CN"/>
              </w:rPr>
            </w:pPr>
            <w:r>
              <w:rPr>
                <w:rFonts w:hint="eastAsia" w:ascii="宋体" w:hAnsi="宋体" w:cs="宋体"/>
                <w:b/>
                <w:bCs/>
                <w:sz w:val="22"/>
                <w:szCs w:val="18"/>
                <w:highlight w:val="none"/>
                <w:lang w:val="en-US" w:eastAsia="zh-CN"/>
              </w:rPr>
              <w:t>单价</w:t>
            </w:r>
          </w:p>
        </w:tc>
        <w:tc>
          <w:tcPr>
            <w:tcW w:w="1650" w:type="dxa"/>
            <w:tcBorders>
              <w:tl2br w:val="nil"/>
              <w:tr2bl w:val="nil"/>
            </w:tcBorders>
            <w:vAlign w:val="center"/>
          </w:tcPr>
          <w:p w14:paraId="38DCC2E8">
            <w:pPr>
              <w:jc w:val="center"/>
              <w:rPr>
                <w:rFonts w:hint="default" w:ascii="宋体" w:hAnsi="宋体" w:eastAsia="宋体" w:cs="宋体"/>
                <w:b/>
                <w:bCs/>
                <w:sz w:val="22"/>
                <w:szCs w:val="18"/>
                <w:highlight w:val="none"/>
                <w:lang w:val="en-US" w:eastAsia="zh-CN"/>
              </w:rPr>
            </w:pPr>
            <w:r>
              <w:rPr>
                <w:rFonts w:hint="eastAsia" w:ascii="宋体" w:hAnsi="宋体" w:cs="宋体"/>
                <w:b/>
                <w:bCs/>
                <w:sz w:val="22"/>
                <w:szCs w:val="18"/>
                <w:highlight w:val="none"/>
                <w:lang w:val="en-US" w:eastAsia="zh-CN"/>
              </w:rPr>
              <w:t>数量</w:t>
            </w:r>
          </w:p>
        </w:tc>
        <w:tc>
          <w:tcPr>
            <w:tcW w:w="1470" w:type="dxa"/>
            <w:tcBorders>
              <w:tl2br w:val="nil"/>
              <w:tr2bl w:val="nil"/>
            </w:tcBorders>
            <w:vAlign w:val="center"/>
          </w:tcPr>
          <w:p w14:paraId="7E4C78BA">
            <w:pPr>
              <w:jc w:val="center"/>
              <w:rPr>
                <w:rFonts w:ascii="宋体" w:hAnsi="宋体" w:cs="宋体"/>
                <w:b/>
                <w:bCs/>
                <w:sz w:val="22"/>
                <w:szCs w:val="18"/>
                <w:highlight w:val="none"/>
              </w:rPr>
            </w:pPr>
            <w:r>
              <w:rPr>
                <w:rFonts w:hint="eastAsia" w:ascii="宋体" w:hAnsi="宋体" w:cs="宋体"/>
                <w:b/>
                <w:bCs/>
                <w:sz w:val="22"/>
                <w:szCs w:val="18"/>
                <w:highlight w:val="none"/>
              </w:rPr>
              <w:t>合计(元)</w:t>
            </w:r>
          </w:p>
        </w:tc>
        <w:tc>
          <w:tcPr>
            <w:tcW w:w="1245" w:type="dxa"/>
            <w:tcBorders>
              <w:tl2br w:val="nil"/>
              <w:tr2bl w:val="nil"/>
            </w:tcBorders>
            <w:vAlign w:val="center"/>
          </w:tcPr>
          <w:p w14:paraId="2E5160E7">
            <w:pPr>
              <w:jc w:val="center"/>
              <w:rPr>
                <w:rFonts w:ascii="宋体" w:hAnsi="宋体" w:cs="宋体"/>
                <w:b/>
                <w:bCs/>
                <w:sz w:val="22"/>
                <w:szCs w:val="18"/>
                <w:highlight w:val="none"/>
              </w:rPr>
            </w:pPr>
            <w:r>
              <w:rPr>
                <w:rFonts w:hint="eastAsia" w:ascii="宋体" w:hAnsi="宋体" w:cs="宋体"/>
                <w:b/>
                <w:bCs/>
                <w:sz w:val="22"/>
                <w:szCs w:val="18"/>
                <w:highlight w:val="none"/>
              </w:rPr>
              <w:t>备注</w:t>
            </w:r>
          </w:p>
        </w:tc>
      </w:tr>
      <w:tr w14:paraId="04CCC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4" w:type="dxa"/>
            <w:tcBorders>
              <w:tl2br w:val="nil"/>
              <w:tr2bl w:val="nil"/>
            </w:tcBorders>
            <w:vAlign w:val="center"/>
          </w:tcPr>
          <w:p w14:paraId="1E79C6BD">
            <w:pPr>
              <w:jc w:val="center"/>
              <w:rPr>
                <w:rFonts w:ascii="宋体" w:hAnsi="宋体" w:cs="宋体"/>
                <w:sz w:val="22"/>
                <w:szCs w:val="18"/>
                <w:highlight w:val="none"/>
              </w:rPr>
            </w:pPr>
            <w:r>
              <w:rPr>
                <w:rFonts w:hint="eastAsia" w:ascii="宋体" w:hAnsi="宋体" w:cs="宋体"/>
                <w:sz w:val="22"/>
                <w:szCs w:val="18"/>
                <w:highlight w:val="none"/>
              </w:rPr>
              <w:t>1</w:t>
            </w:r>
          </w:p>
        </w:tc>
        <w:tc>
          <w:tcPr>
            <w:tcW w:w="2682" w:type="dxa"/>
            <w:tcBorders>
              <w:tl2br w:val="nil"/>
              <w:tr2bl w:val="nil"/>
            </w:tcBorders>
            <w:vAlign w:val="center"/>
          </w:tcPr>
          <w:p w14:paraId="661B9187">
            <w:pPr>
              <w:jc w:val="center"/>
              <w:rPr>
                <w:rFonts w:ascii="宋体" w:hAnsi="宋体" w:cs="宋体"/>
                <w:sz w:val="22"/>
                <w:szCs w:val="18"/>
                <w:highlight w:val="none"/>
              </w:rPr>
            </w:pPr>
          </w:p>
        </w:tc>
        <w:tc>
          <w:tcPr>
            <w:tcW w:w="1572" w:type="dxa"/>
            <w:tcBorders>
              <w:tl2br w:val="nil"/>
              <w:tr2bl w:val="nil"/>
            </w:tcBorders>
            <w:vAlign w:val="center"/>
          </w:tcPr>
          <w:p w14:paraId="4607B07A">
            <w:pPr>
              <w:jc w:val="center"/>
              <w:rPr>
                <w:rFonts w:ascii="宋体" w:hAnsi="宋体" w:cs="宋体"/>
                <w:sz w:val="22"/>
                <w:szCs w:val="18"/>
                <w:highlight w:val="none"/>
              </w:rPr>
            </w:pPr>
          </w:p>
        </w:tc>
        <w:tc>
          <w:tcPr>
            <w:tcW w:w="1650" w:type="dxa"/>
            <w:tcBorders>
              <w:tl2br w:val="nil"/>
              <w:tr2bl w:val="nil"/>
            </w:tcBorders>
            <w:vAlign w:val="center"/>
          </w:tcPr>
          <w:p w14:paraId="7A7BD55D">
            <w:pPr>
              <w:jc w:val="center"/>
              <w:rPr>
                <w:rFonts w:ascii="宋体" w:hAnsi="宋体" w:cs="宋体"/>
                <w:sz w:val="22"/>
                <w:szCs w:val="18"/>
                <w:highlight w:val="none"/>
              </w:rPr>
            </w:pPr>
          </w:p>
        </w:tc>
        <w:tc>
          <w:tcPr>
            <w:tcW w:w="1470" w:type="dxa"/>
            <w:tcBorders>
              <w:tl2br w:val="nil"/>
              <w:tr2bl w:val="nil"/>
            </w:tcBorders>
            <w:vAlign w:val="center"/>
          </w:tcPr>
          <w:p w14:paraId="3C543649">
            <w:pPr>
              <w:jc w:val="center"/>
              <w:rPr>
                <w:rFonts w:ascii="宋体" w:hAnsi="宋体" w:cs="宋体"/>
                <w:sz w:val="22"/>
                <w:szCs w:val="18"/>
                <w:highlight w:val="none"/>
              </w:rPr>
            </w:pPr>
          </w:p>
        </w:tc>
        <w:tc>
          <w:tcPr>
            <w:tcW w:w="1245" w:type="dxa"/>
            <w:tcBorders>
              <w:tl2br w:val="nil"/>
              <w:tr2bl w:val="nil"/>
            </w:tcBorders>
            <w:vAlign w:val="center"/>
          </w:tcPr>
          <w:p w14:paraId="7C9022E2">
            <w:pPr>
              <w:jc w:val="center"/>
              <w:rPr>
                <w:rFonts w:ascii="宋体" w:hAnsi="宋体" w:cs="宋体"/>
                <w:sz w:val="22"/>
                <w:szCs w:val="18"/>
                <w:highlight w:val="none"/>
              </w:rPr>
            </w:pPr>
          </w:p>
        </w:tc>
      </w:tr>
      <w:tr w14:paraId="761F4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3C8625D1">
            <w:pPr>
              <w:jc w:val="center"/>
              <w:rPr>
                <w:rFonts w:ascii="宋体" w:hAnsi="宋体" w:cs="宋体"/>
                <w:sz w:val="22"/>
                <w:szCs w:val="18"/>
                <w:highlight w:val="none"/>
              </w:rPr>
            </w:pPr>
            <w:r>
              <w:rPr>
                <w:rFonts w:hint="eastAsia" w:ascii="宋体" w:hAnsi="宋体" w:cs="宋体"/>
                <w:sz w:val="22"/>
                <w:szCs w:val="18"/>
                <w:highlight w:val="none"/>
              </w:rPr>
              <w:t>2</w:t>
            </w:r>
          </w:p>
        </w:tc>
        <w:tc>
          <w:tcPr>
            <w:tcW w:w="2682" w:type="dxa"/>
            <w:tcBorders>
              <w:tl2br w:val="nil"/>
              <w:tr2bl w:val="nil"/>
            </w:tcBorders>
            <w:vAlign w:val="center"/>
          </w:tcPr>
          <w:p w14:paraId="5EFCF24E">
            <w:pPr>
              <w:jc w:val="center"/>
              <w:rPr>
                <w:rFonts w:ascii="宋体" w:hAnsi="宋体" w:cs="宋体"/>
                <w:sz w:val="22"/>
                <w:szCs w:val="18"/>
                <w:highlight w:val="none"/>
              </w:rPr>
            </w:pPr>
          </w:p>
        </w:tc>
        <w:tc>
          <w:tcPr>
            <w:tcW w:w="1572" w:type="dxa"/>
            <w:tcBorders>
              <w:tl2br w:val="nil"/>
              <w:tr2bl w:val="nil"/>
            </w:tcBorders>
            <w:vAlign w:val="center"/>
          </w:tcPr>
          <w:p w14:paraId="0AFCE047">
            <w:pPr>
              <w:jc w:val="center"/>
              <w:rPr>
                <w:rFonts w:ascii="宋体" w:hAnsi="宋体" w:cs="宋体"/>
                <w:sz w:val="22"/>
                <w:szCs w:val="18"/>
                <w:highlight w:val="none"/>
              </w:rPr>
            </w:pPr>
          </w:p>
        </w:tc>
        <w:tc>
          <w:tcPr>
            <w:tcW w:w="1650" w:type="dxa"/>
            <w:tcBorders>
              <w:tl2br w:val="nil"/>
              <w:tr2bl w:val="nil"/>
            </w:tcBorders>
            <w:vAlign w:val="center"/>
          </w:tcPr>
          <w:p w14:paraId="009A6252">
            <w:pPr>
              <w:jc w:val="center"/>
              <w:rPr>
                <w:rFonts w:ascii="宋体" w:hAnsi="宋体" w:cs="宋体"/>
                <w:sz w:val="22"/>
                <w:szCs w:val="18"/>
                <w:highlight w:val="none"/>
              </w:rPr>
            </w:pPr>
          </w:p>
        </w:tc>
        <w:tc>
          <w:tcPr>
            <w:tcW w:w="1470" w:type="dxa"/>
            <w:tcBorders>
              <w:tl2br w:val="nil"/>
              <w:tr2bl w:val="nil"/>
            </w:tcBorders>
            <w:vAlign w:val="center"/>
          </w:tcPr>
          <w:p w14:paraId="454880BA">
            <w:pPr>
              <w:jc w:val="center"/>
              <w:rPr>
                <w:rFonts w:ascii="宋体" w:hAnsi="宋体" w:cs="宋体"/>
                <w:sz w:val="22"/>
                <w:szCs w:val="18"/>
                <w:highlight w:val="none"/>
              </w:rPr>
            </w:pPr>
          </w:p>
        </w:tc>
        <w:tc>
          <w:tcPr>
            <w:tcW w:w="1245" w:type="dxa"/>
            <w:tcBorders>
              <w:tl2br w:val="nil"/>
              <w:tr2bl w:val="nil"/>
            </w:tcBorders>
            <w:vAlign w:val="center"/>
          </w:tcPr>
          <w:p w14:paraId="21257F08">
            <w:pPr>
              <w:jc w:val="center"/>
              <w:rPr>
                <w:rFonts w:ascii="宋体" w:hAnsi="宋体" w:cs="宋体"/>
                <w:sz w:val="22"/>
                <w:szCs w:val="18"/>
                <w:highlight w:val="none"/>
              </w:rPr>
            </w:pPr>
          </w:p>
        </w:tc>
      </w:tr>
      <w:tr w14:paraId="7FBE7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4004FCEE">
            <w:pPr>
              <w:jc w:val="center"/>
              <w:rPr>
                <w:rFonts w:ascii="宋体" w:hAnsi="宋体" w:cs="宋体"/>
                <w:sz w:val="22"/>
                <w:szCs w:val="18"/>
                <w:highlight w:val="none"/>
              </w:rPr>
            </w:pPr>
            <w:r>
              <w:rPr>
                <w:rFonts w:hint="eastAsia" w:ascii="宋体" w:hAnsi="宋体" w:cs="宋体"/>
                <w:sz w:val="22"/>
                <w:szCs w:val="18"/>
                <w:highlight w:val="none"/>
              </w:rPr>
              <w:t>3</w:t>
            </w:r>
          </w:p>
        </w:tc>
        <w:tc>
          <w:tcPr>
            <w:tcW w:w="2682" w:type="dxa"/>
            <w:tcBorders>
              <w:tl2br w:val="nil"/>
              <w:tr2bl w:val="nil"/>
            </w:tcBorders>
            <w:vAlign w:val="center"/>
          </w:tcPr>
          <w:p w14:paraId="13F91AA0">
            <w:pPr>
              <w:jc w:val="center"/>
              <w:rPr>
                <w:rFonts w:ascii="宋体" w:hAnsi="宋体" w:cs="宋体"/>
                <w:sz w:val="22"/>
                <w:szCs w:val="18"/>
                <w:highlight w:val="none"/>
              </w:rPr>
            </w:pPr>
          </w:p>
        </w:tc>
        <w:tc>
          <w:tcPr>
            <w:tcW w:w="1572" w:type="dxa"/>
            <w:tcBorders>
              <w:tl2br w:val="nil"/>
              <w:tr2bl w:val="nil"/>
            </w:tcBorders>
            <w:vAlign w:val="center"/>
          </w:tcPr>
          <w:p w14:paraId="20316033">
            <w:pPr>
              <w:jc w:val="center"/>
              <w:rPr>
                <w:rFonts w:ascii="宋体" w:hAnsi="宋体" w:cs="宋体"/>
                <w:sz w:val="22"/>
                <w:szCs w:val="18"/>
                <w:highlight w:val="none"/>
              </w:rPr>
            </w:pPr>
          </w:p>
        </w:tc>
        <w:tc>
          <w:tcPr>
            <w:tcW w:w="1650" w:type="dxa"/>
            <w:tcBorders>
              <w:tl2br w:val="nil"/>
              <w:tr2bl w:val="nil"/>
            </w:tcBorders>
            <w:vAlign w:val="center"/>
          </w:tcPr>
          <w:p w14:paraId="043F26D6">
            <w:pPr>
              <w:jc w:val="center"/>
              <w:rPr>
                <w:rFonts w:ascii="宋体" w:hAnsi="宋体" w:cs="宋体"/>
                <w:sz w:val="22"/>
                <w:szCs w:val="18"/>
                <w:highlight w:val="none"/>
              </w:rPr>
            </w:pPr>
          </w:p>
        </w:tc>
        <w:tc>
          <w:tcPr>
            <w:tcW w:w="1470" w:type="dxa"/>
            <w:tcBorders>
              <w:tl2br w:val="nil"/>
              <w:tr2bl w:val="nil"/>
            </w:tcBorders>
            <w:vAlign w:val="center"/>
          </w:tcPr>
          <w:p w14:paraId="4711DDFA">
            <w:pPr>
              <w:jc w:val="center"/>
              <w:rPr>
                <w:rFonts w:ascii="宋体" w:hAnsi="宋体" w:cs="宋体"/>
                <w:sz w:val="22"/>
                <w:szCs w:val="18"/>
                <w:highlight w:val="none"/>
              </w:rPr>
            </w:pPr>
          </w:p>
        </w:tc>
        <w:tc>
          <w:tcPr>
            <w:tcW w:w="1245" w:type="dxa"/>
            <w:tcBorders>
              <w:tl2br w:val="nil"/>
              <w:tr2bl w:val="nil"/>
            </w:tcBorders>
            <w:vAlign w:val="center"/>
          </w:tcPr>
          <w:p w14:paraId="74832FBD">
            <w:pPr>
              <w:jc w:val="center"/>
              <w:rPr>
                <w:rFonts w:ascii="宋体" w:hAnsi="宋体" w:cs="宋体"/>
                <w:sz w:val="22"/>
                <w:szCs w:val="18"/>
                <w:highlight w:val="none"/>
              </w:rPr>
            </w:pPr>
          </w:p>
        </w:tc>
      </w:tr>
      <w:tr w14:paraId="332D8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4CB0BF5A">
            <w:pPr>
              <w:jc w:val="center"/>
              <w:rPr>
                <w:rFonts w:hint="eastAsia"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4</w:t>
            </w:r>
          </w:p>
        </w:tc>
        <w:tc>
          <w:tcPr>
            <w:tcW w:w="2682" w:type="dxa"/>
            <w:tcBorders>
              <w:tl2br w:val="nil"/>
              <w:tr2bl w:val="nil"/>
            </w:tcBorders>
            <w:vAlign w:val="center"/>
          </w:tcPr>
          <w:p w14:paraId="26ABFD4C">
            <w:pPr>
              <w:jc w:val="center"/>
              <w:rPr>
                <w:rFonts w:ascii="宋体" w:hAnsi="宋体" w:cs="宋体"/>
                <w:sz w:val="22"/>
                <w:szCs w:val="18"/>
                <w:highlight w:val="none"/>
              </w:rPr>
            </w:pPr>
          </w:p>
        </w:tc>
        <w:tc>
          <w:tcPr>
            <w:tcW w:w="1572" w:type="dxa"/>
            <w:tcBorders>
              <w:tl2br w:val="nil"/>
              <w:tr2bl w:val="nil"/>
            </w:tcBorders>
            <w:vAlign w:val="center"/>
          </w:tcPr>
          <w:p w14:paraId="4D320304">
            <w:pPr>
              <w:jc w:val="center"/>
              <w:rPr>
                <w:rFonts w:ascii="宋体" w:hAnsi="宋体" w:cs="宋体"/>
                <w:sz w:val="22"/>
                <w:szCs w:val="18"/>
                <w:highlight w:val="none"/>
              </w:rPr>
            </w:pPr>
          </w:p>
        </w:tc>
        <w:tc>
          <w:tcPr>
            <w:tcW w:w="1650" w:type="dxa"/>
            <w:tcBorders>
              <w:tl2br w:val="nil"/>
              <w:tr2bl w:val="nil"/>
            </w:tcBorders>
            <w:vAlign w:val="center"/>
          </w:tcPr>
          <w:p w14:paraId="1D3B4683">
            <w:pPr>
              <w:jc w:val="center"/>
              <w:rPr>
                <w:rFonts w:ascii="宋体" w:hAnsi="宋体" w:cs="宋体"/>
                <w:sz w:val="22"/>
                <w:szCs w:val="18"/>
                <w:highlight w:val="none"/>
              </w:rPr>
            </w:pPr>
          </w:p>
        </w:tc>
        <w:tc>
          <w:tcPr>
            <w:tcW w:w="1470" w:type="dxa"/>
            <w:tcBorders>
              <w:tl2br w:val="nil"/>
              <w:tr2bl w:val="nil"/>
            </w:tcBorders>
            <w:vAlign w:val="center"/>
          </w:tcPr>
          <w:p w14:paraId="7ADA55B9">
            <w:pPr>
              <w:jc w:val="center"/>
              <w:rPr>
                <w:rFonts w:ascii="宋体" w:hAnsi="宋体" w:cs="宋体"/>
                <w:sz w:val="22"/>
                <w:szCs w:val="18"/>
                <w:highlight w:val="none"/>
              </w:rPr>
            </w:pPr>
          </w:p>
        </w:tc>
        <w:tc>
          <w:tcPr>
            <w:tcW w:w="1245" w:type="dxa"/>
            <w:tcBorders>
              <w:tl2br w:val="nil"/>
              <w:tr2bl w:val="nil"/>
            </w:tcBorders>
            <w:vAlign w:val="center"/>
          </w:tcPr>
          <w:p w14:paraId="350A769D">
            <w:pPr>
              <w:jc w:val="center"/>
              <w:rPr>
                <w:rFonts w:ascii="宋体" w:hAnsi="宋体" w:cs="宋体"/>
                <w:sz w:val="22"/>
                <w:szCs w:val="18"/>
                <w:highlight w:val="none"/>
              </w:rPr>
            </w:pPr>
          </w:p>
        </w:tc>
      </w:tr>
      <w:tr w14:paraId="66BC6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11D06DF3">
            <w:pPr>
              <w:jc w:val="center"/>
              <w:rPr>
                <w:rFonts w:hint="default"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w:t>
            </w:r>
          </w:p>
        </w:tc>
        <w:tc>
          <w:tcPr>
            <w:tcW w:w="2682" w:type="dxa"/>
            <w:tcBorders>
              <w:tl2br w:val="nil"/>
              <w:tr2bl w:val="nil"/>
            </w:tcBorders>
            <w:vAlign w:val="center"/>
          </w:tcPr>
          <w:p w14:paraId="69D1B406">
            <w:pPr>
              <w:jc w:val="center"/>
              <w:rPr>
                <w:rFonts w:hint="default"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w:t>
            </w:r>
          </w:p>
        </w:tc>
        <w:tc>
          <w:tcPr>
            <w:tcW w:w="1572" w:type="dxa"/>
            <w:tcBorders>
              <w:tl2br w:val="nil"/>
              <w:tr2bl w:val="nil"/>
            </w:tcBorders>
            <w:vAlign w:val="center"/>
          </w:tcPr>
          <w:p w14:paraId="4B5416D1">
            <w:pPr>
              <w:jc w:val="center"/>
              <w:rPr>
                <w:rFonts w:ascii="宋体" w:hAnsi="宋体" w:cs="宋体"/>
                <w:sz w:val="22"/>
                <w:szCs w:val="18"/>
                <w:highlight w:val="none"/>
              </w:rPr>
            </w:pPr>
          </w:p>
        </w:tc>
        <w:tc>
          <w:tcPr>
            <w:tcW w:w="1650" w:type="dxa"/>
            <w:tcBorders>
              <w:tl2br w:val="nil"/>
              <w:tr2bl w:val="nil"/>
            </w:tcBorders>
            <w:vAlign w:val="center"/>
          </w:tcPr>
          <w:p w14:paraId="034A2235">
            <w:pPr>
              <w:jc w:val="center"/>
              <w:rPr>
                <w:rFonts w:ascii="宋体" w:hAnsi="宋体" w:cs="宋体"/>
                <w:sz w:val="22"/>
                <w:szCs w:val="18"/>
                <w:highlight w:val="none"/>
              </w:rPr>
            </w:pPr>
          </w:p>
        </w:tc>
        <w:tc>
          <w:tcPr>
            <w:tcW w:w="1470" w:type="dxa"/>
            <w:tcBorders>
              <w:tl2br w:val="nil"/>
              <w:tr2bl w:val="nil"/>
            </w:tcBorders>
            <w:vAlign w:val="center"/>
          </w:tcPr>
          <w:p w14:paraId="79F1A259">
            <w:pPr>
              <w:jc w:val="center"/>
              <w:rPr>
                <w:rFonts w:ascii="宋体" w:hAnsi="宋体" w:cs="宋体"/>
                <w:sz w:val="22"/>
                <w:szCs w:val="18"/>
                <w:highlight w:val="none"/>
              </w:rPr>
            </w:pPr>
          </w:p>
        </w:tc>
        <w:tc>
          <w:tcPr>
            <w:tcW w:w="1245" w:type="dxa"/>
            <w:tcBorders>
              <w:tl2br w:val="nil"/>
              <w:tr2bl w:val="nil"/>
            </w:tcBorders>
            <w:vAlign w:val="center"/>
          </w:tcPr>
          <w:p w14:paraId="516005D9">
            <w:pPr>
              <w:jc w:val="center"/>
              <w:rPr>
                <w:rFonts w:ascii="宋体" w:hAnsi="宋体" w:cs="宋体"/>
                <w:sz w:val="22"/>
                <w:szCs w:val="18"/>
                <w:highlight w:val="none"/>
              </w:rPr>
            </w:pPr>
          </w:p>
        </w:tc>
      </w:tr>
      <w:tr w14:paraId="443F3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68" w:type="dxa"/>
            <w:gridSpan w:val="4"/>
            <w:tcBorders>
              <w:tl2br w:val="nil"/>
              <w:tr2bl w:val="nil"/>
            </w:tcBorders>
            <w:vAlign w:val="center"/>
          </w:tcPr>
          <w:p w14:paraId="763D9288">
            <w:pPr>
              <w:jc w:val="right"/>
              <w:rPr>
                <w:rFonts w:hint="eastAsia"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总价：</w:t>
            </w:r>
          </w:p>
        </w:tc>
        <w:tc>
          <w:tcPr>
            <w:tcW w:w="2715" w:type="dxa"/>
            <w:gridSpan w:val="2"/>
            <w:tcBorders>
              <w:tl2br w:val="nil"/>
              <w:tr2bl w:val="nil"/>
            </w:tcBorders>
            <w:vAlign w:val="center"/>
          </w:tcPr>
          <w:p w14:paraId="782477DC">
            <w:pPr>
              <w:rPr>
                <w:rFonts w:ascii="宋体" w:hAnsi="宋体" w:cs="宋体"/>
                <w:sz w:val="22"/>
                <w:szCs w:val="18"/>
                <w:highlight w:val="none"/>
              </w:rPr>
            </w:pPr>
          </w:p>
        </w:tc>
      </w:tr>
    </w:tbl>
    <w:p w14:paraId="53CE07E3">
      <w:pPr>
        <w:rPr>
          <w:rFonts w:ascii="Tahoma" w:hAnsi="Tahoma"/>
          <w:sz w:val="24"/>
          <w:highlight w:val="none"/>
        </w:rPr>
      </w:pPr>
    </w:p>
    <w:p w14:paraId="21A887C1">
      <w:pPr>
        <w:rPr>
          <w:rFonts w:ascii="宋体" w:hAnsi="宋体"/>
          <w:highlight w:val="none"/>
        </w:rPr>
      </w:pPr>
      <w:r>
        <w:rPr>
          <w:rFonts w:hint="eastAsia" w:ascii="宋体" w:hAnsi="宋体"/>
          <w:highlight w:val="none"/>
        </w:rPr>
        <w:t>注：1、此处所报总价合计金额应与报价一览表中总报价金额一致。</w:t>
      </w:r>
    </w:p>
    <w:p w14:paraId="3EF295A3">
      <w:pPr>
        <w:ind w:firstLine="420" w:firstLineChars="200"/>
        <w:rPr>
          <w:rFonts w:ascii="宋体" w:hAnsi="宋体"/>
          <w:highlight w:val="none"/>
        </w:rPr>
      </w:pPr>
      <w:r>
        <w:rPr>
          <w:rFonts w:ascii="宋体" w:hAnsi="宋体"/>
          <w:highlight w:val="none"/>
        </w:rPr>
        <w:t>2、投标报价须包含完成本项目全部内容的所有有关费用，包括但不限于</w:t>
      </w:r>
      <w:r>
        <w:rPr>
          <w:rFonts w:hint="eastAsia" w:ascii="宋体" w:hAnsi="宋体"/>
          <w:highlight w:val="none"/>
        </w:rPr>
        <w:t>供应商</w:t>
      </w:r>
      <w:r>
        <w:rPr>
          <w:rFonts w:ascii="宋体" w:hAnsi="宋体"/>
          <w:highlight w:val="none"/>
        </w:rPr>
        <w:t>的制造、运输、仓储、</w:t>
      </w:r>
      <w:r>
        <w:rPr>
          <w:rFonts w:hint="eastAsia" w:ascii="宋体" w:hAnsi="宋体"/>
          <w:highlight w:val="none"/>
        </w:rPr>
        <w:t>装卸、培训、管理、利润、应交纳的税费等所有费用，供应商应考虑所有可能存在的风险，谨慎报价。</w:t>
      </w:r>
    </w:p>
    <w:p w14:paraId="2C11FAAA">
      <w:pPr>
        <w:adjustRightInd w:val="0"/>
        <w:snapToGrid w:val="0"/>
        <w:spacing w:line="360" w:lineRule="auto"/>
        <w:ind w:left="-88" w:leftChars="-42"/>
        <w:rPr>
          <w:rFonts w:ascii="宋体" w:hAnsi="宋体"/>
          <w:szCs w:val="21"/>
          <w:highlight w:val="none"/>
        </w:rPr>
      </w:pPr>
    </w:p>
    <w:p w14:paraId="2BD4F392">
      <w:pPr>
        <w:adjustRightInd w:val="0"/>
        <w:snapToGrid w:val="0"/>
        <w:spacing w:line="360" w:lineRule="auto"/>
        <w:rPr>
          <w:rFonts w:ascii="宋体" w:hAnsi="宋体" w:cs="宋体"/>
          <w:sz w:val="24"/>
          <w:szCs w:val="24"/>
          <w:highlight w:val="none"/>
          <w:u w:val="single"/>
        </w:rPr>
      </w:pPr>
      <w:r>
        <w:rPr>
          <w:rFonts w:hint="eastAsia" w:ascii="宋体" w:hAnsi="宋体" w:cs="宋体"/>
          <w:sz w:val="24"/>
          <w:szCs w:val="24"/>
          <w:highlight w:val="none"/>
        </w:rPr>
        <w:t>供应商名称（盖章）：</w:t>
      </w:r>
      <w:r>
        <w:rPr>
          <w:rFonts w:hint="eastAsia" w:ascii="宋体" w:hAnsi="宋体" w:cs="宋体"/>
          <w:sz w:val="24"/>
          <w:szCs w:val="24"/>
          <w:highlight w:val="none"/>
          <w:u w:val="single"/>
        </w:rPr>
        <w:t xml:space="preserve">                        </w:t>
      </w:r>
    </w:p>
    <w:p w14:paraId="5A99069F">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授权代表签字或盖章：</w:t>
      </w:r>
      <w:r>
        <w:rPr>
          <w:rFonts w:hint="eastAsia" w:ascii="宋体" w:hAnsi="宋体" w:cs="宋体"/>
          <w:sz w:val="24"/>
          <w:szCs w:val="24"/>
          <w:highlight w:val="none"/>
          <w:u w:val="single"/>
        </w:rPr>
        <w:t xml:space="preserve">                        </w:t>
      </w:r>
    </w:p>
    <w:p w14:paraId="21678BBA">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E957668">
      <w:pPr>
        <w:adjustRightInd w:val="0"/>
        <w:snapToGrid w:val="0"/>
        <w:spacing w:line="360" w:lineRule="auto"/>
        <w:ind w:left="-88" w:leftChars="-42"/>
        <w:rPr>
          <w:rFonts w:ascii="宋体" w:hAnsi="宋体"/>
          <w:szCs w:val="21"/>
          <w:highlight w:val="none"/>
        </w:rPr>
      </w:pPr>
      <w:r>
        <w:rPr>
          <w:rFonts w:hint="eastAsia" w:ascii="宋体" w:hAnsi="宋体"/>
          <w:szCs w:val="21"/>
          <w:highlight w:val="none"/>
        </w:rPr>
        <w:t xml:space="preserve"> </w:t>
      </w:r>
    </w:p>
    <w:p w14:paraId="004ACAF8">
      <w:pPr>
        <w:rPr>
          <w:rFonts w:hint="eastAsia" w:ascii="宋体" w:hAnsi="宋体" w:cs="宋体"/>
          <w:b/>
          <w:sz w:val="28"/>
          <w:szCs w:val="28"/>
          <w:highlight w:val="none"/>
        </w:rPr>
      </w:pPr>
      <w:r>
        <w:rPr>
          <w:rFonts w:hint="eastAsia" w:ascii="宋体" w:hAnsi="宋体" w:cs="宋体"/>
          <w:b/>
          <w:sz w:val="28"/>
          <w:szCs w:val="28"/>
          <w:highlight w:val="none"/>
        </w:rPr>
        <w:br w:type="page"/>
      </w:r>
    </w:p>
    <w:p w14:paraId="5E0042C0">
      <w:pPr>
        <w:adjustRightInd w:val="0"/>
        <w:snapToGrid w:val="0"/>
        <w:spacing w:line="360" w:lineRule="auto"/>
        <w:outlineLvl w:val="1"/>
        <w:rPr>
          <w:rFonts w:ascii="宋体" w:hAnsi="宋体" w:cs="宋体"/>
          <w:b/>
          <w:sz w:val="28"/>
          <w:szCs w:val="28"/>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三</w:t>
      </w:r>
      <w:r>
        <w:rPr>
          <w:rFonts w:hint="eastAsia" w:ascii="宋体" w:hAnsi="宋体" w:cs="宋体"/>
          <w:b/>
          <w:sz w:val="28"/>
          <w:szCs w:val="28"/>
          <w:highlight w:val="none"/>
        </w:rPr>
        <w:t>：</w:t>
      </w:r>
    </w:p>
    <w:p w14:paraId="7F9D0A79">
      <w:pPr>
        <w:pStyle w:val="10"/>
        <w:jc w:val="center"/>
        <w:rPr>
          <w:rFonts w:ascii="宋体" w:hAnsi="宋体" w:cs="宋体"/>
          <w:b/>
          <w:szCs w:val="24"/>
          <w:highlight w:val="none"/>
        </w:rPr>
      </w:pPr>
      <w:r>
        <w:rPr>
          <w:rFonts w:hint="eastAsia" w:ascii="宋体" w:hAnsi="宋体" w:cs="宋体"/>
          <w:b/>
          <w:szCs w:val="24"/>
          <w:highlight w:val="none"/>
        </w:rPr>
        <w:t>法定代表人授权书</w:t>
      </w:r>
    </w:p>
    <w:p w14:paraId="26A8A14B">
      <w:pPr>
        <w:adjustRightInd w:val="0"/>
        <w:snapToGrid w:val="0"/>
        <w:spacing w:line="500" w:lineRule="exact"/>
        <w:rPr>
          <w:rFonts w:ascii="宋体" w:hAnsi="宋体" w:cs="宋体"/>
          <w:sz w:val="24"/>
          <w:szCs w:val="24"/>
          <w:highlight w:val="none"/>
        </w:rPr>
      </w:pPr>
    </w:p>
    <w:p w14:paraId="4C1752DE">
      <w:pPr>
        <w:spacing w:line="500" w:lineRule="exact"/>
        <w:rPr>
          <w:rFonts w:ascii="宋体" w:hAnsi="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75FF16B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兹授权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同志为我公司参加贵单位组织的</w:t>
      </w:r>
      <w:r>
        <w:rPr>
          <w:rFonts w:hint="eastAsia" w:ascii="宋体" w:hAnsi="宋体" w:cs="宋体"/>
          <w:sz w:val="24"/>
          <w:szCs w:val="24"/>
          <w:highlight w:val="none"/>
          <w:u w:val="single"/>
        </w:rPr>
        <w:t>（项目名称）</w:t>
      </w:r>
      <w:r>
        <w:rPr>
          <w:rFonts w:hint="eastAsia" w:ascii="宋体" w:hAnsi="宋体" w:cs="宋体"/>
          <w:sz w:val="24"/>
          <w:szCs w:val="24"/>
          <w:highlight w:val="none"/>
        </w:rPr>
        <w:t>询价活动的代表人，全权代表我公司处理在该项目活动中的一切事宜。代理期限从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日起至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日止。 </w:t>
      </w:r>
    </w:p>
    <w:p w14:paraId="3A90DD04">
      <w:pPr>
        <w:spacing w:line="500" w:lineRule="exact"/>
        <w:rPr>
          <w:rFonts w:ascii="宋体" w:hAnsi="宋体" w:cs="宋体"/>
          <w:sz w:val="24"/>
          <w:szCs w:val="24"/>
          <w:highlight w:val="none"/>
        </w:rPr>
      </w:pPr>
    </w:p>
    <w:p w14:paraId="5BA3DF73">
      <w:pPr>
        <w:spacing w:line="500" w:lineRule="exact"/>
        <w:rPr>
          <w:rFonts w:ascii="宋体" w:hAnsi="宋体" w:cs="宋体"/>
          <w:sz w:val="24"/>
          <w:szCs w:val="24"/>
          <w:highlight w:val="none"/>
        </w:rPr>
      </w:pPr>
      <w:r>
        <w:rPr>
          <w:rFonts w:hint="eastAsia" w:ascii="宋体" w:hAnsi="宋体" w:cs="宋体"/>
          <w:sz w:val="24"/>
          <w:szCs w:val="24"/>
          <w:highlight w:val="none"/>
        </w:rPr>
        <w:t>授权单位（盖章）：</w:t>
      </w:r>
      <w:r>
        <w:rPr>
          <w:rFonts w:hint="eastAsia" w:ascii="宋体" w:hAnsi="宋体" w:cs="宋体"/>
          <w:sz w:val="24"/>
          <w:szCs w:val="24"/>
          <w:highlight w:val="none"/>
          <w:u w:val="single"/>
        </w:rPr>
        <w:t xml:space="preserve">               </w:t>
      </w:r>
    </w:p>
    <w:p w14:paraId="00B8B716">
      <w:pPr>
        <w:spacing w:line="500" w:lineRule="exact"/>
        <w:rPr>
          <w:rFonts w:ascii="宋体" w:hAnsi="宋体" w:cs="宋体"/>
          <w:sz w:val="24"/>
          <w:szCs w:val="24"/>
          <w:highlight w:val="none"/>
          <w:u w:val="single"/>
        </w:rPr>
      </w:pPr>
      <w:r>
        <w:rPr>
          <w:rFonts w:hint="eastAsia" w:ascii="宋体" w:hAnsi="宋体" w:cs="宋体"/>
          <w:sz w:val="24"/>
          <w:szCs w:val="24"/>
          <w:highlight w:val="none"/>
        </w:rPr>
        <w:t>法定代表人（签字或盖章）：</w:t>
      </w:r>
      <w:r>
        <w:rPr>
          <w:rFonts w:hint="eastAsia" w:ascii="宋体" w:hAnsi="宋体" w:cs="宋体"/>
          <w:sz w:val="24"/>
          <w:szCs w:val="24"/>
          <w:highlight w:val="none"/>
          <w:u w:val="single"/>
        </w:rPr>
        <w:t xml:space="preserve">       </w:t>
      </w:r>
    </w:p>
    <w:p w14:paraId="53DBCB4E">
      <w:pPr>
        <w:pStyle w:val="10"/>
        <w:rPr>
          <w:rFonts w:ascii="宋体" w:hAnsi="宋体" w:cs="宋体"/>
          <w:highlight w:val="none"/>
        </w:rPr>
      </w:pPr>
      <w:r>
        <w:rPr>
          <w:rFonts w:hint="eastAsia" w:ascii="宋体" w:hAnsi="宋体" w:cs="宋体"/>
          <w:szCs w:val="24"/>
          <w:highlight w:val="none"/>
        </w:rPr>
        <w:t>被授权人（签字）：</w:t>
      </w:r>
      <w:r>
        <w:rPr>
          <w:rFonts w:hint="eastAsia" w:ascii="宋体" w:hAnsi="宋体" w:cs="宋体"/>
          <w:szCs w:val="24"/>
          <w:highlight w:val="none"/>
          <w:u w:val="single"/>
        </w:rPr>
        <w:t xml:space="preserve">        </w:t>
      </w:r>
    </w:p>
    <w:p w14:paraId="67C807A3">
      <w:pPr>
        <w:spacing w:line="500" w:lineRule="exact"/>
        <w:rPr>
          <w:rFonts w:ascii="宋体" w:hAnsi="宋体" w:cs="宋体"/>
          <w:sz w:val="24"/>
          <w:szCs w:val="24"/>
          <w:highlight w:val="none"/>
        </w:rPr>
      </w:pPr>
      <w:r>
        <w:rPr>
          <w:rFonts w:hint="eastAsia" w:ascii="宋体" w:hAnsi="宋体" w:cs="宋体"/>
          <w:sz w:val="24"/>
          <w:szCs w:val="24"/>
          <w:highlight w:val="none"/>
        </w:rPr>
        <w:t>签发日期：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705C906">
      <w:pPr>
        <w:spacing w:line="500" w:lineRule="exact"/>
        <w:rPr>
          <w:rFonts w:ascii="宋体" w:hAnsi="宋体" w:cs="宋体"/>
          <w:sz w:val="24"/>
          <w:szCs w:val="24"/>
          <w:highlight w:val="none"/>
        </w:rPr>
      </w:pPr>
    </w:p>
    <w:p w14:paraId="35FCC7C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附：代理人工作单位：</w:t>
      </w:r>
      <w:r>
        <w:rPr>
          <w:rFonts w:hint="eastAsia" w:ascii="宋体" w:hAnsi="宋体" w:cs="宋体"/>
          <w:sz w:val="24"/>
          <w:szCs w:val="24"/>
          <w:highlight w:val="none"/>
          <w:u w:val="single"/>
        </w:rPr>
        <w:t xml:space="preserve">                     </w:t>
      </w:r>
    </w:p>
    <w:p w14:paraId="0E9B0057">
      <w:pPr>
        <w:spacing w:line="50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性别：</w:t>
      </w:r>
      <w:r>
        <w:rPr>
          <w:rFonts w:hint="eastAsia" w:ascii="宋体" w:hAnsi="宋体" w:cs="宋体"/>
          <w:sz w:val="24"/>
          <w:szCs w:val="24"/>
          <w:highlight w:val="none"/>
          <w:u w:val="single"/>
        </w:rPr>
        <w:t xml:space="preserve">    </w:t>
      </w:r>
    </w:p>
    <w:p w14:paraId="2B55D052">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手机号码：</w:t>
      </w:r>
      <w:r>
        <w:rPr>
          <w:rFonts w:hint="eastAsia" w:ascii="宋体" w:hAnsi="宋体" w:cs="宋体"/>
          <w:sz w:val="24"/>
          <w:szCs w:val="24"/>
          <w:highlight w:val="none"/>
          <w:u w:val="single"/>
        </w:rPr>
        <w:t xml:space="preserve">                              </w:t>
      </w:r>
    </w:p>
    <w:p w14:paraId="5DBFAF42">
      <w:pPr>
        <w:adjustRightInd w:val="0"/>
        <w:snapToGrid w:val="0"/>
        <w:spacing w:line="500" w:lineRule="exact"/>
        <w:ind w:left="-88" w:leftChars="-42" w:firstLine="600" w:firstLineChars="250"/>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0E748526">
      <w:pPr>
        <w:adjustRightInd w:val="0"/>
        <w:snapToGrid w:val="0"/>
        <w:spacing w:line="500" w:lineRule="exact"/>
        <w:ind w:left="-88" w:leftChars="-42" w:firstLine="600" w:firstLineChars="250"/>
        <w:rPr>
          <w:rFonts w:ascii="宋体" w:hAnsi="宋体" w:cs="宋体"/>
          <w:sz w:val="24"/>
          <w:szCs w:val="24"/>
          <w:highlight w:val="none"/>
          <w:u w:val="single"/>
        </w:rPr>
      </w:pPr>
    </w:p>
    <w:tbl>
      <w:tblPr>
        <w:tblStyle w:val="25"/>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276C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3A500C78">
            <w:pPr>
              <w:spacing w:line="500" w:lineRule="exact"/>
              <w:rPr>
                <w:rFonts w:ascii="宋体" w:hAnsi="宋体" w:cs="宋体"/>
                <w:bCs/>
                <w:sz w:val="24"/>
                <w:szCs w:val="24"/>
                <w:highlight w:val="none"/>
              </w:rPr>
            </w:pPr>
            <w:r>
              <w:rPr>
                <w:rFonts w:hint="eastAsia" w:ascii="宋体" w:hAnsi="宋体" w:cs="宋体"/>
                <w:bCs/>
                <w:sz w:val="24"/>
                <w:szCs w:val="24"/>
                <w:highlight w:val="none"/>
              </w:rPr>
              <w:t>粘贴被法定代表人身份证（复印件）</w:t>
            </w:r>
          </w:p>
        </w:tc>
        <w:tc>
          <w:tcPr>
            <w:tcW w:w="4557" w:type="dxa"/>
          </w:tcPr>
          <w:p w14:paraId="332696E6">
            <w:pPr>
              <w:spacing w:line="500" w:lineRule="exact"/>
              <w:rPr>
                <w:rFonts w:ascii="宋体" w:hAnsi="宋体" w:cs="宋体"/>
                <w:bCs/>
                <w:sz w:val="24"/>
                <w:szCs w:val="24"/>
                <w:highlight w:val="none"/>
              </w:rPr>
            </w:pPr>
            <w:r>
              <w:rPr>
                <w:rFonts w:hint="eastAsia" w:ascii="宋体" w:hAnsi="宋体" w:cs="宋体"/>
                <w:bCs/>
                <w:sz w:val="24"/>
                <w:szCs w:val="24"/>
                <w:highlight w:val="none"/>
              </w:rPr>
              <w:t>粘贴被授权人身份证（复印件）</w:t>
            </w:r>
          </w:p>
        </w:tc>
      </w:tr>
    </w:tbl>
    <w:p w14:paraId="7A984332">
      <w:pPr>
        <w:spacing w:line="500" w:lineRule="exact"/>
        <w:rPr>
          <w:rFonts w:ascii="宋体" w:hAnsi="宋体" w:cs="宋体"/>
          <w:b/>
          <w:sz w:val="24"/>
          <w:szCs w:val="24"/>
          <w:highlight w:val="none"/>
        </w:rPr>
      </w:pPr>
    </w:p>
    <w:p w14:paraId="08FB5011">
      <w:pPr>
        <w:pStyle w:val="10"/>
        <w:rPr>
          <w:highlight w:val="none"/>
        </w:rPr>
      </w:pPr>
    </w:p>
    <w:p w14:paraId="110D3FAA">
      <w:pPr>
        <w:autoSpaceDE w:val="0"/>
        <w:autoSpaceDN w:val="0"/>
        <w:adjustRightInd w:val="0"/>
        <w:spacing w:line="360" w:lineRule="auto"/>
        <w:jc w:val="left"/>
        <w:outlineLvl w:val="1"/>
        <w:rPr>
          <w:rFonts w:ascii="宋体" w:hAnsi="宋体" w:cs="宋体"/>
          <w:sz w:val="24"/>
          <w:szCs w:val="24"/>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w:t>
      </w:r>
    </w:p>
    <w:p w14:paraId="031DE9EF">
      <w:pPr>
        <w:pStyle w:val="16"/>
        <w:tabs>
          <w:tab w:val="center" w:pos="4153"/>
          <w:tab w:val="right" w:pos="8306"/>
          <w:tab w:val="clear" w:pos="4140"/>
          <w:tab w:val="clear" w:pos="8300"/>
        </w:tabs>
        <w:jc w:val="center"/>
        <w:outlineLvl w:val="9"/>
        <w:rPr>
          <w:rFonts w:hint="eastAsia" w:ascii="宋体" w:hAnsi="宋体" w:eastAsia="宋体" w:cs="宋体"/>
          <w:b/>
          <w:sz w:val="28"/>
          <w:szCs w:val="22"/>
          <w:highlight w:val="none"/>
          <w:lang w:val="en-US" w:eastAsia="zh-CN" w:bidi="zh-CN"/>
        </w:rPr>
      </w:pPr>
      <w:r>
        <w:rPr>
          <w:rFonts w:hint="eastAsia" w:ascii="宋体" w:hAnsi="宋体" w:eastAsia="宋体" w:cs="宋体"/>
          <w:b/>
          <w:sz w:val="28"/>
          <w:szCs w:val="22"/>
          <w:highlight w:val="none"/>
          <w:lang w:val="en-US" w:eastAsia="zh-CN" w:bidi="zh-CN"/>
        </w:rPr>
        <w:t>湖北机场集团</w:t>
      </w:r>
      <w:r>
        <w:rPr>
          <w:rFonts w:hint="eastAsia" w:ascii="宋体" w:hAnsi="宋体" w:cs="宋体"/>
          <w:b/>
          <w:sz w:val="28"/>
          <w:szCs w:val="22"/>
          <w:highlight w:val="none"/>
          <w:lang w:val="en-US" w:eastAsia="zh-CN" w:bidi="zh-CN"/>
        </w:rPr>
        <w:t>有限公司</w:t>
      </w:r>
      <w:r>
        <w:rPr>
          <w:rFonts w:hint="eastAsia" w:ascii="宋体" w:hAnsi="宋体" w:eastAsia="宋体" w:cs="宋体"/>
          <w:b/>
          <w:sz w:val="28"/>
          <w:szCs w:val="22"/>
          <w:highlight w:val="none"/>
          <w:lang w:val="en-US" w:eastAsia="zh-CN" w:bidi="zh-CN"/>
        </w:rPr>
        <w:t>“供应商不良行为”管理办法承诺书</w:t>
      </w:r>
    </w:p>
    <w:p w14:paraId="3D7F92A4">
      <w:pPr>
        <w:pStyle w:val="16"/>
        <w:tabs>
          <w:tab w:val="center" w:pos="4153"/>
          <w:tab w:val="right" w:pos="8306"/>
          <w:tab w:val="clear" w:pos="4140"/>
          <w:tab w:val="clear" w:pos="8300"/>
        </w:tabs>
        <w:rPr>
          <w:rFonts w:hint="eastAsia" w:ascii="宋体" w:hAnsi="宋体" w:eastAsia="宋体" w:cs="宋体"/>
          <w:highlight w:val="none"/>
        </w:rPr>
      </w:pPr>
    </w:p>
    <w:p w14:paraId="14DD54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eastAsia="宋体" w:cs="宋体"/>
          <w:sz w:val="24"/>
          <w:szCs w:val="24"/>
          <w:highlight w:val="none"/>
        </w:rPr>
        <w:t>：</w:t>
      </w:r>
    </w:p>
    <w:p w14:paraId="6EA68F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与本项目的招标活动，在与湖北机场集团招标采购（含招商）、签约和履约过程中，不存在违法违规且不存在其他不良行为，未给机场集团、社会和公众造成损失或不良影响，并完全遵守《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的规定，现针对《湖北机场集团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作如下承诺：</w:t>
      </w:r>
    </w:p>
    <w:p w14:paraId="272C36E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我单位不得采取不正当手段诋毁、排挤其他供应商或故意以虚构事实等方式进行投诉。</w:t>
      </w:r>
    </w:p>
    <w:p w14:paraId="499C301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不得向集团从事招标采购工作的各类相关工作人员、集团委托的招标代理机构等行贿或者提供其他不正当利益。</w:t>
      </w:r>
    </w:p>
    <w:p w14:paraId="208DE1B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不得串通采购人、其他供应商或集团委托的招标代理机构进行投标、围标和竞价，干扰正常招标采购秩序的。</w:t>
      </w:r>
    </w:p>
    <w:p w14:paraId="2E40D1C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不得非法以他人名义进行投标、竞价或者以其他方式弄虚作假骗取中标（成交）。</w:t>
      </w:r>
    </w:p>
    <w:p w14:paraId="51F9C90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中标（成交）后按文件规定要求提交履约保证金。</w:t>
      </w:r>
    </w:p>
    <w:p w14:paraId="132DB0E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中标（成交）后完全按照招标文件（采购文件）和投标文件（响应文件）签订合同，不得要求与采购人另行签订背离合同实质性内容协议。</w:t>
      </w:r>
    </w:p>
    <w:p w14:paraId="5A63845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合同签订后，无正当理由不得拒不履行或者拖延履行采购合同义务。</w:t>
      </w:r>
    </w:p>
    <w:p w14:paraId="4947F5B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不得将中标（成交）项目转让（转包）给他人，或者违反招标文件（采购文件）规定，擅自将中标（成交）项目分包给他人。</w:t>
      </w:r>
    </w:p>
    <w:p w14:paraId="0528C34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不得擅自变更、中止或终止采购合同。</w:t>
      </w:r>
    </w:p>
    <w:p w14:paraId="1E6BED7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不得提供虚假材料、虚构事实进行恶意诽谤、诬告、陷害等行为。</w:t>
      </w:r>
    </w:p>
    <w:p w14:paraId="2F6F74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6354EFE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highlight w:val="none"/>
        </w:rPr>
      </w:pPr>
      <w:r>
        <w:rPr>
          <w:rFonts w:hint="eastAsia" w:hAnsi="宋体" w:cs="宋体"/>
          <w:sz w:val="24"/>
          <w:szCs w:val="24"/>
          <w:highlight w:val="none"/>
        </w:rPr>
        <w:t xml:space="preserve">供应商（盖章）：     </w:t>
      </w:r>
    </w:p>
    <w:p w14:paraId="26ED35D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highlight w:val="none"/>
        </w:rPr>
      </w:pPr>
      <w:r>
        <w:rPr>
          <w:rFonts w:hint="eastAsia" w:hAnsi="宋体" w:cs="宋体"/>
          <w:sz w:val="24"/>
          <w:szCs w:val="24"/>
          <w:highlight w:val="none"/>
        </w:rPr>
        <w:t xml:space="preserve">  年  月  日</w:t>
      </w:r>
    </w:p>
    <w:p w14:paraId="2A2F0A9E">
      <w:pPr>
        <w:keepNext w:val="0"/>
        <w:keepLines w:val="0"/>
        <w:pageBreakBefore w:val="0"/>
        <w:widowControl/>
        <w:tabs>
          <w:tab w:val="left" w:pos="420"/>
          <w:tab w:val="left" w:pos="540"/>
        </w:tabs>
        <w:kinsoku/>
        <w:wordWrap/>
        <w:overflowPunct/>
        <w:topLinePunct w:val="0"/>
        <w:autoSpaceDE/>
        <w:autoSpaceDN/>
        <w:bidi w:val="0"/>
        <w:adjustRightInd/>
        <w:snapToGrid/>
        <w:spacing w:line="360" w:lineRule="auto"/>
        <w:ind w:right="0" w:firstLine="480" w:firstLineChars="200"/>
        <w:jc w:val="right"/>
        <w:textAlignment w:val="auto"/>
        <w:rPr>
          <w:rFonts w:hint="eastAsia" w:ascii="Times New Roman" w:hAnsi="宋体" w:eastAsia="宋体" w:cs="Times New Roman"/>
          <w:sz w:val="24"/>
          <w:szCs w:val="24"/>
          <w:highlight w:val="none"/>
          <w:lang w:val="en-US" w:eastAsia="zh-CN"/>
        </w:rPr>
      </w:pPr>
      <w:r>
        <w:rPr>
          <w:rFonts w:hint="eastAsia" w:ascii="Times New Roman" w:hAnsi="宋体" w:eastAsia="宋体" w:cs="Times New Roman"/>
          <w:sz w:val="24"/>
          <w:szCs w:val="24"/>
          <w:highlight w:val="none"/>
          <w:lang w:eastAsia="zh-CN"/>
        </w:rPr>
        <w:t xml:space="preserve"> </w:t>
      </w:r>
    </w:p>
    <w:p w14:paraId="12777EAB">
      <w:pPr>
        <w:pStyle w:val="7"/>
        <w:rPr>
          <w:rFonts w:hint="eastAsia" w:ascii="Times New Roman" w:hAnsi="宋体" w:eastAsia="宋体" w:cs="Times New Roman"/>
          <w:sz w:val="24"/>
          <w:szCs w:val="24"/>
          <w:highlight w:val="none"/>
          <w:lang w:val="en-US" w:eastAsia="zh-CN"/>
        </w:rPr>
      </w:pPr>
    </w:p>
    <w:p w14:paraId="717B3D24">
      <w:pPr>
        <w:pStyle w:val="7"/>
        <w:rPr>
          <w:rFonts w:hint="eastAsia" w:ascii="Times New Roman" w:hAnsi="宋体" w:eastAsia="宋体" w:cs="Times New Roman"/>
          <w:sz w:val="24"/>
          <w:szCs w:val="24"/>
          <w:highlight w:val="none"/>
          <w:lang w:val="en-US" w:eastAsia="zh-CN"/>
        </w:rPr>
      </w:pPr>
    </w:p>
    <w:p w14:paraId="50E31871">
      <w:pPr>
        <w:pStyle w:val="7"/>
        <w:rPr>
          <w:rFonts w:hint="eastAsia" w:ascii="Times New Roman" w:hAnsi="宋体" w:eastAsia="宋体" w:cs="Times New Roman"/>
          <w:sz w:val="24"/>
          <w:szCs w:val="24"/>
          <w:highlight w:val="none"/>
          <w:lang w:val="en-US" w:eastAsia="zh-CN"/>
        </w:rPr>
      </w:pPr>
    </w:p>
    <w:p w14:paraId="5DE50B00">
      <w:pPr>
        <w:pStyle w:val="7"/>
        <w:rPr>
          <w:rFonts w:hint="eastAsia" w:ascii="Times New Roman" w:hAnsi="宋体" w:eastAsia="宋体" w:cs="Times New Roman"/>
          <w:sz w:val="24"/>
          <w:szCs w:val="24"/>
          <w:highlight w:val="none"/>
          <w:lang w:val="en-US" w:eastAsia="zh-CN"/>
        </w:rPr>
      </w:pPr>
    </w:p>
    <w:p w14:paraId="7B3D2C7C">
      <w:pPr>
        <w:pStyle w:val="7"/>
        <w:rPr>
          <w:rFonts w:hint="eastAsia" w:ascii="Times New Roman" w:hAnsi="宋体" w:eastAsia="宋体" w:cs="Times New Roman"/>
          <w:sz w:val="24"/>
          <w:szCs w:val="24"/>
          <w:highlight w:val="none"/>
          <w:lang w:val="en-US" w:eastAsia="zh-CN"/>
        </w:rPr>
      </w:pPr>
    </w:p>
    <w:p w14:paraId="240C3F31">
      <w:pPr>
        <w:pStyle w:val="7"/>
        <w:rPr>
          <w:rFonts w:hint="eastAsia" w:ascii="Times New Roman" w:hAnsi="宋体" w:eastAsia="宋体" w:cs="Times New Roman"/>
          <w:sz w:val="24"/>
          <w:szCs w:val="24"/>
          <w:highlight w:val="none"/>
          <w:lang w:val="en-US" w:eastAsia="zh-CN"/>
        </w:rPr>
      </w:pPr>
    </w:p>
    <w:p w14:paraId="1423EB75">
      <w:pPr>
        <w:pStyle w:val="7"/>
        <w:rPr>
          <w:rFonts w:hint="eastAsia" w:ascii="Times New Roman" w:hAnsi="宋体" w:eastAsia="宋体" w:cs="Times New Roman"/>
          <w:sz w:val="24"/>
          <w:szCs w:val="24"/>
          <w:highlight w:val="none"/>
          <w:lang w:val="en-US" w:eastAsia="zh-CN"/>
        </w:rPr>
      </w:pPr>
    </w:p>
    <w:p w14:paraId="6ED6F440">
      <w:pPr>
        <w:pStyle w:val="7"/>
        <w:rPr>
          <w:rFonts w:hint="eastAsia" w:ascii="Times New Roman" w:hAnsi="宋体" w:eastAsia="宋体" w:cs="Times New Roman"/>
          <w:sz w:val="24"/>
          <w:szCs w:val="24"/>
          <w:highlight w:val="none"/>
          <w:lang w:val="en-US" w:eastAsia="zh-CN"/>
        </w:rPr>
      </w:pPr>
    </w:p>
    <w:p w14:paraId="1400C859">
      <w:pPr>
        <w:autoSpaceDE w:val="0"/>
        <w:autoSpaceDN w:val="0"/>
        <w:adjustRightInd w:val="0"/>
        <w:spacing w:line="360" w:lineRule="auto"/>
        <w:jc w:val="left"/>
        <w:outlineLvl w:val="1"/>
        <w:rPr>
          <w:rFonts w:ascii="宋体" w:hAnsi="宋体" w:cs="宋体"/>
          <w:sz w:val="24"/>
          <w:szCs w:val="24"/>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w:t>
      </w:r>
    </w:p>
    <w:p w14:paraId="28E68BAA">
      <w:pPr>
        <w:bidi w:val="0"/>
        <w:spacing w:line="360" w:lineRule="auto"/>
        <w:ind w:left="0" w:leftChars="0" w:right="0" w:rightChars="0" w:firstLine="0" w:firstLineChars="0"/>
        <w:jc w:val="center"/>
        <w:rPr>
          <w:rFonts w:hint="default" w:eastAsia="宋体"/>
          <w:b/>
          <w:bCs/>
          <w:sz w:val="24"/>
          <w:szCs w:val="28"/>
          <w:highlight w:val="none"/>
          <w:lang w:val="en-US" w:eastAsia="zh-CN"/>
        </w:rPr>
      </w:pPr>
      <w:r>
        <w:rPr>
          <w:rFonts w:hint="eastAsia"/>
          <w:b/>
          <w:bCs/>
          <w:sz w:val="24"/>
          <w:szCs w:val="28"/>
          <w:highlight w:val="none"/>
          <w:lang w:val="en-US" w:eastAsia="zh-CN"/>
        </w:rPr>
        <w:t>询价文件要求或供应商认为需要提供的其他资料</w:t>
      </w:r>
    </w:p>
    <w:p w14:paraId="5CFF3141">
      <w:pPr>
        <w:pStyle w:val="7"/>
        <w:rPr>
          <w:rFonts w:hint="eastAsia" w:ascii="Times New Roman" w:hAnsi="宋体" w:eastAsia="宋体" w:cs="Times New Roman"/>
          <w:sz w:val="24"/>
          <w:szCs w:val="24"/>
          <w:highlight w:val="none"/>
          <w:lang w:val="en-US" w:eastAsia="zh-CN"/>
        </w:rPr>
      </w:pPr>
    </w:p>
    <w:p w14:paraId="218CD76D">
      <w:pPr>
        <w:pStyle w:val="7"/>
        <w:rPr>
          <w:rFonts w:hint="eastAsia" w:ascii="Times New Roman" w:hAnsi="宋体" w:eastAsia="宋体" w:cs="Times New Roman"/>
          <w:sz w:val="24"/>
          <w:szCs w:val="24"/>
          <w:highlight w:val="none"/>
          <w:lang w:val="en-US" w:eastAsia="zh-CN"/>
        </w:rPr>
      </w:pPr>
    </w:p>
    <w:p w14:paraId="75512ADA">
      <w:pPr>
        <w:pStyle w:val="7"/>
        <w:rPr>
          <w:rFonts w:hint="default" w:ascii="Times New Roman" w:hAnsi="宋体" w:eastAsia="宋体" w:cs="Times New Roman"/>
          <w:sz w:val="24"/>
          <w:szCs w:val="24"/>
          <w:highlight w:val="none"/>
          <w:lang w:val="en-US" w:eastAsia="zh-CN"/>
        </w:rPr>
        <w:sectPr>
          <w:footerReference r:id="rId6" w:type="default"/>
          <w:pgSz w:w="11906" w:h="16838"/>
          <w:pgMar w:top="1361" w:right="1247" w:bottom="1361" w:left="1361"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769F366A">
      <w:pPr>
        <w:pStyle w:val="3"/>
        <w:keepNext w:val="0"/>
        <w:keepLines w:val="0"/>
        <w:numPr>
          <w:ilvl w:val="0"/>
          <w:numId w:val="0"/>
        </w:numPr>
        <w:adjustRightInd w:val="0"/>
        <w:snapToGrid w:val="0"/>
        <w:spacing w:before="156" w:beforeLines="50" w:after="156" w:afterLines="50" w:line="240" w:lineRule="auto"/>
        <w:ind w:right="-10" w:rightChars="-5"/>
        <w:jc w:val="center"/>
        <w:rPr>
          <w:rFonts w:hint="eastAsia" w:ascii="宋体" w:hAnsi="宋体" w:eastAsia="宋体" w:cs="宋体"/>
          <w:highlight w:val="none"/>
          <w:lang w:val="en-US" w:eastAsia="zh-CN"/>
        </w:rPr>
      </w:pPr>
      <w:bookmarkStart w:id="43" w:name="_Toc20908"/>
      <w:bookmarkStart w:id="44" w:name="_Toc19021"/>
      <w:r>
        <w:rPr>
          <w:rFonts w:hint="eastAsia" w:ascii="宋体" w:hAnsi="宋体" w:eastAsia="宋体" w:cs="宋体"/>
          <w:highlight w:val="none"/>
          <w:lang w:val="en-US" w:eastAsia="zh-CN"/>
        </w:rPr>
        <w:t>第五章 采购合同</w:t>
      </w:r>
      <w:bookmarkEnd w:id="43"/>
      <w:bookmarkEnd w:id="44"/>
    </w:p>
    <w:p w14:paraId="1324FE48">
      <w:pPr>
        <w:jc w:val="center"/>
        <w:rPr>
          <w:rFonts w:hint="eastAsia" w:ascii="黑体" w:hAnsi="黑体" w:eastAsia="黑体" w:cs="黑体"/>
          <w:color w:val="auto"/>
          <w:sz w:val="40"/>
          <w:szCs w:val="40"/>
          <w:highlight w:val="none"/>
        </w:rPr>
      </w:pPr>
    </w:p>
    <w:p w14:paraId="3DAF5B13">
      <w:pPr>
        <w:pStyle w:val="10"/>
        <w:keepNext w:val="0"/>
        <w:keepLines w:val="0"/>
        <w:pageBreakBefore w:val="0"/>
        <w:widowControl w:val="0"/>
        <w:suppressLineNumbers/>
        <w:kinsoku/>
        <w:wordWrap/>
        <w:overflowPunct/>
        <w:topLinePunct w:val="0"/>
        <w:bidi w:val="0"/>
        <w:adjustRightInd/>
        <w:snapToGrid/>
        <w:spacing w:before="0" w:line="560" w:lineRule="exact"/>
        <w:jc w:val="center"/>
        <w:outlineLvl w:val="9"/>
        <w:rPr>
          <w:rFonts w:hint="eastAsia" w:ascii="方正小标宋简体" w:hAnsi="方正小标宋简体" w:eastAsia="方正小标宋简体" w:cs="方正小标宋简体"/>
          <w:color w:val="auto"/>
          <w:sz w:val="44"/>
          <w:szCs w:val="44"/>
          <w:highlight w:val="none"/>
        </w:rPr>
      </w:pPr>
      <w:bookmarkStart w:id="45" w:name="_Toc23763"/>
      <w:r>
        <w:rPr>
          <w:rFonts w:hint="eastAsia" w:ascii="方正小标宋简体" w:hAnsi="方正小标宋简体" w:eastAsia="方正小标宋简体" w:cs="方正小标宋简体"/>
          <w:color w:val="auto"/>
          <w:sz w:val="44"/>
          <w:szCs w:val="44"/>
          <w:highlight w:val="none"/>
        </w:rPr>
        <w:t>恩施机场网络安全等级保护测评服务采购</w:t>
      </w:r>
    </w:p>
    <w:p w14:paraId="77AFEA03">
      <w:pPr>
        <w:pStyle w:val="10"/>
        <w:keepNext w:val="0"/>
        <w:keepLines w:val="0"/>
        <w:pageBreakBefore w:val="0"/>
        <w:widowControl w:val="0"/>
        <w:suppressLineNumbers/>
        <w:kinsoku/>
        <w:wordWrap/>
        <w:overflowPunct/>
        <w:topLinePunct w:val="0"/>
        <w:bidi w:val="0"/>
        <w:adjustRightInd/>
        <w:snapToGrid/>
        <w:spacing w:before="0" w:line="560" w:lineRule="exact"/>
        <w:jc w:val="center"/>
        <w:outlineLvl w:val="9"/>
        <w:rPr>
          <w:rFonts w:hint="eastAsia" w:ascii="方正小标宋简体" w:hAnsi="方正小标宋简体" w:eastAsia="方正小标宋简体" w:cs="方正小标宋简体"/>
          <w:color w:val="auto"/>
          <w:spacing w:val="30"/>
          <w:sz w:val="44"/>
          <w:szCs w:val="44"/>
          <w:highlight w:val="none"/>
        </w:rPr>
      </w:pPr>
      <w:r>
        <w:rPr>
          <w:rFonts w:hint="eastAsia" w:ascii="方正小标宋简体" w:hAnsi="方正小标宋简体" w:eastAsia="方正小标宋简体" w:cs="方正小标宋简体"/>
          <w:color w:val="auto"/>
          <w:sz w:val="44"/>
          <w:szCs w:val="44"/>
          <w:highlight w:val="none"/>
        </w:rPr>
        <w:t>项目服务</w:t>
      </w:r>
      <w:r>
        <w:rPr>
          <w:rFonts w:hint="eastAsia" w:ascii="方正小标宋简体" w:hAnsi="方正小标宋简体" w:eastAsia="方正小标宋简体" w:cs="方正小标宋简体"/>
          <w:color w:val="auto"/>
          <w:sz w:val="44"/>
          <w:szCs w:val="44"/>
          <w:highlight w:val="none"/>
          <w:lang w:eastAsia="zh-CN"/>
        </w:rPr>
        <w:t>采购</w:t>
      </w:r>
      <w:r>
        <w:rPr>
          <w:rFonts w:hint="eastAsia" w:ascii="方正小标宋简体" w:hAnsi="方正小标宋简体" w:eastAsia="方正小标宋简体" w:cs="方正小标宋简体"/>
          <w:color w:val="auto"/>
          <w:sz w:val="44"/>
          <w:szCs w:val="44"/>
          <w:highlight w:val="none"/>
        </w:rPr>
        <w:t>合同</w:t>
      </w:r>
      <w:bookmarkEnd w:id="45"/>
    </w:p>
    <w:p w14:paraId="6CE75E19">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ascii="黑体" w:eastAsia="黑体" w:cs="黑体"/>
          <w:b/>
          <w:bCs/>
          <w:color w:val="auto"/>
          <w:sz w:val="70"/>
          <w:szCs w:val="70"/>
          <w:highlight w:val="none"/>
        </w:rPr>
      </w:pPr>
    </w:p>
    <w:p w14:paraId="2A878904">
      <w:pPr>
        <w:bidi w:val="0"/>
        <w:rPr>
          <w:rFonts w:hint="eastAsia"/>
          <w:highlight w:val="none"/>
        </w:rPr>
      </w:pPr>
      <w:bookmarkStart w:id="46" w:name="_Toc6622"/>
    </w:p>
    <w:p w14:paraId="3277F164">
      <w:pPr>
        <w:pStyle w:val="82"/>
        <w:keepNext w:val="0"/>
        <w:keepLines w:val="0"/>
        <w:pageBreakBefore w:val="0"/>
        <w:widowControl w:val="0"/>
        <w:kinsoku/>
        <w:wordWrap/>
        <w:overflowPunct/>
        <w:topLinePunct w:val="0"/>
        <w:bidi w:val="0"/>
        <w:spacing w:before="9" w:line="560" w:lineRule="exact"/>
        <w:ind w:firstLine="2108" w:firstLineChars="700"/>
        <w:jc w:val="both"/>
        <w:outlineLvl w:val="9"/>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rPr>
        <w:t>甲方：</w:t>
      </w:r>
      <w:r>
        <w:rPr>
          <w:rFonts w:hint="eastAsia" w:ascii="宋体" w:hAnsi="宋体"/>
          <w:b/>
          <w:bCs/>
          <w:color w:val="auto"/>
          <w:sz w:val="30"/>
          <w:szCs w:val="30"/>
          <w:highlight w:val="none"/>
          <w:lang w:val="en-US" w:eastAsia="zh-CN"/>
        </w:rPr>
        <w:t>湖北机场集团恩施机场有限责任公司</w:t>
      </w:r>
      <w:bookmarkEnd w:id="46"/>
    </w:p>
    <w:p w14:paraId="0E9E0867">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ind w:firstLine="2108" w:firstLineChars="700"/>
        <w:jc w:val="both"/>
        <w:outlineLvl w:val="9"/>
        <w:rPr>
          <w:rFonts w:hint="eastAsia" w:ascii="宋体" w:hAnsi="宋体" w:eastAsia="宋体" w:cs="Times New Roman"/>
          <w:b/>
          <w:bCs/>
          <w:color w:val="auto"/>
          <w:kern w:val="2"/>
          <w:sz w:val="30"/>
          <w:szCs w:val="30"/>
          <w:highlight w:val="none"/>
          <w:lang w:val="en-US" w:eastAsia="zh-CN" w:bidi="ar-SA"/>
        </w:rPr>
      </w:pPr>
      <w:bookmarkStart w:id="47" w:name="_Toc31604"/>
      <w:r>
        <w:rPr>
          <w:rFonts w:hint="eastAsia" w:ascii="宋体" w:hAnsi="宋体" w:eastAsia="宋体" w:cs="Times New Roman"/>
          <w:b/>
          <w:bCs/>
          <w:color w:val="auto"/>
          <w:kern w:val="2"/>
          <w:sz w:val="30"/>
          <w:szCs w:val="30"/>
          <w:highlight w:val="none"/>
          <w:lang w:val="en-US" w:eastAsia="zh-CN" w:bidi="ar-SA"/>
        </w:rPr>
        <w:t>乙方：</w:t>
      </w:r>
      <w:bookmarkEnd w:id="47"/>
    </w:p>
    <w:p w14:paraId="2347A060">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center"/>
        <w:rPr>
          <w:rFonts w:ascii="宋体" w:hAnsi="宋体"/>
          <w:b/>
          <w:bCs/>
          <w:color w:val="auto"/>
          <w:kern w:val="2"/>
          <w:sz w:val="30"/>
          <w:szCs w:val="30"/>
          <w:highlight w:val="none"/>
        </w:rPr>
      </w:pPr>
    </w:p>
    <w:p w14:paraId="040B09B6">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center"/>
        <w:rPr>
          <w:rFonts w:ascii="宋体" w:hAnsi="宋体"/>
          <w:b/>
          <w:bCs/>
          <w:color w:val="auto"/>
          <w:kern w:val="2"/>
          <w:sz w:val="30"/>
          <w:szCs w:val="30"/>
          <w:highlight w:val="none"/>
        </w:rPr>
      </w:pPr>
    </w:p>
    <w:p w14:paraId="2212DFEE">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center"/>
        <w:rPr>
          <w:rFonts w:ascii="宋体" w:hAnsi="宋体"/>
          <w:b/>
          <w:bCs/>
          <w:color w:val="auto"/>
          <w:kern w:val="2"/>
          <w:sz w:val="30"/>
          <w:szCs w:val="30"/>
          <w:highlight w:val="none"/>
        </w:rPr>
      </w:pPr>
    </w:p>
    <w:p w14:paraId="7F3A0394">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center"/>
        <w:rPr>
          <w:rFonts w:ascii="宋体" w:hAnsi="宋体"/>
          <w:b/>
          <w:bCs/>
          <w:color w:val="auto"/>
          <w:kern w:val="2"/>
          <w:sz w:val="30"/>
          <w:szCs w:val="30"/>
          <w:highlight w:val="none"/>
        </w:rPr>
      </w:pPr>
      <w:r>
        <w:rPr>
          <w:rFonts w:hint="eastAsia" w:hAnsi="宋体"/>
          <w:b/>
          <w:bCs/>
          <w:color w:val="auto"/>
          <w:kern w:val="2"/>
          <w:sz w:val="30"/>
          <w:szCs w:val="30"/>
          <w:highlight w:val="none"/>
          <w:lang w:val="en-US" w:eastAsia="zh-CN"/>
        </w:rPr>
        <w:t>2025</w:t>
      </w:r>
      <w:r>
        <w:rPr>
          <w:rFonts w:hint="eastAsia" w:ascii="宋体" w:hAnsi="宋体"/>
          <w:b/>
          <w:bCs/>
          <w:color w:val="auto"/>
          <w:kern w:val="2"/>
          <w:sz w:val="30"/>
          <w:szCs w:val="30"/>
          <w:highlight w:val="none"/>
        </w:rPr>
        <w:t>年</w:t>
      </w:r>
      <w:r>
        <w:rPr>
          <w:rFonts w:hint="eastAsia" w:hAnsi="宋体"/>
          <w:b/>
          <w:bCs/>
          <w:color w:val="auto"/>
          <w:kern w:val="2"/>
          <w:sz w:val="30"/>
          <w:szCs w:val="30"/>
          <w:highlight w:val="none"/>
          <w:lang w:val="en-US" w:eastAsia="zh-CN"/>
        </w:rPr>
        <w:t xml:space="preserve">   </w:t>
      </w:r>
      <w:r>
        <w:rPr>
          <w:rFonts w:hint="eastAsia" w:ascii="宋体" w:hAnsi="宋体"/>
          <w:b/>
          <w:bCs/>
          <w:color w:val="auto"/>
          <w:kern w:val="2"/>
          <w:sz w:val="30"/>
          <w:szCs w:val="30"/>
          <w:highlight w:val="none"/>
        </w:rPr>
        <w:t>月  日</w:t>
      </w:r>
    </w:p>
    <w:p w14:paraId="58218F2C">
      <w:pPr>
        <w:keepNext w:val="0"/>
        <w:keepLines w:val="0"/>
        <w:pageBreakBefore w:val="0"/>
        <w:widowControl w:val="0"/>
        <w:kinsoku/>
        <w:wordWrap/>
        <w:overflowPunct/>
        <w:topLinePunct w:val="0"/>
        <w:bidi w:val="0"/>
        <w:spacing w:line="560" w:lineRule="exact"/>
        <w:rPr>
          <w:rFonts w:eastAsia="华文中宋"/>
          <w:b/>
          <w:bCs/>
          <w:color w:val="auto"/>
          <w:sz w:val="52"/>
          <w:highlight w:val="none"/>
        </w:rPr>
      </w:pPr>
    </w:p>
    <w:p w14:paraId="1B49901A">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hint="eastAsia" w:ascii="黑体" w:eastAsia="黑体" w:cs="黑体"/>
          <w:b/>
          <w:bCs/>
          <w:color w:val="auto"/>
          <w:sz w:val="28"/>
          <w:szCs w:val="28"/>
          <w:highlight w:val="none"/>
        </w:rPr>
      </w:pPr>
    </w:p>
    <w:p w14:paraId="03AF751E">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hint="eastAsia" w:ascii="黑体" w:eastAsia="黑体" w:cs="黑体"/>
          <w:b/>
          <w:bCs/>
          <w:color w:val="auto"/>
          <w:sz w:val="28"/>
          <w:szCs w:val="28"/>
          <w:highlight w:val="none"/>
        </w:rPr>
      </w:pPr>
    </w:p>
    <w:p w14:paraId="6135704B">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hint="eastAsia" w:ascii="黑体" w:eastAsia="黑体" w:cs="黑体"/>
          <w:b/>
          <w:bCs/>
          <w:color w:val="auto"/>
          <w:sz w:val="28"/>
          <w:szCs w:val="28"/>
          <w:highlight w:val="none"/>
        </w:rPr>
      </w:pPr>
    </w:p>
    <w:p w14:paraId="645362B4">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hint="eastAsia" w:ascii="黑体" w:eastAsia="黑体" w:cs="黑体"/>
          <w:b/>
          <w:bCs/>
          <w:color w:val="auto"/>
          <w:sz w:val="28"/>
          <w:szCs w:val="28"/>
          <w:highlight w:val="none"/>
        </w:rPr>
      </w:pPr>
    </w:p>
    <w:p w14:paraId="3DD595C5">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hint="eastAsia" w:ascii="黑体" w:eastAsia="黑体" w:cs="黑体"/>
          <w:b/>
          <w:bCs/>
          <w:color w:val="auto"/>
          <w:sz w:val="28"/>
          <w:szCs w:val="28"/>
          <w:highlight w:val="none"/>
        </w:rPr>
      </w:pPr>
    </w:p>
    <w:p w14:paraId="7C6B4F1B">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hint="eastAsia" w:ascii="黑体" w:eastAsia="黑体" w:cs="黑体"/>
          <w:b/>
          <w:bCs/>
          <w:color w:val="auto"/>
          <w:sz w:val="28"/>
          <w:szCs w:val="28"/>
          <w:highlight w:val="none"/>
        </w:rPr>
      </w:pPr>
    </w:p>
    <w:p w14:paraId="13ABFEEE">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hint="eastAsia" w:ascii="黑体" w:eastAsia="黑体" w:cs="黑体"/>
          <w:b/>
          <w:bCs/>
          <w:color w:val="auto"/>
          <w:sz w:val="28"/>
          <w:szCs w:val="28"/>
          <w:highlight w:val="none"/>
        </w:rPr>
      </w:pPr>
    </w:p>
    <w:p w14:paraId="17AD1F1A">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hint="eastAsia" w:ascii="黑体" w:eastAsia="黑体" w:cs="黑体"/>
          <w:b/>
          <w:bCs/>
          <w:color w:val="auto"/>
          <w:sz w:val="28"/>
          <w:szCs w:val="28"/>
          <w:highlight w:val="none"/>
        </w:rPr>
      </w:pPr>
    </w:p>
    <w:p w14:paraId="586A55A8">
      <w:pPr>
        <w:spacing w:line="360" w:lineRule="auto"/>
        <w:rPr>
          <w:rFonts w:hint="eastAsia" w:ascii="宋体" w:hAnsi="宋体" w:cs="宋体"/>
          <w:color w:val="auto"/>
          <w:sz w:val="24"/>
          <w:szCs w:val="24"/>
          <w:highlight w:val="none"/>
        </w:rPr>
      </w:pPr>
    </w:p>
    <w:p w14:paraId="4E53D698">
      <w:pPr>
        <w:spacing w:line="360" w:lineRule="auto"/>
        <w:rPr>
          <w:rFonts w:hint="eastAsia" w:ascii="宋体" w:hAnsi="宋体" w:cs="宋体"/>
          <w:color w:val="auto"/>
          <w:sz w:val="24"/>
          <w:szCs w:val="24"/>
          <w:highlight w:val="none"/>
        </w:rPr>
      </w:pPr>
    </w:p>
    <w:p w14:paraId="5C2DFF13">
      <w:pPr>
        <w:spacing w:line="360" w:lineRule="auto"/>
        <w:rPr>
          <w:rFonts w:hint="eastAsia" w:ascii="宋体" w:hAnsi="宋体" w:cs="宋体"/>
          <w:color w:val="auto"/>
          <w:sz w:val="24"/>
          <w:szCs w:val="24"/>
          <w:highlight w:val="none"/>
        </w:rPr>
      </w:pPr>
    </w:p>
    <w:p w14:paraId="06ED1E21">
      <w:pPr>
        <w:spacing w:line="360" w:lineRule="auto"/>
        <w:rPr>
          <w:rFonts w:hint="eastAsia" w:ascii="宋体" w:hAnsi="宋体" w:cs="宋体"/>
          <w:color w:val="auto"/>
          <w:sz w:val="24"/>
          <w:szCs w:val="24"/>
          <w:highlight w:val="none"/>
        </w:rPr>
      </w:pPr>
    </w:p>
    <w:p w14:paraId="0FA2A1B6">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采购方（以下称甲方）：湖北机场集团</w:t>
      </w:r>
      <w:r>
        <w:rPr>
          <w:rFonts w:hint="eastAsia" w:ascii="宋体" w:hAnsi="宋体" w:cs="宋体"/>
          <w:color w:val="auto"/>
          <w:sz w:val="24"/>
          <w:szCs w:val="24"/>
          <w:highlight w:val="none"/>
          <w:lang w:val="en-US" w:eastAsia="zh-CN"/>
        </w:rPr>
        <w:t>恩施机场有限责任公司</w:t>
      </w:r>
    </w:p>
    <w:p w14:paraId="42C1FCA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供货方（以下称乙方）：</w:t>
      </w:r>
    </w:p>
    <w:p w14:paraId="03360D17">
      <w:pPr>
        <w:pStyle w:val="11"/>
        <w:spacing w:line="360" w:lineRule="auto"/>
        <w:ind w:left="0" w:leftChars="0"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乙方为湖北机场集团</w:t>
      </w:r>
      <w:r>
        <w:rPr>
          <w:rFonts w:hint="eastAsia" w:ascii="宋体" w:hAnsi="宋体" w:cs="宋体"/>
          <w:color w:val="auto"/>
          <w:sz w:val="24"/>
          <w:szCs w:val="24"/>
          <w:highlight w:val="none"/>
          <w:lang w:val="en-US" w:eastAsia="zh-CN"/>
        </w:rPr>
        <w:t>恩施机场有限责任公司</w:t>
      </w:r>
      <w:r>
        <w:rPr>
          <w:rFonts w:hint="eastAsia" w:ascii="宋体" w:hAnsi="宋体" w:cs="宋体"/>
          <w:color w:val="auto"/>
          <w:sz w:val="24"/>
          <w:szCs w:val="24"/>
          <w:highlight w:val="none"/>
        </w:rPr>
        <w:t>202</w:t>
      </w:r>
      <w:r>
        <w:rPr>
          <w:rFonts w:hint="eastAsia"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网络安全</w:t>
      </w:r>
      <w:r>
        <w:rPr>
          <w:rFonts w:hint="eastAsia" w:ascii="宋体" w:hAnsi="宋体" w:cs="宋体"/>
          <w:color w:val="auto"/>
          <w:sz w:val="24"/>
          <w:szCs w:val="24"/>
          <w:highlight w:val="none"/>
        </w:rPr>
        <w:t>等级保护测评项目（项目编号：------）服务单位。根据《中华人民共和国政府采购法》、《中华人民共和国民法典》及相关法律法规，双方在平等、互利、友好协商的基础上，本着守法、公平、诚信的原则，</w:t>
      </w:r>
      <w:r>
        <w:rPr>
          <w:rFonts w:hint="eastAsia" w:ascii="宋体" w:hAnsi="宋体" w:cs="宋体"/>
          <w:color w:val="auto"/>
          <w:sz w:val="24"/>
          <w:szCs w:val="24"/>
          <w:highlight w:val="none"/>
        </w:rPr>
        <w:t>就</w:t>
      </w:r>
      <w:r>
        <w:rPr>
          <w:rFonts w:hint="eastAsia" w:hAnsi="宋体" w:cs="宋体"/>
          <w:color w:val="auto"/>
          <w:sz w:val="24"/>
          <w:szCs w:val="24"/>
          <w:highlight w:val="none"/>
          <w:lang w:val="en-US" w:eastAsia="zh-CN"/>
        </w:rPr>
        <w:t>恩施机场</w:t>
      </w:r>
      <w:r>
        <w:rPr>
          <w:rFonts w:hint="eastAsia" w:ascii="宋体" w:hAnsi="宋体" w:cs="宋体"/>
          <w:color w:val="auto"/>
          <w:sz w:val="24"/>
          <w:szCs w:val="24"/>
          <w:highlight w:val="none"/>
        </w:rPr>
        <w:t>信</w:t>
      </w:r>
      <w:r>
        <w:rPr>
          <w:rFonts w:hint="eastAsia" w:ascii="宋体" w:hAnsi="宋体" w:cs="宋体"/>
          <w:color w:val="auto"/>
          <w:sz w:val="24"/>
          <w:szCs w:val="24"/>
          <w:highlight w:val="none"/>
        </w:rPr>
        <w:t xml:space="preserve">息系统等级保护测评服务相关事宜，经双方协商一致，签订本合同，供双方共同遵守。 </w:t>
      </w:r>
      <w:r>
        <w:rPr>
          <w:rFonts w:hint="eastAsia" w:ascii="宋体" w:hAnsi="宋体" w:cs="宋体"/>
          <w:color w:val="auto"/>
          <w:sz w:val="24"/>
          <w:szCs w:val="24"/>
          <w:highlight w:val="none"/>
        </w:rPr>
        <w:tab/>
      </w:r>
    </w:p>
    <w:p w14:paraId="6C59573C">
      <w:pPr>
        <w:spacing w:before="156"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一、工作内容</w:t>
      </w:r>
    </w:p>
    <w:p w14:paraId="719E56A7">
      <w:pPr>
        <w:tabs>
          <w:tab w:val="left" w:pos="42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对三级系统（安检信息系统）等级保护测评工作以及配合采购人完成相关政府部门的网络安全等级保护相关（测评、登记、备案等）工作要求。</w:t>
      </w:r>
      <w:r>
        <w:rPr>
          <w:rFonts w:hint="eastAsia" w:ascii="宋体" w:hAnsi="宋体" w:cs="宋体"/>
          <w:color w:val="auto"/>
          <w:sz w:val="24"/>
          <w:szCs w:val="24"/>
          <w:highlight w:val="none"/>
        </w:rPr>
        <w:tab/>
      </w:r>
    </w:p>
    <w:p w14:paraId="5231D730">
      <w:pPr>
        <w:spacing w:before="156" w:beforeLines="50" w:line="360" w:lineRule="auto"/>
        <w:ind w:firstLine="482" w:firstLineChars="200"/>
        <w:rPr>
          <w:rFonts w:hint="eastAsia" w:ascii="宋体" w:hAnsi="宋体" w:cs="宋体"/>
          <w:b/>
          <w:bCs/>
          <w:color w:val="auto"/>
          <w:sz w:val="24"/>
          <w:szCs w:val="28"/>
          <w:highlight w:val="none"/>
        </w:rPr>
      </w:pPr>
      <w:r>
        <w:rPr>
          <w:rFonts w:hint="eastAsia" w:hAnsi="宋体" w:cs="宋体"/>
          <w:b/>
          <w:bCs/>
          <w:color w:val="auto"/>
          <w:sz w:val="24"/>
          <w:szCs w:val="28"/>
          <w:highlight w:val="none"/>
          <w:lang w:val="en-US" w:eastAsia="zh-CN"/>
        </w:rPr>
        <w:t>1.</w:t>
      </w:r>
      <w:r>
        <w:rPr>
          <w:rFonts w:hint="eastAsia" w:ascii="宋体" w:hAnsi="宋体" w:cs="宋体"/>
          <w:b/>
          <w:bCs/>
          <w:color w:val="auto"/>
          <w:sz w:val="24"/>
          <w:szCs w:val="28"/>
          <w:highlight w:val="none"/>
        </w:rPr>
        <w:t>安全测评服务内容</w:t>
      </w:r>
    </w:p>
    <w:p w14:paraId="6C6ACA68">
      <w:pPr>
        <w:tabs>
          <w:tab w:val="left" w:pos="420"/>
        </w:tabs>
        <w:spacing w:line="360" w:lineRule="auto"/>
        <w:ind w:left="357"/>
        <w:rPr>
          <w:rFonts w:hint="eastAsia" w:ascii="宋体" w:hAnsi="宋体" w:cs="宋体"/>
          <w:color w:val="auto"/>
          <w:sz w:val="24"/>
          <w:szCs w:val="28"/>
          <w:highlight w:val="none"/>
        </w:rPr>
      </w:pPr>
      <w:bookmarkStart w:id="48" w:name="_Toc389201765"/>
      <w:r>
        <w:rPr>
          <w:rFonts w:hint="eastAsia" w:ascii="宋体" w:hAnsi="宋体" w:cs="宋体"/>
          <w:color w:val="auto"/>
          <w:sz w:val="24"/>
          <w:szCs w:val="28"/>
          <w:highlight w:val="none"/>
        </w:rPr>
        <w:t>测评系统范围：</w:t>
      </w:r>
    </w:p>
    <w:tbl>
      <w:tblPr>
        <w:tblStyle w:val="2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4553"/>
        <w:gridCol w:w="2534"/>
      </w:tblGrid>
      <w:tr w14:paraId="75BA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9" w:type="dxa"/>
            <w:noWrap w:val="0"/>
            <w:vAlign w:val="center"/>
          </w:tcPr>
          <w:p w14:paraId="2E3CF7E8">
            <w:pPr>
              <w:spacing w:line="360" w:lineRule="auto"/>
              <w:ind w:firstLine="221" w:firstLineChars="100"/>
              <w:jc w:val="center"/>
              <w:rPr>
                <w:rFonts w:hint="eastAsia" w:ascii="宋体" w:hAnsi="宋体" w:cs="宋体"/>
                <w:b/>
                <w:color w:val="auto"/>
                <w:sz w:val="22"/>
                <w:highlight w:val="none"/>
              </w:rPr>
            </w:pPr>
            <w:r>
              <w:rPr>
                <w:rFonts w:hint="eastAsia" w:ascii="宋体" w:hAnsi="宋体" w:cs="宋体"/>
                <w:b/>
                <w:color w:val="auto"/>
                <w:sz w:val="22"/>
                <w:highlight w:val="none"/>
              </w:rPr>
              <w:t>序号</w:t>
            </w:r>
          </w:p>
        </w:tc>
        <w:tc>
          <w:tcPr>
            <w:tcW w:w="4553" w:type="dxa"/>
            <w:noWrap w:val="0"/>
            <w:vAlign w:val="center"/>
          </w:tcPr>
          <w:p w14:paraId="4C0C3005">
            <w:pPr>
              <w:widowControl/>
              <w:jc w:val="center"/>
              <w:rPr>
                <w:rFonts w:hint="eastAsia" w:ascii="宋体" w:hAnsi="宋体" w:cs="宋体"/>
                <w:b/>
                <w:color w:val="auto"/>
                <w:sz w:val="22"/>
                <w:highlight w:val="none"/>
              </w:rPr>
            </w:pPr>
            <w:r>
              <w:rPr>
                <w:rFonts w:hint="eastAsia" w:ascii="宋体" w:hAnsi="宋体" w:cs="宋体"/>
                <w:b/>
                <w:color w:val="auto"/>
                <w:sz w:val="22"/>
                <w:highlight w:val="none"/>
              </w:rPr>
              <w:t>设备/系统</w:t>
            </w:r>
          </w:p>
        </w:tc>
        <w:tc>
          <w:tcPr>
            <w:tcW w:w="2534" w:type="dxa"/>
            <w:noWrap w:val="0"/>
            <w:vAlign w:val="center"/>
          </w:tcPr>
          <w:p w14:paraId="618A5FA0">
            <w:pPr>
              <w:widowControl/>
              <w:jc w:val="center"/>
              <w:rPr>
                <w:rFonts w:hint="eastAsia" w:ascii="宋体" w:hAnsi="宋体" w:cs="宋体"/>
                <w:b/>
                <w:color w:val="auto"/>
                <w:sz w:val="22"/>
                <w:highlight w:val="none"/>
              </w:rPr>
            </w:pPr>
            <w:r>
              <w:rPr>
                <w:rFonts w:hint="eastAsia" w:ascii="宋体" w:hAnsi="宋体" w:cs="宋体"/>
                <w:b/>
                <w:color w:val="auto"/>
                <w:sz w:val="22"/>
                <w:highlight w:val="none"/>
              </w:rPr>
              <w:t>保护等级</w:t>
            </w:r>
          </w:p>
        </w:tc>
      </w:tr>
      <w:tr w14:paraId="5095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9" w:type="dxa"/>
            <w:noWrap w:val="0"/>
            <w:vAlign w:val="center"/>
          </w:tcPr>
          <w:p w14:paraId="39F45031">
            <w:pPr>
              <w:widowControl/>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553" w:type="dxa"/>
            <w:noWrap w:val="0"/>
            <w:vAlign w:val="center"/>
          </w:tcPr>
          <w:p w14:paraId="4E7B5837">
            <w:pPr>
              <w:widowControl/>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安检信息系统</w:t>
            </w:r>
          </w:p>
        </w:tc>
        <w:tc>
          <w:tcPr>
            <w:tcW w:w="2534" w:type="dxa"/>
            <w:noWrap w:val="0"/>
            <w:vAlign w:val="center"/>
          </w:tcPr>
          <w:p w14:paraId="47E4E671">
            <w:pPr>
              <w:widowControl/>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三级</w:t>
            </w:r>
          </w:p>
        </w:tc>
      </w:tr>
    </w:tbl>
    <w:p w14:paraId="2EBB756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具体等级测评要求和输出成果以磋商文件中的要求和乙方响应文件中的要求以孰严为准。</w:t>
      </w:r>
    </w:p>
    <w:p w14:paraId="02214D4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如乙方测评后认为甲方信息系统等级保护测评尚未达到公安部门及相关部门的等级保护检查要求，则乙方应提供安全整改建设方案设计，并指导甲方整改直到达到要求。</w:t>
      </w:r>
    </w:p>
    <w:p w14:paraId="07E362E1">
      <w:pPr>
        <w:spacing w:line="360" w:lineRule="auto"/>
        <w:ind w:firstLine="482" w:firstLineChars="200"/>
        <w:rPr>
          <w:rFonts w:ascii="宋体" w:hAnsi="宋体" w:cs="宋体"/>
          <w:b/>
          <w:color w:val="auto"/>
          <w:sz w:val="24"/>
          <w:highlight w:val="none"/>
        </w:rPr>
      </w:pPr>
      <w:r>
        <w:rPr>
          <w:rFonts w:hint="eastAsia" w:hAnsi="宋体" w:cs="宋体"/>
          <w:b/>
          <w:color w:val="auto"/>
          <w:sz w:val="24"/>
          <w:highlight w:val="none"/>
          <w:lang w:val="en-US" w:eastAsia="zh-CN"/>
        </w:rPr>
        <w:t>2</w:t>
      </w:r>
      <w:r>
        <w:rPr>
          <w:rFonts w:hint="eastAsia" w:ascii="宋体" w:hAnsi="宋体" w:cs="宋体"/>
          <w:b/>
          <w:color w:val="auto"/>
          <w:sz w:val="24"/>
          <w:highlight w:val="none"/>
        </w:rPr>
        <w:t>．安全整改与安全加固</w:t>
      </w:r>
    </w:p>
    <w:p w14:paraId="78208951">
      <w:pPr>
        <w:pStyle w:val="1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等级测评完成后，应根据等级测评中发现存在的问题开展安全整改工作，建设信息安全保护设施，建立安全制度，落实安全责任，对信息系统进行保护。</w:t>
      </w:r>
    </w:p>
    <w:p w14:paraId="25DAAB99">
      <w:pPr>
        <w:pStyle w:val="1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安全加固工作需要有等级测评师或网络与信息安全管理员能力的人员进行加固指导，必要时直接进行加固支持。</w:t>
      </w:r>
    </w:p>
    <w:bookmarkEnd w:id="48"/>
    <w:p w14:paraId="6098E6C4">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二、甲方责任</w:t>
      </w:r>
    </w:p>
    <w:p w14:paraId="08609D37">
      <w:pPr>
        <w:numPr>
          <w:ilvl w:val="6"/>
          <w:numId w:val="9"/>
        </w:numPr>
        <w:spacing w:line="360" w:lineRule="auto"/>
        <w:ind w:left="0"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甲方应积极配合乙方进行安全等级测评工作，保证提供的相关资料真实可靠。</w:t>
      </w:r>
    </w:p>
    <w:p w14:paraId="7F93C53A">
      <w:pPr>
        <w:numPr>
          <w:ilvl w:val="6"/>
          <w:numId w:val="9"/>
        </w:numPr>
        <w:spacing w:line="360" w:lineRule="auto"/>
        <w:ind w:left="0"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因甲方原因或不可抗力使乙方工作延期，经双方友好协商，可顺延工作期限，甲方不承担顺延工期所产生的费用。</w:t>
      </w:r>
    </w:p>
    <w:p w14:paraId="09991525">
      <w:pPr>
        <w:numPr>
          <w:ilvl w:val="6"/>
          <w:numId w:val="9"/>
        </w:numPr>
        <w:spacing w:line="360" w:lineRule="auto"/>
        <w:ind w:left="0"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因甲方需要变更测评内容而导致乙方工作量或工作时间增加的，乙方应对可能增加的工作量或工作人员等具体情况进行核定并向甲方作出书面说明，甲方对此进行书面确认，但不增加任何费用。甲方发现乙方人员工作不合格，可通知乙方</w:t>
      </w:r>
      <w:r>
        <w:rPr>
          <w:rFonts w:hint="eastAsia" w:ascii="宋体" w:hAnsi="宋体" w:cs="宋体"/>
          <w:color w:val="auto"/>
          <w:sz w:val="24"/>
          <w:szCs w:val="28"/>
          <w:highlight w:val="none"/>
        </w:rPr>
        <w:t>在</w:t>
      </w:r>
      <w:r>
        <w:rPr>
          <w:rFonts w:hint="eastAsia" w:ascii="宋体" w:hAnsi="宋体" w:cs="宋体"/>
          <w:color w:val="auto"/>
          <w:sz w:val="24"/>
          <w:szCs w:val="28"/>
          <w:highlight w:val="none"/>
          <w:u w:val="single"/>
        </w:rPr>
        <w:t xml:space="preserve">  </w:t>
      </w:r>
      <w:r>
        <w:rPr>
          <w:rFonts w:hint="eastAsia" w:hAnsi="宋体" w:cs="宋体"/>
          <w:color w:val="auto"/>
          <w:sz w:val="24"/>
          <w:szCs w:val="28"/>
          <w:highlight w:val="none"/>
          <w:u w:val="single"/>
          <w:lang w:val="en-US" w:eastAsia="zh-CN"/>
        </w:rPr>
        <w:t>3</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日内更换</w:t>
      </w:r>
      <w:r>
        <w:rPr>
          <w:rFonts w:hint="eastAsia" w:ascii="宋体" w:hAnsi="宋体" w:cs="宋体"/>
          <w:color w:val="auto"/>
          <w:sz w:val="24"/>
          <w:szCs w:val="28"/>
          <w:highlight w:val="none"/>
        </w:rPr>
        <w:t>，且更换人员和资质不能低于合同要求。</w:t>
      </w:r>
    </w:p>
    <w:p w14:paraId="0FF3DE6B">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三、乙方责任</w:t>
      </w:r>
    </w:p>
    <w:p w14:paraId="7CC835D9">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  乙方在合同规定的时间内完成工作，提交工作成果。</w:t>
      </w:r>
    </w:p>
    <w:p w14:paraId="4F57A398">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  因乙方故意或过失导致甲方信息系统被破坏、数据丢失，乙方应及时采取补救措施进行系统和数据的恢复，并根据影响程度承担相应的赔偿责任。</w:t>
      </w:r>
    </w:p>
    <w:p w14:paraId="2AF50DC1">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  乙方在安全等级测评开展之前，以书面形式通知甲方作好相应的系统数据备份等</w:t>
      </w:r>
      <w:r>
        <w:rPr>
          <w:rFonts w:hint="eastAsia" w:ascii="宋体" w:hAnsi="宋体" w:cs="宋体"/>
          <w:color w:val="auto"/>
          <w:sz w:val="24"/>
          <w:szCs w:val="28"/>
          <w:highlight w:val="none"/>
        </w:rPr>
        <w:t>准备工作，并明示测试方法、采用的测试工具以及可能出现的风险。</w:t>
      </w:r>
    </w:p>
    <w:p w14:paraId="42EAAAB8">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4</w:t>
      </w:r>
      <w:r>
        <w:rPr>
          <w:rFonts w:hint="eastAsia" w:hAnsi="宋体" w:cs="宋体"/>
          <w:color w:val="auto"/>
          <w:sz w:val="24"/>
          <w:szCs w:val="28"/>
          <w:highlight w:val="none"/>
          <w:lang w:val="en-US" w:eastAsia="zh-CN"/>
        </w:rPr>
        <w:t>.</w:t>
      </w:r>
      <w:r>
        <w:rPr>
          <w:rFonts w:hint="eastAsia" w:ascii="宋体" w:hAnsi="宋体" w:cs="宋体"/>
          <w:color w:val="auto"/>
          <w:sz w:val="24"/>
          <w:szCs w:val="28"/>
          <w:highlight w:val="none"/>
        </w:rPr>
        <w:t>乙方测评后认为甲方信息系统等级保护测评尚未达到公安部门及相关部门的等级保护检查要求，则乙方应提供安全整改建设方案设计，并指导甲方整改直到达到要求。</w:t>
      </w:r>
    </w:p>
    <w:p w14:paraId="79D1BBD5">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5</w:t>
      </w:r>
      <w:r>
        <w:rPr>
          <w:rFonts w:hint="eastAsia" w:hAnsi="宋体" w:cs="宋体"/>
          <w:color w:val="auto"/>
          <w:sz w:val="24"/>
          <w:szCs w:val="28"/>
          <w:highlight w:val="none"/>
          <w:lang w:val="en-US" w:eastAsia="zh-CN"/>
        </w:rPr>
        <w:t>.</w:t>
      </w:r>
      <w:r>
        <w:rPr>
          <w:rFonts w:hint="eastAsia" w:ascii="宋体" w:hAnsi="宋体" w:cs="宋体"/>
          <w:color w:val="auto"/>
          <w:sz w:val="24"/>
          <w:szCs w:val="28"/>
          <w:highlight w:val="none"/>
        </w:rPr>
        <w:t>乙方应遵守与甲方签订之保密协议。乙方应充分保护从甲方直接或间接获取的甲方的商业秘密、技术信息、资料，如无甲方书面同意，乙方不得向任何第三方披露或转让甲方的上述信息。乙方应将甲方提供的资料和/或信息限制在与本次工作有关的人员、保密协议签署的范围内，并妥善保管。若因乙方原因导致甲方资料和/或信息泄漏，乙方依法向甲方承担责任。该条款不因合同的解除、终止而失效。</w:t>
      </w:r>
    </w:p>
    <w:p w14:paraId="4B984389">
      <w:pPr>
        <w:spacing w:line="360" w:lineRule="auto"/>
        <w:ind w:firstLine="480" w:firstLineChars="200"/>
        <w:rPr>
          <w:rFonts w:hint="eastAsia" w:ascii="宋体" w:hAnsi="宋体" w:eastAsia="宋体" w:cs="宋体"/>
          <w:b w:val="0"/>
          <w:bCs w:val="0"/>
          <w:color w:val="auto"/>
          <w:kern w:val="0"/>
          <w:sz w:val="24"/>
          <w:szCs w:val="28"/>
          <w:highlight w:val="none"/>
          <w:lang w:val="en-US" w:eastAsia="zh-CN" w:bidi="ar-SA"/>
        </w:rPr>
      </w:pPr>
      <w:r>
        <w:rPr>
          <w:rFonts w:hint="eastAsia" w:ascii="宋体" w:hAnsi="宋体" w:eastAsia="宋体" w:cs="宋体"/>
          <w:b w:val="0"/>
          <w:bCs w:val="0"/>
          <w:color w:val="auto"/>
          <w:kern w:val="0"/>
          <w:sz w:val="24"/>
          <w:szCs w:val="28"/>
          <w:highlight w:val="none"/>
          <w:lang w:val="en-US" w:eastAsia="zh-CN" w:bidi="ar-SA"/>
        </w:rPr>
        <w:t>6</w:t>
      </w:r>
      <w:r>
        <w:rPr>
          <w:rFonts w:hint="eastAsia" w:hAnsi="宋体" w:cs="宋体"/>
          <w:b w:val="0"/>
          <w:bCs w:val="0"/>
          <w:color w:val="auto"/>
          <w:kern w:val="0"/>
          <w:sz w:val="24"/>
          <w:szCs w:val="28"/>
          <w:highlight w:val="none"/>
          <w:lang w:val="en-US" w:eastAsia="zh-CN" w:bidi="ar-SA"/>
        </w:rPr>
        <w:t>.</w:t>
      </w:r>
      <w:r>
        <w:rPr>
          <w:rFonts w:hint="eastAsia" w:ascii="宋体" w:hAnsi="宋体" w:eastAsia="宋体" w:cs="宋体"/>
          <w:b w:val="0"/>
          <w:bCs w:val="0"/>
          <w:color w:val="auto"/>
          <w:kern w:val="0"/>
          <w:sz w:val="24"/>
          <w:szCs w:val="28"/>
          <w:highlight w:val="none"/>
          <w:lang w:val="en-US" w:eastAsia="zh-CN" w:bidi="ar-SA"/>
        </w:rPr>
        <w:t>乙方如发现上述资料和/或信息被泄露或者自己过失泄露，应当采取有效措施防止事件进一步扩大，并及时向甲方通报，该条款不因合同的解除、终止而失效。</w:t>
      </w:r>
    </w:p>
    <w:p w14:paraId="276B108F">
      <w:pPr>
        <w:spacing w:line="360" w:lineRule="auto"/>
        <w:ind w:firstLine="480" w:firstLineChars="200"/>
        <w:rPr>
          <w:rFonts w:hint="eastAsia" w:ascii="宋体" w:hAnsi="宋体" w:eastAsia="宋体" w:cs="宋体"/>
          <w:b w:val="0"/>
          <w:bCs w:val="0"/>
          <w:color w:val="auto"/>
          <w:kern w:val="0"/>
          <w:sz w:val="24"/>
          <w:szCs w:val="28"/>
          <w:highlight w:val="none"/>
          <w:lang w:val="en-US" w:eastAsia="zh-CN" w:bidi="ar-SA"/>
        </w:rPr>
      </w:pPr>
      <w:r>
        <w:rPr>
          <w:rFonts w:hint="eastAsia" w:ascii="宋体" w:hAnsi="宋体" w:eastAsia="宋体" w:cs="宋体"/>
          <w:b w:val="0"/>
          <w:bCs w:val="0"/>
          <w:color w:val="auto"/>
          <w:kern w:val="0"/>
          <w:sz w:val="24"/>
          <w:szCs w:val="28"/>
          <w:highlight w:val="none"/>
          <w:lang w:val="en-US" w:eastAsia="zh-CN" w:bidi="ar-SA"/>
        </w:rPr>
        <w:t>7.乙方需要在服务期内提供1次网络安全培训。(针对甲方提出的网络安全培训需求，乙方应及时进行响应，在服务期内提供1次网络安全培训工作。培训内容以甲方具体需求为准，包括但不限于网络安全意识培训和网络安全技能培训，培训完后须提供培训小结和考核结果)</w:t>
      </w:r>
    </w:p>
    <w:p w14:paraId="0301D9CC">
      <w:pPr>
        <w:spacing w:line="360" w:lineRule="auto"/>
        <w:ind w:firstLine="480" w:firstLineChars="200"/>
        <w:rPr>
          <w:rFonts w:hint="eastAsia" w:ascii="宋体" w:hAnsi="宋体" w:eastAsia="宋体" w:cs="宋体"/>
          <w:b w:val="0"/>
          <w:bCs w:val="0"/>
          <w:color w:val="auto"/>
          <w:kern w:val="0"/>
          <w:sz w:val="24"/>
          <w:szCs w:val="28"/>
          <w:highlight w:val="none"/>
          <w:lang w:val="en-US" w:eastAsia="zh-CN" w:bidi="ar-SA"/>
        </w:rPr>
      </w:pPr>
      <w:r>
        <w:rPr>
          <w:rFonts w:hint="eastAsia" w:ascii="宋体" w:hAnsi="宋体" w:eastAsia="宋体" w:cs="宋体"/>
          <w:b w:val="0"/>
          <w:bCs w:val="0"/>
          <w:color w:val="auto"/>
          <w:kern w:val="0"/>
          <w:sz w:val="24"/>
          <w:szCs w:val="28"/>
          <w:highlight w:val="none"/>
          <w:lang w:val="en-US" w:eastAsia="zh-CN" w:bidi="ar-SA"/>
        </w:rPr>
        <w:t>8.乙方测评过程中，对整个等保系统进行全面梳理，理清网络结构，出具网络拓扑图，标注设备功能特性及故障后的影响，测评完后对甲方进行系统培训。</w:t>
      </w:r>
    </w:p>
    <w:p w14:paraId="6DD895E8">
      <w:pPr>
        <w:spacing w:line="360" w:lineRule="auto"/>
        <w:ind w:firstLine="480" w:firstLineChars="200"/>
        <w:rPr>
          <w:rFonts w:hint="eastAsia"/>
          <w:highlight w:val="none"/>
        </w:rPr>
      </w:pPr>
      <w:r>
        <w:rPr>
          <w:rFonts w:hint="eastAsia" w:ascii="宋体" w:hAnsi="宋体" w:eastAsia="宋体" w:cs="宋体"/>
          <w:b w:val="0"/>
          <w:bCs w:val="0"/>
          <w:color w:val="auto"/>
          <w:kern w:val="0"/>
          <w:sz w:val="24"/>
          <w:szCs w:val="28"/>
          <w:highlight w:val="none"/>
          <w:lang w:val="en-US" w:eastAsia="zh-CN" w:bidi="ar-SA"/>
        </w:rPr>
        <w:t>9.乙方应该按照本合同约定提供安全巡检服务。</w:t>
      </w:r>
    </w:p>
    <w:p w14:paraId="77065E1C">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四、工作成果提交</w:t>
      </w:r>
    </w:p>
    <w:p w14:paraId="2079DC6B">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highlight w:val="none"/>
        </w:rPr>
        <w:t>1．在安全等级测评工作完毕后，乙方出具书面正式的安全等级测评报告（电子版2份，纸质版3份）</w:t>
      </w:r>
      <w:r>
        <w:rPr>
          <w:rFonts w:hint="eastAsia" w:ascii="宋体" w:hAnsi="宋体" w:cs="宋体"/>
          <w:color w:val="auto"/>
          <w:sz w:val="24"/>
          <w:szCs w:val="28"/>
          <w:highlight w:val="none"/>
        </w:rPr>
        <w:t>，并协助甲方获取</w:t>
      </w:r>
      <w:r>
        <w:rPr>
          <w:rFonts w:hint="eastAsia" w:ascii="宋体" w:hAnsi="宋体" w:eastAsia="宋体" w:cs="宋体"/>
          <w:kern w:val="0"/>
          <w:sz w:val="24"/>
          <w:szCs w:val="24"/>
          <w:highlight w:val="none"/>
          <w:lang w:val="en-US" w:eastAsia="zh-CN"/>
        </w:rPr>
        <w:t>《信息系统安全等级保护备案证明》</w:t>
      </w:r>
      <w:r>
        <w:rPr>
          <w:rFonts w:hint="eastAsia" w:ascii="宋体" w:hAnsi="宋体" w:cs="宋体"/>
          <w:color w:val="auto"/>
          <w:sz w:val="24"/>
          <w:szCs w:val="28"/>
          <w:highlight w:val="none"/>
        </w:rPr>
        <w:t>（已备案信息系统，如无变更需求，则不再进行备案）。</w:t>
      </w:r>
    </w:p>
    <w:p w14:paraId="79571C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乙方的安全等级测评报告仅对甲方被测系统测评时的状况负责，不涉及该系统结构或功能等要素发生变化后的情况。</w:t>
      </w:r>
    </w:p>
    <w:p w14:paraId="2DB5AA5E">
      <w:pPr>
        <w:pStyle w:val="6"/>
        <w:spacing w:line="360" w:lineRule="auto"/>
        <w:ind w:left="0" w:lef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2.其他（如有）：</w:t>
      </w:r>
      <w:r>
        <w:rPr>
          <w:rFonts w:hint="eastAsia" w:ascii="宋体" w:hAnsi="宋体" w:cs="宋体"/>
          <w:color w:val="auto"/>
          <w:sz w:val="24"/>
          <w:highlight w:val="none"/>
          <w:u w:val="single"/>
        </w:rPr>
        <w:t>（以磋商文件中的要求和乙方响应文件中的要求以孰严为准）。</w:t>
      </w:r>
    </w:p>
    <w:p w14:paraId="28455BA3">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五、服务时间</w:t>
      </w:r>
    </w:p>
    <w:p w14:paraId="707FE1AC">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highlight w:val="none"/>
        </w:rPr>
        <w:t>在合同签</w:t>
      </w:r>
      <w:r>
        <w:rPr>
          <w:rFonts w:hint="eastAsia" w:ascii="宋体" w:hAnsi="宋体" w:cs="宋体"/>
          <w:color w:val="auto"/>
          <w:sz w:val="24"/>
          <w:highlight w:val="none"/>
        </w:rPr>
        <w:t>订后</w:t>
      </w:r>
      <w:r>
        <w:rPr>
          <w:rFonts w:hint="eastAsia" w:ascii="宋体" w:hAnsi="宋体" w:cs="宋体"/>
          <w:color w:val="auto"/>
          <w:sz w:val="24"/>
          <w:highlight w:val="none"/>
          <w:u w:val="single"/>
        </w:rPr>
        <w:t xml:space="preserve">  </w:t>
      </w:r>
      <w:r>
        <w:rPr>
          <w:rFonts w:hint="eastAsia" w:hAnsi="宋体" w:cs="宋体"/>
          <w:color w:val="auto"/>
          <w:sz w:val="24"/>
          <w:highlight w:val="none"/>
          <w:u w:val="single"/>
          <w:lang w:val="en-US" w:eastAsia="zh-CN"/>
        </w:rPr>
        <w:t>35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个日历天内</w:t>
      </w:r>
      <w:r>
        <w:rPr>
          <w:rFonts w:hint="eastAsia" w:ascii="宋体" w:hAnsi="宋体" w:cs="宋体"/>
          <w:color w:val="auto"/>
          <w:sz w:val="24"/>
          <w:highlight w:val="none"/>
          <w:lang w:val="en-US" w:eastAsia="zh-CN"/>
        </w:rPr>
        <w:t>完成等级保护测评工作，45个日历天内取得当地公安机关备案回执</w:t>
      </w:r>
      <w:r>
        <w:rPr>
          <w:rFonts w:hint="eastAsia" w:hAnsi="宋体" w:cs="宋体"/>
          <w:color w:val="auto"/>
          <w:sz w:val="24"/>
          <w:highlight w:val="none"/>
          <w:lang w:val="en-US" w:eastAsia="zh-CN"/>
        </w:rPr>
        <w:t>。</w:t>
      </w:r>
      <w:r>
        <w:rPr>
          <w:rFonts w:hint="eastAsia" w:ascii="宋体" w:hAnsi="宋体" w:cs="宋体"/>
          <w:color w:val="auto"/>
          <w:sz w:val="24"/>
          <w:szCs w:val="28"/>
          <w:highlight w:val="none"/>
        </w:rPr>
        <w:t>安</w:t>
      </w:r>
      <w:r>
        <w:rPr>
          <w:rFonts w:hint="eastAsia" w:ascii="宋体" w:hAnsi="宋体" w:cs="宋体"/>
          <w:color w:val="auto"/>
          <w:sz w:val="24"/>
          <w:szCs w:val="28"/>
          <w:highlight w:val="none"/>
        </w:rPr>
        <w:t>全等级测评采用在甲方现场实地进行的方式。乙方在签订合同后</w:t>
      </w:r>
      <w:r>
        <w:rPr>
          <w:rFonts w:hint="eastAsia" w:ascii="宋体" w:hAnsi="宋体" w:cs="宋体"/>
          <w:color w:val="auto"/>
          <w:sz w:val="24"/>
          <w:szCs w:val="28"/>
          <w:highlight w:val="none"/>
          <w:u w:val="single"/>
        </w:rPr>
        <w:t xml:space="preserve">   个工作日</w:t>
      </w:r>
      <w:r>
        <w:rPr>
          <w:rFonts w:hint="eastAsia" w:ascii="宋体" w:hAnsi="宋体" w:cs="宋体"/>
          <w:color w:val="auto"/>
          <w:sz w:val="24"/>
          <w:szCs w:val="28"/>
          <w:highlight w:val="none"/>
        </w:rPr>
        <w:t>内对甲方被测系统进行现场考察，除不可抗力或甲方造成的原因外，甲方被测系统通过现场考察后</w:t>
      </w:r>
      <w:r>
        <w:rPr>
          <w:rFonts w:hint="eastAsia" w:ascii="宋体" w:hAnsi="宋体" w:cs="宋体"/>
          <w:color w:val="auto"/>
          <w:sz w:val="24"/>
          <w:szCs w:val="28"/>
          <w:highlight w:val="none"/>
          <w:u w:val="single"/>
        </w:rPr>
        <w:t xml:space="preserve">   个工作日</w:t>
      </w:r>
      <w:r>
        <w:rPr>
          <w:rFonts w:hint="eastAsia" w:ascii="宋体" w:hAnsi="宋体" w:cs="宋体"/>
          <w:color w:val="auto"/>
          <w:sz w:val="24"/>
          <w:szCs w:val="28"/>
          <w:highlight w:val="none"/>
        </w:rPr>
        <w:t>内乙方完成安全等级现场测评工作，并向甲方提交不符合项整改方案，在甲方完成整改并提交整改报告之日起</w:t>
      </w:r>
      <w:r>
        <w:rPr>
          <w:rFonts w:hint="eastAsia" w:ascii="宋体" w:hAnsi="宋体" w:cs="宋体"/>
          <w:color w:val="auto"/>
          <w:sz w:val="24"/>
          <w:szCs w:val="28"/>
          <w:highlight w:val="none"/>
          <w:u w:val="single"/>
        </w:rPr>
        <w:t xml:space="preserve">  个工作日</w:t>
      </w:r>
      <w:r>
        <w:rPr>
          <w:rFonts w:hint="eastAsia" w:ascii="宋体" w:hAnsi="宋体" w:cs="宋体"/>
          <w:color w:val="auto"/>
          <w:sz w:val="24"/>
          <w:szCs w:val="28"/>
          <w:highlight w:val="none"/>
        </w:rPr>
        <w:t>内完成复测工作，并提交安全等级测评报告。</w:t>
      </w:r>
    </w:p>
    <w:p w14:paraId="6B766F54">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六、费用及支付方式</w:t>
      </w:r>
    </w:p>
    <w:p w14:paraId="43AA1EA2">
      <w:pPr>
        <w:pStyle w:val="83"/>
        <w:autoSpaceDE w:val="0"/>
        <w:autoSpaceDN w:val="0"/>
        <w:adjustRightInd w:val="0"/>
        <w:spacing w:line="360" w:lineRule="auto"/>
        <w:ind w:firstLine="420"/>
        <w:jc w:val="left"/>
        <w:rPr>
          <w:rFonts w:hint="eastAsia" w:ascii="宋体" w:hAnsi="宋体" w:cs="宋体"/>
          <w:color w:val="auto"/>
          <w:sz w:val="24"/>
          <w:szCs w:val="28"/>
          <w:highlight w:val="none"/>
        </w:rPr>
      </w:pPr>
      <w:bookmarkStart w:id="49" w:name="_Hlk145594304"/>
      <w:r>
        <w:rPr>
          <w:rFonts w:hint="eastAsia" w:ascii="宋体" w:hAnsi="宋体" w:cs="宋体"/>
          <w:color w:val="auto"/>
          <w:sz w:val="24"/>
          <w:szCs w:val="28"/>
          <w:highlight w:val="none"/>
        </w:rPr>
        <w:t>本合同金额共计人民币（大写）（</w:t>
      </w:r>
      <w:r>
        <w:rPr>
          <w:rFonts w:hint="eastAsia" w:ascii="宋体" w:hAnsi="宋体" w:cs="宋体"/>
          <w:color w:val="auto"/>
          <w:sz w:val="24"/>
          <w:szCs w:val="28"/>
          <w:highlight w:val="none"/>
          <w:u w:val="single"/>
        </w:rPr>
        <w:t xml:space="preserve"> 小写：￥     .00  </w:t>
      </w:r>
      <w:r>
        <w:rPr>
          <w:rFonts w:hint="eastAsia" w:ascii="宋体" w:hAnsi="宋体" w:cs="宋体"/>
          <w:color w:val="auto"/>
          <w:sz w:val="24"/>
          <w:szCs w:val="28"/>
          <w:highlight w:val="none"/>
        </w:rPr>
        <w:t>）元整，该合同价款为固定总价，是乙方提供合同约定全部服务的对价，合同履行过程中，甲方采取以下方式支付合同金额：</w:t>
      </w:r>
    </w:p>
    <w:p w14:paraId="3ED3E778">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乙方在服务期内完成合同约定的所有工作，提交</w:t>
      </w:r>
      <w:r>
        <w:rPr>
          <w:rFonts w:ascii="宋体" w:hAnsi="宋体"/>
          <w:color w:val="auto"/>
          <w:sz w:val="24"/>
          <w:szCs w:val="24"/>
          <w:highlight w:val="none"/>
        </w:rPr>
        <w:t>下列文件和单据</w:t>
      </w:r>
      <w:r>
        <w:rPr>
          <w:rFonts w:hint="eastAsia" w:ascii="宋体" w:hAnsi="宋体"/>
          <w:color w:val="auto"/>
          <w:sz w:val="24"/>
          <w:szCs w:val="24"/>
          <w:highlight w:val="none"/>
        </w:rPr>
        <w:t>，</w:t>
      </w:r>
      <w:r>
        <w:rPr>
          <w:rFonts w:ascii="宋体" w:hAnsi="宋体"/>
          <w:color w:val="auto"/>
          <w:sz w:val="24"/>
          <w:szCs w:val="24"/>
          <w:highlight w:val="none"/>
        </w:rPr>
        <w:t>并经审核无误</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个工作日内</w:t>
      </w:r>
      <w:r>
        <w:rPr>
          <w:rFonts w:ascii="宋体" w:hAnsi="宋体"/>
          <w:color w:val="auto"/>
          <w:sz w:val="24"/>
          <w:szCs w:val="24"/>
          <w:highlight w:val="none"/>
        </w:rPr>
        <w:t>之内</w:t>
      </w:r>
      <w:r>
        <w:rPr>
          <w:rFonts w:hint="eastAsia" w:ascii="宋体" w:hAnsi="宋体"/>
          <w:color w:val="auto"/>
          <w:sz w:val="24"/>
          <w:szCs w:val="24"/>
          <w:highlight w:val="none"/>
        </w:rPr>
        <w:t>甲方</w:t>
      </w:r>
      <w:r>
        <w:rPr>
          <w:rFonts w:ascii="宋体" w:hAnsi="宋体"/>
          <w:color w:val="auto"/>
          <w:sz w:val="24"/>
          <w:szCs w:val="24"/>
          <w:highlight w:val="none"/>
        </w:rPr>
        <w:t>向乙方支付</w:t>
      </w:r>
      <w:r>
        <w:rPr>
          <w:rFonts w:hint="eastAsia" w:ascii="宋体" w:hAnsi="宋体" w:cs="宋体"/>
          <w:color w:val="auto"/>
          <w:sz w:val="24"/>
          <w:szCs w:val="24"/>
          <w:highlight w:val="none"/>
        </w:rPr>
        <w:t>合同价款的100%</w:t>
      </w:r>
      <w:r>
        <w:rPr>
          <w:rFonts w:hint="eastAsia" w:ascii="宋体" w:hAnsi="宋体"/>
          <w:color w:val="auto"/>
          <w:sz w:val="24"/>
          <w:szCs w:val="24"/>
          <w:highlight w:val="none"/>
        </w:rPr>
        <w:t>：</w:t>
      </w:r>
    </w:p>
    <w:p w14:paraId="45829F2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olor w:val="auto"/>
          <w:sz w:val="24"/>
          <w:szCs w:val="24"/>
          <w:highlight w:val="none"/>
        </w:rPr>
        <w:t>金额为合同价的100%的增值税专用发票</w:t>
      </w:r>
      <w:r>
        <w:rPr>
          <w:rFonts w:hint="eastAsia" w:ascii="宋体" w:hAnsi="宋体"/>
          <w:color w:val="auto"/>
          <w:sz w:val="24"/>
          <w:szCs w:val="24"/>
          <w:highlight w:val="none"/>
        </w:rPr>
        <w:t>；</w:t>
      </w:r>
    </w:p>
    <w:p w14:paraId="459DAC5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2）由甲方审核通过的全套测评材料和公安机关颁发的备案证明；</w:t>
      </w:r>
    </w:p>
    <w:p w14:paraId="359A6125">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）由甲方审核通过的全套备案材料；</w:t>
      </w:r>
    </w:p>
    <w:p w14:paraId="0DB739E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4）由甲方审核通过的培训小结和考核结果。</w:t>
      </w:r>
    </w:p>
    <w:p w14:paraId="7330EB6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8"/>
          <w:highlight w:val="none"/>
        </w:rPr>
        <w:t>乙方延迟提供发票，甲方有权拒绝付款且不承担任何违约责任。</w:t>
      </w:r>
      <w:r>
        <w:rPr>
          <w:rFonts w:hint="eastAsia" w:ascii="宋体" w:hAnsi="宋体" w:cs="宋体"/>
          <w:color w:val="auto"/>
          <w:sz w:val="24"/>
          <w:szCs w:val="24"/>
          <w:highlight w:val="none"/>
        </w:rPr>
        <w:t>未实施内容甲方有权据实扣减。</w:t>
      </w:r>
    </w:p>
    <w:p w14:paraId="32B0F259">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开票明细：等级保护测评服务甲乙双方账户信息如下：</w:t>
      </w:r>
    </w:p>
    <w:p w14:paraId="73A5F5AA">
      <w:pPr>
        <w:spacing w:line="36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甲方：</w:t>
      </w:r>
    </w:p>
    <w:p w14:paraId="7DFD3C1E">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户名：湖北机场集团恩施机场有限责任公司</w:t>
      </w:r>
    </w:p>
    <w:p w14:paraId="1E9366AE">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税号：91422800770780066F</w:t>
      </w:r>
    </w:p>
    <w:p w14:paraId="437B318C">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单位地址：湖北省恩施市许家坪机场</w:t>
      </w:r>
    </w:p>
    <w:p w14:paraId="31D29C6B">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开户行：中国工商银行恩施分行营业部</w:t>
      </w:r>
    </w:p>
    <w:p w14:paraId="16A96191">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账号：1817002409026408523</w:t>
      </w:r>
    </w:p>
    <w:p w14:paraId="7E6BF17B">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电话：0718-8410744</w:t>
      </w:r>
    </w:p>
    <w:bookmarkEnd w:id="49"/>
    <w:p w14:paraId="669B7A31">
      <w:pPr>
        <w:spacing w:line="36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乙方：</w:t>
      </w:r>
    </w:p>
    <w:p w14:paraId="21BA49AB">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户名：</w:t>
      </w:r>
    </w:p>
    <w:p w14:paraId="7B34F018">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税号：</w:t>
      </w:r>
    </w:p>
    <w:p w14:paraId="104E8C39">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单位地址：</w:t>
      </w:r>
    </w:p>
    <w:p w14:paraId="0478D942">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开户行：</w:t>
      </w:r>
    </w:p>
    <w:p w14:paraId="13A92066">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账号：</w:t>
      </w:r>
    </w:p>
    <w:p w14:paraId="65132D1F">
      <w:pPr>
        <w:spacing w:line="360" w:lineRule="auto"/>
        <w:ind w:firstLine="480" w:firstLineChars="200"/>
        <w:rPr>
          <w:rFonts w:hint="eastAsia" w:ascii="宋体" w:hAnsi="宋体" w:cs="宋体"/>
          <w:b/>
          <w:bCs/>
          <w:color w:val="auto"/>
          <w:sz w:val="24"/>
          <w:szCs w:val="28"/>
          <w:highlight w:val="none"/>
        </w:rPr>
      </w:pPr>
      <w:r>
        <w:rPr>
          <w:rFonts w:hint="eastAsia" w:ascii="宋体" w:hAnsi="宋体" w:eastAsia="宋体" w:cs="宋体"/>
          <w:b w:val="0"/>
          <w:bCs w:val="0"/>
          <w:color w:val="auto"/>
          <w:kern w:val="0"/>
          <w:sz w:val="24"/>
          <w:szCs w:val="24"/>
          <w:highlight w:val="none"/>
          <w:lang w:val="en-US" w:eastAsia="zh-CN" w:bidi="ar-SA"/>
        </w:rPr>
        <w:t>电话：</w:t>
      </w:r>
    </w:p>
    <w:p w14:paraId="39A82E77">
      <w:pPr>
        <w:spacing w:before="156" w:beforeLines="50" w:line="240" w:lineRule="auto"/>
        <w:jc w:val="center"/>
        <w:rPr>
          <w:rFonts w:hint="eastAsia" w:ascii="宋体" w:hAnsi="宋体" w:cs="宋体"/>
          <w:color w:val="auto"/>
          <w:sz w:val="24"/>
          <w:szCs w:val="28"/>
          <w:highlight w:val="none"/>
        </w:rPr>
      </w:pPr>
      <w:r>
        <w:rPr>
          <w:rFonts w:hint="eastAsia" w:ascii="宋体" w:hAnsi="宋体" w:cs="宋体"/>
          <w:b/>
          <w:bCs/>
          <w:color w:val="auto"/>
          <w:sz w:val="24"/>
          <w:szCs w:val="28"/>
          <w:highlight w:val="none"/>
        </w:rPr>
        <w:t>七、知识产权</w:t>
      </w:r>
    </w:p>
    <w:p w14:paraId="3D704CA2">
      <w:pPr>
        <w:spacing w:before="156" w:beforeLines="50" w:line="24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双方约定，乙方出具的安全等级测评报告等成果文件的知识产权由甲方所有。</w:t>
      </w:r>
    </w:p>
    <w:p w14:paraId="2BA6EFD3">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八、不可抗力</w:t>
      </w:r>
    </w:p>
    <w:p w14:paraId="266DA247">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签约任何一方由于受到诸如战争、严重火灾、洪水、台风、地震、疾病流行、政府行为等不可抗力事件的影响而不能执行合同时，履行合同的期限应予以相应顺延，延长的期限应相当于不可抗力所影响的时间。不可抗力事件系指买卖双方在缔结合同时所不能预见的，并且它的发生及其后果是无法避免和无法克服的事件。</w:t>
      </w:r>
    </w:p>
    <w:p w14:paraId="2D144E78">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受阻一方应在不可抗力事件发生后尽快通知对方，并于事件发生后7天内将有关当局出具的证明文件送交对方审阅确认。一旦不可抗力事件的影响持续30天以上，双方应通过友好协商在合理的时间内达成进一步履行合同的协议。</w:t>
      </w:r>
    </w:p>
    <w:p w14:paraId="2536A76E">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3.如因不可抗力导致合同解除，甲方支付的费用超过乙方工作量的，乙方应据实退还给甲方。</w:t>
      </w:r>
    </w:p>
    <w:p w14:paraId="1143EDE6">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九、违约金及损失赔偿额的计算</w:t>
      </w:r>
    </w:p>
    <w:p w14:paraId="60B456C9">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1．乙方未能按时完成第一条约定的工作内容及第四条约定的工作成果的提交等任何一项工作，每延误一天扣减合同款项的1%，累计延误</w:t>
      </w:r>
      <w:r>
        <w:rPr>
          <w:rFonts w:hint="eastAsia" w:ascii="宋体" w:hAnsi="宋体" w:cs="宋体"/>
          <w:color w:val="auto"/>
          <w:sz w:val="24"/>
          <w:szCs w:val="28"/>
          <w:highlight w:val="none"/>
        </w:rPr>
        <w:t xml:space="preserve"> </w:t>
      </w:r>
      <w:r>
        <w:rPr>
          <w:rFonts w:hint="eastAsia" w:hAnsi="宋体" w:cs="宋体"/>
          <w:color w:val="auto"/>
          <w:sz w:val="24"/>
          <w:szCs w:val="28"/>
          <w:highlight w:val="none"/>
          <w:lang w:val="en-US" w:eastAsia="zh-CN"/>
        </w:rPr>
        <w:t>90</w:t>
      </w:r>
      <w:r>
        <w:rPr>
          <w:rFonts w:hint="eastAsia" w:ascii="宋体" w:hAnsi="宋体" w:cs="宋体"/>
          <w:color w:val="auto"/>
          <w:sz w:val="24"/>
          <w:szCs w:val="28"/>
          <w:highlight w:val="none"/>
        </w:rPr>
        <w:t>日（含）</w:t>
      </w:r>
      <w:r>
        <w:rPr>
          <w:rFonts w:hint="eastAsia" w:ascii="宋体" w:hAnsi="宋体" w:cs="宋体"/>
          <w:color w:val="auto"/>
          <w:sz w:val="24"/>
          <w:szCs w:val="28"/>
          <w:highlight w:val="none"/>
        </w:rPr>
        <w:t>以上，甲方有权解除合同，乙方应向甲方支付合同价款20%的违约金，并退还甲方已付全部款项。</w:t>
      </w:r>
    </w:p>
    <w:p w14:paraId="0DAC86DA">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2．乙方违反本合同第</w:t>
      </w:r>
      <w:r>
        <w:rPr>
          <w:rFonts w:hint="eastAsia" w:hAnsi="宋体" w:cs="宋体"/>
          <w:color w:val="auto"/>
          <w:sz w:val="24"/>
          <w:szCs w:val="28"/>
          <w:highlight w:val="none"/>
          <w:lang w:val="en-US" w:eastAsia="zh-CN"/>
        </w:rPr>
        <w:t>三</w:t>
      </w:r>
      <w:r>
        <w:rPr>
          <w:rFonts w:hint="eastAsia" w:ascii="宋体" w:hAnsi="宋体" w:cs="宋体"/>
          <w:color w:val="auto"/>
          <w:sz w:val="24"/>
          <w:szCs w:val="28"/>
          <w:highlight w:val="none"/>
        </w:rPr>
        <w:t>条及其他条款约定，乙方应赔偿甲方因此所受的损失。</w:t>
      </w:r>
    </w:p>
    <w:p w14:paraId="47BD2FF0">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3．除法定及约定条件外，任何一方如单方面提出解除合同的要求，须经对方签字确认并赔偿由此给对方造成的经济损失。</w:t>
      </w:r>
    </w:p>
    <w:p w14:paraId="5BC055D5">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4．其他违约行为按照《民法典》有关规定，由违约方承担违约责任。</w:t>
      </w:r>
    </w:p>
    <w:p w14:paraId="2C9CD413">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5.甲方有权从应付款价款中直接扣除乙方的违约金。</w:t>
      </w:r>
    </w:p>
    <w:p w14:paraId="5121A107">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十、保密条款</w:t>
      </w:r>
    </w:p>
    <w:p w14:paraId="2C057897">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甲方应充分保护直接或间接获取的乙方的商业秘密，如技术信息、专有技术、经营信息，无乙方书面同意，甲方不得向任何第三方转让乙方的上述信息。若因甲方原因导致乙方的秘密信息泄漏，甲方依法向乙方承担责任。该条款不因合同的解除而失效。</w:t>
      </w:r>
    </w:p>
    <w:p w14:paraId="4F0A5F18">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2.甲方如发现上述资料和信息被泄露或者自己过失泄露，应当采取有效措施防止事件进一步扩大，并及时向乙方通报。该条款不因合同的解除、终止而失效。</w:t>
      </w:r>
    </w:p>
    <w:p w14:paraId="429E7890">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乙方应遵守与甲方签订之保密协议。乙方应充分保护直接或间接获取的甲方的商业秘密、技术信息、资料，如无甲方书面同意，乙方不得向任何第三方转让甲方的上述信息。乙方应将甲方提供的资料和信息限制在与本次工作有关的人员、保密协议签署的范围内，并妥善保管。若因乙方原因导致甲方资料和信息泄漏，乙方依法向甲方承担责任。</w:t>
      </w:r>
      <w:r>
        <w:rPr>
          <w:rFonts w:hint="eastAsia" w:ascii="宋体" w:hAnsi="宋体" w:cs="宋体"/>
          <w:color w:val="auto"/>
          <w:sz w:val="24"/>
          <w:szCs w:val="28"/>
          <w:highlight w:val="none"/>
          <w:lang w:val="en-US" w:eastAsia="zh-CN"/>
        </w:rPr>
        <w:t>该条款不因合同的解除、终止而失效</w:t>
      </w:r>
      <w:r>
        <w:rPr>
          <w:rFonts w:hint="eastAsia" w:ascii="宋体" w:hAnsi="宋体" w:cs="宋体"/>
          <w:color w:val="auto"/>
          <w:sz w:val="24"/>
          <w:szCs w:val="28"/>
          <w:highlight w:val="none"/>
        </w:rPr>
        <w:t>。</w:t>
      </w:r>
    </w:p>
    <w:p w14:paraId="0B6E0315">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4.乙方如发现上述资料和信息被泄露或者自己过失泄露，应当采取有效措施防止事件进一步扩大，并及时向甲方通报，该条款不因合同的解除、终止而失效。</w:t>
      </w:r>
    </w:p>
    <w:p w14:paraId="3D138894">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十一、通知条款</w:t>
      </w:r>
    </w:p>
    <w:p w14:paraId="4F7050CA">
      <w:pPr>
        <w:pStyle w:val="1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本合同中任何通知必须采用书面形式。</w:t>
      </w:r>
    </w:p>
    <w:p w14:paraId="7CBD6FD2">
      <w:pPr>
        <w:pStyle w:val="1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甲方代表：                                  乙方代表：</w:t>
      </w:r>
    </w:p>
    <w:p w14:paraId="59272FEF">
      <w:pPr>
        <w:pStyle w:val="1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姓名：                                      姓名：          </w:t>
      </w:r>
    </w:p>
    <w:p w14:paraId="38B91CE6">
      <w:pPr>
        <w:pStyle w:val="1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联系方式：                                  联系方式：       </w:t>
      </w:r>
    </w:p>
    <w:p w14:paraId="1D188C1B">
      <w:pPr>
        <w:pStyle w:val="1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2.双方确认以上联系方式为本合同约定的联系方式，任何一方的联系方式发生变更的，应当在发生变更后3个工作日内通知对方，否则因此产生的一切不利后果自行承担。</w:t>
      </w:r>
    </w:p>
    <w:p w14:paraId="3C5BC5D6">
      <w:pPr>
        <w:pStyle w:val="1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双方关于本合同履行及相关事宜的通知、指示、要求、决定等，按照本合同约定的上述联系方式向对方发送。如果以特快专递或挂号信形式寄送的，自发出之日起第3日视为送达之日（无论对方是否拒签或退还）；如果以电子邮件、手机短信形式发送的，自发出起24小时内视为送达（无论对方是否查看邮件或拒收）。</w:t>
      </w:r>
    </w:p>
    <w:p w14:paraId="53A2F381">
      <w:pPr>
        <w:pStyle w:val="1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上述送达地址作为本合同所涉诉讼文书（包括但不限于传票、判决书、裁定书、调解书、执行裁定书、限期履行通知书等）的有效送达地址。上述送达地址适用于一审、二审、再审和执行等各个诉讼阶段。相关诉讼文书按上述地址进行送达，因无人签收、拒收等原因导致被退回的，退回之日为送达之日。</w:t>
      </w:r>
    </w:p>
    <w:p w14:paraId="3CCD1936">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十二、争议解决</w:t>
      </w:r>
    </w:p>
    <w:p w14:paraId="6BC3664E">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1．本合同的未尽事宜，本着安全等级测评顺利实施的原则，由双方友好协商解决。</w:t>
      </w:r>
    </w:p>
    <w:p w14:paraId="40C4802F">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 本合同在履行过程中发生的争议，由甲乙双方友好协商解决，如协商不能达成一致，依法向甲方所在地人民法院起诉。</w:t>
      </w:r>
    </w:p>
    <w:p w14:paraId="6417E57A">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十三、其他条款</w:t>
      </w:r>
    </w:p>
    <w:p w14:paraId="5664925C">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 本合同连同附件为中文文本，一式陆份，甲方执肆份，乙方执贰份。</w:t>
      </w:r>
    </w:p>
    <w:p w14:paraId="7C89CFC9">
      <w:pPr>
        <w:pStyle w:val="76"/>
        <w:numPr>
          <w:ilvl w:val="0"/>
          <w:numId w:val="0"/>
        </w:numPr>
        <w:autoSpaceDE w:val="0"/>
        <w:autoSpaceDN w:val="0"/>
        <w:spacing w:before="120" w:after="120"/>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2. </w:t>
      </w:r>
      <w:r>
        <w:rPr>
          <w:rFonts w:asciiTheme="minorEastAsia" w:hAnsiTheme="minorEastAsia" w:cstheme="minorEastAsia"/>
          <w:kern w:val="0"/>
          <w:highlight w:val="none"/>
        </w:rPr>
        <w:t>本合同自各方法定代表人或授权代表签字并加盖公章</w:t>
      </w:r>
      <w:r>
        <w:rPr>
          <w:rFonts w:asciiTheme="minorEastAsia" w:hAnsiTheme="minorEastAsia" w:cstheme="minorEastAsia"/>
          <w:highlight w:val="none"/>
        </w:rPr>
        <w:t>或合同专用章</w:t>
      </w:r>
      <w:r>
        <w:rPr>
          <w:rFonts w:asciiTheme="minorEastAsia" w:hAnsiTheme="minorEastAsia" w:cstheme="minorEastAsia"/>
          <w:kern w:val="0"/>
          <w:highlight w:val="none"/>
        </w:rPr>
        <w:t>生效。</w:t>
      </w:r>
    </w:p>
    <w:p w14:paraId="6B6D862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8"/>
          <w:highlight w:val="none"/>
        </w:rPr>
        <w:t>3. 本合同所有的修订、补充和更改都应采用书面形式，并经过双方</w:t>
      </w:r>
      <w:r>
        <w:rPr>
          <w:rFonts w:hint="eastAsia" w:hAnsi="宋体" w:cs="宋体"/>
          <w:color w:val="auto"/>
          <w:sz w:val="24"/>
          <w:szCs w:val="28"/>
          <w:highlight w:val="none"/>
          <w:lang w:val="en-US" w:eastAsia="zh-CN"/>
        </w:rPr>
        <w:t>法定代表人或</w:t>
      </w:r>
      <w:r>
        <w:rPr>
          <w:rFonts w:hint="eastAsia" w:ascii="宋体" w:hAnsi="宋体" w:cs="宋体"/>
          <w:color w:val="auto"/>
          <w:sz w:val="24"/>
          <w:szCs w:val="28"/>
          <w:highlight w:val="none"/>
        </w:rPr>
        <w:t>授权代表签字并加盖公章或合同专用章才能成为合同的一部分。</w:t>
      </w:r>
    </w:p>
    <w:p w14:paraId="6968A8DE">
      <w:pPr>
        <w:rPr>
          <w:rFonts w:hint="eastAsia" w:ascii="宋体" w:hAnsi="宋体" w:cs="宋体"/>
          <w:color w:val="auto"/>
          <w:sz w:val="24"/>
          <w:szCs w:val="24"/>
          <w:highlight w:val="none"/>
        </w:rPr>
      </w:pPr>
    </w:p>
    <w:p w14:paraId="763A0B9B">
      <w:pPr>
        <w:rPr>
          <w:rFonts w:ascii="宋体" w:hAnsi="宋体" w:cs="宋体"/>
          <w:b/>
          <w:bCs/>
          <w:color w:val="auto"/>
          <w:sz w:val="24"/>
          <w:szCs w:val="24"/>
          <w:highlight w:val="none"/>
        </w:rPr>
      </w:pPr>
      <w:r>
        <w:rPr>
          <w:rFonts w:hint="eastAsia" w:ascii="宋体" w:hAnsi="宋体" w:cs="宋体"/>
          <w:b/>
          <w:bCs/>
          <w:color w:val="auto"/>
          <w:sz w:val="24"/>
          <w:szCs w:val="24"/>
          <w:highlight w:val="none"/>
        </w:rPr>
        <w:t>附件1：网络信息安全责任书</w:t>
      </w:r>
    </w:p>
    <w:p w14:paraId="6A344836">
      <w:pPr>
        <w:pStyle w:val="6"/>
        <w:ind w:left="0" w:leftChars="0"/>
        <w:rPr>
          <w:rFonts w:hint="eastAsia"/>
          <w:highlight w:val="none"/>
        </w:rPr>
      </w:pPr>
      <w:r>
        <w:rPr>
          <w:rFonts w:hint="eastAsia" w:ascii="宋体" w:hAnsi="宋体" w:cs="宋体"/>
          <w:b/>
          <w:bCs/>
          <w:color w:val="auto"/>
          <w:sz w:val="24"/>
          <w:szCs w:val="24"/>
          <w:highlight w:val="none"/>
        </w:rPr>
        <w:t>附件2：</w:t>
      </w:r>
      <w:r>
        <w:rPr>
          <w:rFonts w:hint="eastAsia" w:ascii="宋体" w:hAnsi="宋体" w:cs="宋体"/>
          <w:b/>
          <w:bCs/>
          <w:color w:val="auto"/>
          <w:sz w:val="24"/>
          <w:szCs w:val="24"/>
          <w:highlight w:val="none"/>
          <w:lang w:val="en-US" w:eastAsia="zh-CN"/>
        </w:rPr>
        <w:t>网络安全</w:t>
      </w:r>
      <w:r>
        <w:rPr>
          <w:rFonts w:hint="eastAsia" w:ascii="宋体" w:hAnsi="宋体" w:cs="宋体"/>
          <w:b/>
          <w:bCs/>
          <w:color w:val="auto"/>
          <w:sz w:val="24"/>
          <w:szCs w:val="24"/>
          <w:highlight w:val="none"/>
        </w:rPr>
        <w:t>等级保护测评项目保密协议</w:t>
      </w:r>
    </w:p>
    <w:p w14:paraId="39B98B89">
      <w:pPr>
        <w:spacing w:line="360" w:lineRule="auto"/>
        <w:ind w:left="6000" w:right="-359" w:rightChars="-171" w:hanging="6000" w:hangingChars="2500"/>
        <w:rPr>
          <w:rFonts w:hint="eastAsia" w:ascii="宋体" w:hAnsi="宋体" w:cs="宋体"/>
          <w:color w:val="auto"/>
          <w:sz w:val="24"/>
          <w:highlight w:val="none"/>
        </w:rPr>
      </w:pPr>
    </w:p>
    <w:p w14:paraId="450AC46E">
      <w:pPr>
        <w:spacing w:line="360" w:lineRule="auto"/>
        <w:ind w:left="6000" w:right="-359" w:rightChars="-171" w:hanging="6000" w:hangingChars="2500"/>
        <w:rPr>
          <w:rFonts w:hint="eastAsia" w:ascii="宋体" w:hAnsi="宋体" w:cs="宋体"/>
          <w:color w:val="auto"/>
          <w:kern w:val="24"/>
          <w:position w:val="-2"/>
          <w:sz w:val="24"/>
          <w:highlight w:val="none"/>
        </w:rPr>
      </w:pPr>
      <w:r>
        <w:rPr>
          <w:rFonts w:hint="eastAsia" w:ascii="宋体" w:hAnsi="宋体" w:cs="宋体"/>
          <w:color w:val="auto"/>
          <w:sz w:val="24"/>
          <w:highlight w:val="none"/>
        </w:rPr>
        <w:t>甲方（盖章）：                          乙方（盖章）：</w:t>
      </w:r>
    </w:p>
    <w:p w14:paraId="72B586E3">
      <w:pPr>
        <w:spacing w:line="360" w:lineRule="auto"/>
        <w:ind w:left="6000" w:right="-359" w:rightChars="-171" w:hanging="6000" w:hangingChars="2500"/>
        <w:rPr>
          <w:rFonts w:hint="eastAsia" w:ascii="宋体" w:hAnsi="宋体" w:cs="宋体"/>
          <w:color w:val="auto"/>
          <w:highlight w:val="none"/>
        </w:rPr>
      </w:pPr>
      <w:r>
        <w:rPr>
          <w:rFonts w:hint="eastAsia" w:ascii="宋体" w:hAnsi="宋体" w:cs="宋体"/>
          <w:color w:val="auto"/>
          <w:sz w:val="24"/>
          <w:highlight w:val="none"/>
        </w:rPr>
        <w:t>法定代表人</w:t>
      </w:r>
      <w:r>
        <w:rPr>
          <w:rFonts w:hint="eastAsia" w:hAnsi="宋体" w:cs="宋体"/>
          <w:color w:val="auto"/>
          <w:sz w:val="24"/>
          <w:highlight w:val="none"/>
          <w:lang w:eastAsia="zh-CN"/>
        </w:rPr>
        <w:t>（</w:t>
      </w:r>
      <w:r>
        <w:rPr>
          <w:rFonts w:hint="eastAsia" w:hAnsi="宋体" w:cs="宋体"/>
          <w:color w:val="auto"/>
          <w:sz w:val="24"/>
          <w:highlight w:val="none"/>
          <w:lang w:val="en-US" w:eastAsia="zh-CN"/>
        </w:rPr>
        <w:t>或授权代表</w:t>
      </w:r>
      <w:r>
        <w:rPr>
          <w:rFonts w:hint="eastAsia" w:hAnsi="宋体" w:cs="宋体"/>
          <w:color w:val="auto"/>
          <w:sz w:val="24"/>
          <w:highlight w:val="none"/>
          <w:lang w:eastAsia="zh-CN"/>
        </w:rPr>
        <w:t>）</w:t>
      </w:r>
      <w:r>
        <w:rPr>
          <w:rFonts w:hint="eastAsia" w:ascii="宋体" w:hAnsi="宋体" w:cs="宋体"/>
          <w:color w:val="auto"/>
          <w:sz w:val="24"/>
          <w:highlight w:val="none"/>
        </w:rPr>
        <w:t>签名：          法定代表人</w:t>
      </w:r>
      <w:r>
        <w:rPr>
          <w:rFonts w:hint="eastAsia" w:hAnsi="宋体" w:cs="宋体"/>
          <w:color w:val="auto"/>
          <w:sz w:val="24"/>
          <w:highlight w:val="none"/>
          <w:lang w:eastAsia="zh-CN"/>
        </w:rPr>
        <w:t>（</w:t>
      </w:r>
      <w:r>
        <w:rPr>
          <w:rFonts w:hint="eastAsia" w:hAnsi="宋体" w:cs="宋体"/>
          <w:color w:val="auto"/>
          <w:sz w:val="24"/>
          <w:highlight w:val="none"/>
          <w:lang w:val="en-US" w:eastAsia="zh-CN"/>
        </w:rPr>
        <w:t>或授权代表</w:t>
      </w:r>
      <w:r>
        <w:rPr>
          <w:rFonts w:hint="eastAsia" w:hAnsi="宋体" w:cs="宋体"/>
          <w:color w:val="auto"/>
          <w:sz w:val="24"/>
          <w:highlight w:val="none"/>
          <w:lang w:eastAsia="zh-CN"/>
        </w:rPr>
        <w:t>）</w:t>
      </w:r>
      <w:r>
        <w:rPr>
          <w:rFonts w:hint="eastAsia" w:ascii="宋体" w:hAnsi="宋体" w:cs="宋体"/>
          <w:color w:val="auto"/>
          <w:sz w:val="24"/>
          <w:highlight w:val="none"/>
        </w:rPr>
        <w:t>签名：</w:t>
      </w:r>
      <w:r>
        <w:rPr>
          <w:rFonts w:hint="eastAsia" w:ascii="宋体" w:hAnsi="宋体" w:cs="宋体"/>
          <w:color w:val="auto"/>
          <w:sz w:val="24"/>
          <w:szCs w:val="24"/>
          <w:highlight w:val="none"/>
        </w:rPr>
        <w:t xml:space="preserve">      </w:t>
      </w:r>
    </w:p>
    <w:p w14:paraId="02808643">
      <w:pPr>
        <w:spacing w:line="360" w:lineRule="auto"/>
        <w:contextualSpacing/>
        <w:rPr>
          <w:rFonts w:hint="eastAsia" w:ascii="宋体" w:hAnsi="宋体" w:eastAsia="宋体" w:cs="宋体"/>
          <w:color w:val="auto"/>
          <w:sz w:val="28"/>
          <w:szCs w:val="28"/>
          <w:highlight w:val="none"/>
          <w:lang w:val="en-US" w:eastAsia="zh-CN"/>
        </w:rPr>
      </w:pPr>
      <w:r>
        <w:rPr>
          <w:rFonts w:hint="eastAsia" w:ascii="宋体" w:hAnsi="宋体" w:cs="宋体"/>
          <w:color w:val="auto"/>
          <w:sz w:val="24"/>
          <w:highlight w:val="none"/>
        </w:rPr>
        <w:t>日期：                                  日期：</w:t>
      </w:r>
      <w:bookmarkStart w:id="50" w:name="_Toc3916"/>
      <w:bookmarkStart w:id="51" w:name="_Toc8013"/>
      <w:bookmarkStart w:id="52" w:name="_Toc4940"/>
      <w:bookmarkStart w:id="53" w:name="_Toc508"/>
    </w:p>
    <w:p w14:paraId="27D449AA">
      <w:pPr>
        <w:tabs>
          <w:tab w:val="left" w:pos="576"/>
        </w:tabs>
        <w:spacing w:line="240" w:lineRule="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w:t>
      </w:r>
      <w:r>
        <w:rPr>
          <w:rFonts w:hint="eastAsia"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：网络信息安全责任书</w:t>
      </w:r>
      <w:bookmarkEnd w:id="50"/>
      <w:bookmarkEnd w:id="51"/>
      <w:bookmarkEnd w:id="52"/>
    </w:p>
    <w:p w14:paraId="29ACEFF1">
      <w:pPr>
        <w:spacing w:line="360" w:lineRule="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甲方：湖北机场集团</w:t>
      </w:r>
      <w:r>
        <w:rPr>
          <w:rFonts w:hint="eastAsia" w:ascii="宋体" w:hAnsi="宋体" w:cs="宋体"/>
          <w:b/>
          <w:bCs/>
          <w:color w:val="auto"/>
          <w:sz w:val="24"/>
          <w:highlight w:val="none"/>
          <w:lang w:val="en-US" w:eastAsia="zh-CN"/>
        </w:rPr>
        <w:t>恩施机场有限责任公司</w:t>
      </w:r>
    </w:p>
    <w:p w14:paraId="6A681A80">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乙方：</w:t>
      </w:r>
    </w:p>
    <w:p w14:paraId="675333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为了维护机场网络信息安全，贯彻落实国家《中华人民共和国网络安全法》、现将网络信息安全要求告知乙方，望知悉并遵照执行，并接受甲方监督。</w:t>
      </w:r>
    </w:p>
    <w:p w14:paraId="3DCF69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一、乙方人员作业时应按程序要求规范操作，不得安装与工作无关的软件，不得利用机场网络传播非法软件。</w:t>
      </w:r>
    </w:p>
    <w:p w14:paraId="2958A05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二、乙方人员必须注意终端设备的各种账号密码，个人使用的账号密码要定期修改，并具有一定的复杂性（要求长度有8位，包含大小写字母、数字、特殊符号）。禁止将各类生产系统使用权限交与他人使用。</w:t>
      </w:r>
    </w:p>
    <w:p w14:paraId="011753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三、涉及生产系统的一切信息，维护人员有义务保持其机密性，不得通过U盘等移动存储设备外泄重要生产资料。</w:t>
      </w:r>
    </w:p>
    <w:p w14:paraId="25FF1FD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四、乙方人员严禁私自修改IP地址、私自移机、更换电脑硬件等违规操作。</w:t>
      </w:r>
    </w:p>
    <w:p w14:paraId="0CB894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五、不得私自卸载生产终端的防病毒软件、终端准入软件。</w:t>
      </w:r>
    </w:p>
    <w:p w14:paraId="525CB6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六、乙方人员在工作中发现其他人员有违规操作，应立即向甲方监管部门报告，并及时保留证据。</w:t>
      </w:r>
    </w:p>
    <w:p w14:paraId="1B2F69A6">
      <w:pPr>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七、因乙方人员违规操作引发的网络信息安全事故，一切责任由乙方公司全部承担。</w:t>
      </w:r>
      <w:r>
        <w:rPr>
          <w:rFonts w:hint="eastAsia" w:ascii="宋体" w:hAnsi="宋体" w:cs="宋体"/>
          <w:bCs/>
          <w:color w:val="auto"/>
          <w:sz w:val="24"/>
          <w:highlight w:val="none"/>
        </w:rPr>
        <w:t xml:space="preserve"> </w:t>
      </w:r>
    </w:p>
    <w:tbl>
      <w:tblPr>
        <w:tblStyle w:val="25"/>
        <w:tblpPr w:leftFromText="180" w:rightFromText="180" w:vertAnchor="text" w:horzAnchor="page" w:tblpXSpec="center" w:tblpY="537"/>
        <w:tblOverlap w:val="never"/>
        <w:tblW w:w="0" w:type="auto"/>
        <w:jc w:val="center"/>
        <w:tblLayout w:type="fixed"/>
        <w:tblCellMar>
          <w:top w:w="0" w:type="dxa"/>
          <w:left w:w="108" w:type="dxa"/>
          <w:bottom w:w="0" w:type="dxa"/>
          <w:right w:w="108" w:type="dxa"/>
        </w:tblCellMar>
      </w:tblPr>
      <w:tblGrid>
        <w:gridCol w:w="9620"/>
      </w:tblGrid>
      <w:tr w14:paraId="06D77E45">
        <w:tblPrEx>
          <w:tblCellMar>
            <w:top w:w="0" w:type="dxa"/>
            <w:left w:w="108" w:type="dxa"/>
            <w:bottom w:w="0" w:type="dxa"/>
            <w:right w:w="108" w:type="dxa"/>
          </w:tblCellMar>
        </w:tblPrEx>
        <w:trPr>
          <w:trHeight w:val="3039" w:hRule="atLeast"/>
          <w:jc w:val="center"/>
        </w:trPr>
        <w:tc>
          <w:tcPr>
            <w:tcW w:w="9620" w:type="dxa"/>
            <w:noWrap w:val="0"/>
            <w:vAlign w:val="center"/>
          </w:tcPr>
          <w:p w14:paraId="34C7CD15">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单位（盖章）：</w:t>
            </w:r>
          </w:p>
          <w:p w14:paraId="00BE4302">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法定代表人或</w:t>
            </w:r>
            <w:r>
              <w:rPr>
                <w:rFonts w:hint="eastAsia" w:hAnsi="宋体" w:cs="宋体"/>
                <w:bCs/>
                <w:color w:val="auto"/>
                <w:sz w:val="24"/>
                <w:highlight w:val="none"/>
                <w:lang w:val="en-US" w:eastAsia="zh-CN"/>
              </w:rPr>
              <w:t>授权代表</w:t>
            </w:r>
            <w:r>
              <w:rPr>
                <w:rFonts w:hint="eastAsia" w:ascii="宋体" w:hAnsi="宋体" w:cs="宋体"/>
                <w:bCs/>
                <w:color w:val="auto"/>
                <w:sz w:val="24"/>
                <w:highlight w:val="none"/>
              </w:rPr>
              <w:t>（签字）：</w:t>
            </w:r>
          </w:p>
          <w:p w14:paraId="37F2015C">
            <w:pPr>
              <w:spacing w:line="360" w:lineRule="auto"/>
              <w:rPr>
                <w:rFonts w:hint="eastAsia" w:ascii="宋体" w:hAnsi="宋体" w:cs="宋体"/>
                <w:bCs/>
                <w:color w:val="auto"/>
                <w:sz w:val="24"/>
                <w:highlight w:val="none"/>
              </w:rPr>
            </w:pPr>
          </w:p>
          <w:p w14:paraId="5E7FF100">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年   月   日</w:t>
            </w:r>
          </w:p>
          <w:p w14:paraId="335F6D5A">
            <w:pPr>
              <w:spacing w:line="360" w:lineRule="auto"/>
              <w:rPr>
                <w:rFonts w:hint="eastAsia" w:ascii="宋体" w:hAnsi="宋体" w:cs="宋体"/>
                <w:bCs/>
                <w:color w:val="auto"/>
                <w:sz w:val="24"/>
                <w:highlight w:val="none"/>
              </w:rPr>
            </w:pPr>
          </w:p>
          <w:p w14:paraId="4405B3A3">
            <w:pPr>
              <w:spacing w:line="360" w:lineRule="auto"/>
              <w:rPr>
                <w:rFonts w:hint="eastAsia" w:ascii="宋体" w:hAnsi="宋体" w:cs="宋体"/>
                <w:bCs/>
                <w:color w:val="auto"/>
                <w:sz w:val="24"/>
                <w:highlight w:val="none"/>
              </w:rPr>
            </w:pPr>
          </w:p>
        </w:tc>
      </w:tr>
    </w:tbl>
    <w:p w14:paraId="26774843">
      <w:pPr>
        <w:adjustRightInd w:val="0"/>
        <w:snapToGrid w:val="0"/>
        <w:spacing w:line="360" w:lineRule="auto"/>
        <w:rPr>
          <w:b/>
          <w:bCs/>
          <w:color w:val="auto"/>
          <w:sz w:val="24"/>
          <w:szCs w:val="24"/>
          <w:highlight w:val="none"/>
        </w:rPr>
      </w:pPr>
    </w:p>
    <w:p w14:paraId="2CA74BFC">
      <w:pPr>
        <w:rPr>
          <w:highlight w:val="none"/>
        </w:rPr>
      </w:pPr>
    </w:p>
    <w:p w14:paraId="6F676B21">
      <w:pPr>
        <w:bidi w:val="0"/>
        <w:rPr>
          <w:rFonts w:hint="eastAsia"/>
          <w:highlight w:val="none"/>
          <w:lang w:val="en-US" w:eastAsia="zh-CN"/>
        </w:rPr>
      </w:pPr>
    </w:p>
    <w:p w14:paraId="5B603DB3">
      <w:pPr>
        <w:pStyle w:val="6"/>
        <w:rPr>
          <w:rFonts w:hint="eastAsia"/>
          <w:highlight w:val="none"/>
          <w:lang w:val="en-US" w:eastAsia="zh-CN"/>
        </w:rPr>
      </w:pPr>
    </w:p>
    <w:p w14:paraId="41C51E82">
      <w:pPr>
        <w:tabs>
          <w:tab w:val="left" w:pos="576"/>
        </w:tabs>
        <w:spacing w:line="240" w:lineRule="auto"/>
        <w:outlineLvl w:val="9"/>
        <w:rPr>
          <w:rFonts w:hint="eastAsia" w:ascii="宋体" w:hAnsi="宋体" w:eastAsia="宋体" w:cs="宋体"/>
          <w:color w:val="auto"/>
          <w:sz w:val="28"/>
          <w:szCs w:val="28"/>
          <w:highlight w:val="none"/>
          <w:lang w:val="en-US" w:eastAsia="zh-CN"/>
        </w:rPr>
      </w:pPr>
      <w:bookmarkStart w:id="54" w:name="_Toc31622"/>
      <w:bookmarkStart w:id="55" w:name="_Toc15810"/>
    </w:p>
    <w:p w14:paraId="00572181">
      <w:pPr>
        <w:tabs>
          <w:tab w:val="left" w:pos="576"/>
        </w:tabs>
        <w:spacing w:line="240" w:lineRule="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w:t>
      </w:r>
      <w:r>
        <w:rPr>
          <w:rFonts w:hint="eastAsia"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：网络安全等级保护测评项目保密协议</w:t>
      </w:r>
      <w:bookmarkEnd w:id="54"/>
      <w:bookmarkEnd w:id="55"/>
    </w:p>
    <w:p w14:paraId="2E34D92F">
      <w:pPr>
        <w:spacing w:before="48" w:beforeLines="20"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甲方： </w:t>
      </w:r>
    </w:p>
    <w:p w14:paraId="7F04D16B">
      <w:pPr>
        <w:spacing w:before="48" w:beforeLines="20"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乙方： </w:t>
      </w:r>
    </w:p>
    <w:p w14:paraId="62912629">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鉴于乙方对甲方的</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系统进行网络安全等级测评，为保护甲方的系统秘密，乙方的技术秘密，根据国家法律、法规的有关规定，在友好协商的基础上，双方签订如下保密协议：</w:t>
      </w:r>
    </w:p>
    <w:p w14:paraId="22D9413C">
      <w:pPr>
        <w:rPr>
          <w:rFonts w:hint="eastAsia" w:ascii="宋体" w:hAnsi="宋体" w:cs="宋体"/>
          <w:b/>
          <w:bCs/>
          <w:color w:val="auto"/>
          <w:sz w:val="28"/>
          <w:szCs w:val="13"/>
          <w:highlight w:val="none"/>
        </w:rPr>
      </w:pPr>
      <w:r>
        <w:rPr>
          <w:rFonts w:hint="eastAsia" w:ascii="宋体" w:hAnsi="宋体" w:cs="宋体"/>
          <w:b/>
          <w:bCs/>
          <w:color w:val="auto"/>
          <w:sz w:val="28"/>
          <w:szCs w:val="13"/>
          <w:highlight w:val="none"/>
        </w:rPr>
        <w:t>一、保密的内容</w:t>
      </w:r>
    </w:p>
    <w:p w14:paraId="33DAAB64">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（一）甲方的秘密：包括甲方提供的以及在测评过程中涉及的甲方系统网络拓扑信息、系统配置信息、系统运行的数据、管理制度及流程，以及经甲方声明需要保密的其他信息。</w:t>
      </w:r>
    </w:p>
    <w:p w14:paraId="6EE84A98">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（二）乙方的秘密：包括乙方在此次测评过程中使用的业务流程规范、评估方法、测试方法以及乙方声明需要保密的其他信息。</w:t>
      </w:r>
    </w:p>
    <w:p w14:paraId="7ADF4A98">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上述信息必须以如下形式确定其保密性：</w:t>
      </w:r>
    </w:p>
    <w:p w14:paraId="3B86D7D0">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对于书面的或其它有形的信息，在交付对方时应标明“专有”或“秘密”字样；</w:t>
      </w:r>
    </w:p>
    <w:p w14:paraId="19D63762">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无法标明的信息在透露给对方前应声明是专有信息，进行书面记录。</w:t>
      </w:r>
    </w:p>
    <w:p w14:paraId="56175F08">
      <w:pPr>
        <w:rPr>
          <w:rFonts w:hint="eastAsia"/>
          <w:b/>
          <w:bCs/>
          <w:color w:val="auto"/>
          <w:sz w:val="28"/>
          <w:szCs w:val="16"/>
          <w:highlight w:val="none"/>
        </w:rPr>
      </w:pPr>
      <w:r>
        <w:rPr>
          <w:rFonts w:hint="eastAsia"/>
          <w:b/>
          <w:bCs/>
          <w:color w:val="auto"/>
          <w:sz w:val="28"/>
          <w:szCs w:val="16"/>
          <w:highlight w:val="none"/>
        </w:rPr>
        <w:t>二、保密的范围</w:t>
      </w:r>
    </w:p>
    <w:p w14:paraId="6736885A">
      <w:pPr>
        <w:spacing w:before="48" w:beforeLines="20"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（一）乙方只在此次测评需要时才能使用甲方提供的秘密信息。乙方应将甲方提供信息的使用限制在与本次测评有关的人员、保密协议签署者范围内。</w:t>
      </w:r>
    </w:p>
    <w:p w14:paraId="57C8227E">
      <w:pPr>
        <w:spacing w:before="48" w:beforeLines="20"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（二）甲方应将乙方在此次测评中使用到的业务流程规范、评估方法、测试方法等技术信息限制在与本次测评有关的人员、保密协议签署者范围内。</w:t>
      </w:r>
    </w:p>
    <w:p w14:paraId="37A178F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（三）一方依据法律或政府部门的有效指令而使用对方提供的信息时，应通知对方。</w:t>
      </w:r>
    </w:p>
    <w:p w14:paraId="1FAFAADA">
      <w:pPr>
        <w:rPr>
          <w:rFonts w:hint="eastAsia"/>
          <w:b/>
          <w:bCs/>
          <w:color w:val="auto"/>
          <w:sz w:val="28"/>
          <w:szCs w:val="16"/>
          <w:highlight w:val="none"/>
        </w:rPr>
      </w:pPr>
      <w:r>
        <w:rPr>
          <w:rFonts w:hint="eastAsia"/>
          <w:b/>
          <w:bCs/>
          <w:color w:val="auto"/>
          <w:sz w:val="28"/>
          <w:szCs w:val="16"/>
          <w:highlight w:val="none"/>
        </w:rPr>
        <w:t>三、保密义务</w:t>
      </w:r>
    </w:p>
    <w:p w14:paraId="3390C350">
      <w:pPr>
        <w:tabs>
          <w:tab w:val="left" w:pos="1080"/>
        </w:tabs>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（一）未经许可不得主动获取对方与本次工作无关的秘密信息；</w:t>
      </w:r>
    </w:p>
    <w:p w14:paraId="65112654">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（二）不得向不承担保密义务的任何第三人披露上述秘密信息；</w:t>
      </w:r>
    </w:p>
    <w:p w14:paraId="2024D759">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（三）不得协助不承担保密义务的任何第三人使用上述秘密信息；</w:t>
      </w:r>
    </w:p>
    <w:p w14:paraId="04621A8B">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（四）如无对方预先书面同意，任何一方不得向任何第三方转让上述秘密信息；</w:t>
      </w:r>
    </w:p>
    <w:p w14:paraId="7AA33F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（五）如发现上述秘密被泄露或者自己过失泄露，应当采取有效措施防止泄密进一步扩大，并及时向对方报告；</w:t>
      </w:r>
    </w:p>
    <w:p w14:paraId="2E92A17D">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凡未经对方书面同意，一方以直接、间接、书面、口头等形式为第三方提供上述内容的行为均属违反保密义务的行为。</w:t>
      </w:r>
    </w:p>
    <w:p w14:paraId="76F7C869">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但以下情况不属于违反保密义务：</w:t>
      </w:r>
    </w:p>
    <w:p w14:paraId="713C142E">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（一）获取或披露一方已公开发表，或已为公众所知的信息；</w:t>
      </w:r>
    </w:p>
    <w:p w14:paraId="4D6EF5F1">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（二）获取或披露一方已书面授权公开的信息；</w:t>
      </w:r>
    </w:p>
    <w:p w14:paraId="3806A3C6">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（三）获取的信息属于一方通过合法手段从第三方在未受到任何限制的情况下获得的；</w:t>
      </w:r>
    </w:p>
    <w:p w14:paraId="495B0EAC">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（四）根据法律、法规，司法或行政命令的要求向有关国家机关提供他方的秘密信息。</w:t>
      </w:r>
    </w:p>
    <w:p w14:paraId="4A0E9A8B">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上述第（四）种情况下必须向资料接受者申明该信息的保密要求，并应当尽最大的努力帮助他方有效地防止或限制该秘密信息的进一步泄露。</w:t>
      </w:r>
    </w:p>
    <w:p w14:paraId="5C39057A">
      <w:pPr>
        <w:rPr>
          <w:rFonts w:hint="eastAsia"/>
          <w:b/>
          <w:bCs/>
          <w:color w:val="auto"/>
          <w:sz w:val="28"/>
          <w:szCs w:val="16"/>
          <w:highlight w:val="none"/>
        </w:rPr>
      </w:pPr>
      <w:r>
        <w:rPr>
          <w:rFonts w:hint="eastAsia"/>
          <w:b/>
          <w:bCs/>
          <w:color w:val="auto"/>
          <w:sz w:val="28"/>
          <w:szCs w:val="16"/>
          <w:highlight w:val="none"/>
        </w:rPr>
        <w:t>四、保密期限</w:t>
      </w:r>
    </w:p>
    <w:p w14:paraId="2E96029C">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甲、乙双方确认，双方的保密义务从本协议签署之日起生效。双方的保密义务期限</w:t>
      </w:r>
      <w:r>
        <w:rPr>
          <w:rFonts w:hint="eastAsia" w:ascii="宋体" w:hAnsi="宋体" w:cs="宋体"/>
          <w:color w:val="auto"/>
          <w:sz w:val="24"/>
          <w:highlight w:val="none"/>
          <w:lang w:val="en-US" w:eastAsia="zh-CN"/>
        </w:rPr>
        <w:t>该条款不因合同的解除、终止而失效</w:t>
      </w:r>
      <w:r>
        <w:rPr>
          <w:rFonts w:hint="eastAsia" w:ascii="宋体" w:hAnsi="宋体" w:cs="宋体"/>
          <w:color w:val="auto"/>
          <w:sz w:val="24"/>
          <w:highlight w:val="none"/>
        </w:rPr>
        <w:t>。</w:t>
      </w:r>
    </w:p>
    <w:p w14:paraId="64636E5A">
      <w:pPr>
        <w:rPr>
          <w:rFonts w:hint="eastAsia"/>
          <w:b/>
          <w:bCs/>
          <w:color w:val="auto"/>
          <w:sz w:val="28"/>
          <w:szCs w:val="16"/>
          <w:highlight w:val="none"/>
        </w:rPr>
      </w:pPr>
      <w:r>
        <w:rPr>
          <w:rFonts w:hint="eastAsia"/>
          <w:b/>
          <w:bCs/>
          <w:color w:val="auto"/>
          <w:sz w:val="28"/>
          <w:szCs w:val="16"/>
          <w:highlight w:val="none"/>
        </w:rPr>
        <w:t>五、违约责任</w:t>
      </w:r>
    </w:p>
    <w:p w14:paraId="575CEDEA">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（一）如果一方不履行本协议第三条所规定的保密义务，应当承担给对方造成的直接损失的赔偿责任。 </w:t>
      </w:r>
    </w:p>
    <w:p w14:paraId="0C0F545A">
      <w:pPr>
        <w:pStyle w:val="12"/>
        <w:spacing w:before="48" w:beforeLines="20" w:line="360" w:lineRule="auto"/>
        <w:ind w:left="0" w:firstLine="480" w:firstLineChars="200"/>
        <w:rPr>
          <w:rFonts w:hint="eastAsia" w:ascii="宋体" w:hAnsi="宋体" w:eastAsia="宋体" w:cs="宋体"/>
          <w:color w:val="auto"/>
          <w:kern w:val="2"/>
          <w:szCs w:val="20"/>
          <w:highlight w:val="none"/>
        </w:rPr>
      </w:pPr>
      <w:r>
        <w:rPr>
          <w:rFonts w:hint="eastAsia" w:ascii="宋体" w:hAnsi="宋体" w:eastAsia="宋体" w:cs="宋体"/>
          <w:color w:val="auto"/>
          <w:kern w:val="2"/>
          <w:szCs w:val="20"/>
          <w:highlight w:val="none"/>
        </w:rPr>
        <w:t>（二）因一方的违约行为侵犯了另一方的合法权益，另一方可以选择根据本协议要求其承担违约责任，或者根据国家有关法律、法规要求其承担侵权责任。</w:t>
      </w:r>
    </w:p>
    <w:p w14:paraId="60056063">
      <w:pPr>
        <w:rPr>
          <w:rFonts w:hint="eastAsia"/>
          <w:b/>
          <w:bCs/>
          <w:color w:val="auto"/>
          <w:sz w:val="28"/>
          <w:szCs w:val="16"/>
          <w:highlight w:val="none"/>
        </w:rPr>
      </w:pPr>
      <w:r>
        <w:rPr>
          <w:rFonts w:hint="eastAsia"/>
          <w:b/>
          <w:bCs/>
          <w:color w:val="auto"/>
          <w:sz w:val="28"/>
          <w:szCs w:val="16"/>
          <w:highlight w:val="none"/>
        </w:rPr>
        <w:t>六、争议的解决</w:t>
      </w:r>
    </w:p>
    <w:p w14:paraId="593B01F9">
      <w:pPr>
        <w:spacing w:before="48" w:beforeLines="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甲乙双方友好协商解决本协议中的争议。协商不成的，任何一方都有权向甲方所在地法院提起诉讼。</w:t>
      </w:r>
    </w:p>
    <w:tbl>
      <w:tblPr>
        <w:tblStyle w:val="25"/>
        <w:tblpPr w:leftFromText="180" w:rightFromText="180" w:vertAnchor="text" w:horzAnchor="page" w:tblpX="1344" w:tblpY="1130"/>
        <w:tblOverlap w:val="never"/>
        <w:tblW w:w="9747" w:type="dxa"/>
        <w:tblInd w:w="0" w:type="dxa"/>
        <w:tblLayout w:type="fixed"/>
        <w:tblCellMar>
          <w:top w:w="0" w:type="dxa"/>
          <w:left w:w="108" w:type="dxa"/>
          <w:bottom w:w="0" w:type="dxa"/>
          <w:right w:w="108" w:type="dxa"/>
        </w:tblCellMar>
      </w:tblPr>
      <w:tblGrid>
        <w:gridCol w:w="4786"/>
        <w:gridCol w:w="4961"/>
      </w:tblGrid>
      <w:tr w14:paraId="08D2278E">
        <w:tblPrEx>
          <w:tblCellMar>
            <w:top w:w="0" w:type="dxa"/>
            <w:left w:w="108" w:type="dxa"/>
            <w:bottom w:w="0" w:type="dxa"/>
            <w:right w:w="108" w:type="dxa"/>
          </w:tblCellMar>
        </w:tblPrEx>
        <w:trPr>
          <w:trHeight w:val="2651" w:hRule="atLeast"/>
        </w:trPr>
        <w:tc>
          <w:tcPr>
            <w:tcW w:w="4786" w:type="dxa"/>
            <w:noWrap w:val="0"/>
            <w:vAlign w:val="top"/>
          </w:tcPr>
          <w:p w14:paraId="21E6F0EF">
            <w:pPr>
              <w:spacing w:line="360" w:lineRule="auto"/>
              <w:ind w:right="-359" w:rightChars="-171"/>
              <w:rPr>
                <w:sz w:val="28"/>
                <w:szCs w:val="16"/>
                <w:highlight w:val="none"/>
              </w:rPr>
            </w:pPr>
            <w:r>
              <w:rPr>
                <w:rFonts w:hint="eastAsia"/>
                <w:sz w:val="28"/>
                <w:szCs w:val="16"/>
                <w:highlight w:val="none"/>
              </w:rPr>
              <w:t>甲方（盖章）：</w:t>
            </w:r>
          </w:p>
          <w:p w14:paraId="64B52D56">
            <w:pPr>
              <w:spacing w:line="360" w:lineRule="auto"/>
              <w:ind w:right="-178" w:rightChars="-85"/>
              <w:rPr>
                <w:sz w:val="28"/>
                <w:szCs w:val="16"/>
                <w:highlight w:val="none"/>
              </w:rPr>
            </w:pPr>
            <w:r>
              <w:rPr>
                <w:rFonts w:hint="eastAsia"/>
                <w:sz w:val="28"/>
                <w:szCs w:val="16"/>
                <w:highlight w:val="none"/>
              </w:rPr>
              <w:t>法定代表人或授权代表签名：</w:t>
            </w:r>
          </w:p>
          <w:p w14:paraId="0ADB2326">
            <w:pPr>
              <w:spacing w:line="360" w:lineRule="auto"/>
              <w:ind w:right="-359" w:rightChars="-171"/>
              <w:rPr>
                <w:sz w:val="28"/>
                <w:szCs w:val="16"/>
                <w:highlight w:val="none"/>
              </w:rPr>
            </w:pPr>
            <w:r>
              <w:rPr>
                <w:rFonts w:hint="eastAsia"/>
                <w:sz w:val="28"/>
                <w:szCs w:val="16"/>
                <w:highlight w:val="none"/>
              </w:rPr>
              <w:t>联系电话：</w:t>
            </w:r>
          </w:p>
          <w:p w14:paraId="7E3AF6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sz w:val="28"/>
                <w:szCs w:val="16"/>
                <w:highlight w:val="none"/>
              </w:rPr>
            </w:pPr>
            <w:r>
              <w:rPr>
                <w:rFonts w:hint="eastAsia"/>
                <w:sz w:val="28"/>
                <w:szCs w:val="16"/>
                <w:highlight w:val="none"/>
              </w:rPr>
              <w:t>日期：</w:t>
            </w:r>
            <w:r>
              <w:rPr>
                <w:sz w:val="28"/>
                <w:szCs w:val="16"/>
                <w:highlight w:val="none"/>
              </w:rPr>
              <w:t xml:space="preserve"> </w:t>
            </w:r>
            <w:r>
              <w:rPr>
                <w:rFonts w:hint="eastAsia"/>
                <w:sz w:val="28"/>
                <w:szCs w:val="16"/>
                <w:highlight w:val="none"/>
              </w:rPr>
              <w:t xml:space="preserve"> </w:t>
            </w:r>
            <w:r>
              <w:rPr>
                <w:sz w:val="28"/>
                <w:szCs w:val="16"/>
                <w:highlight w:val="none"/>
              </w:rPr>
              <w:t xml:space="preserve"> </w:t>
            </w:r>
            <w:r>
              <w:rPr>
                <w:rFonts w:hint="eastAsia"/>
                <w:sz w:val="28"/>
                <w:szCs w:val="16"/>
                <w:highlight w:val="none"/>
              </w:rPr>
              <w:t>年    月    日</w:t>
            </w:r>
          </w:p>
        </w:tc>
        <w:tc>
          <w:tcPr>
            <w:tcW w:w="4961" w:type="dxa"/>
            <w:noWrap w:val="0"/>
            <w:vAlign w:val="top"/>
          </w:tcPr>
          <w:p w14:paraId="7A299306">
            <w:pPr>
              <w:spacing w:line="360" w:lineRule="auto"/>
              <w:ind w:left="6000" w:right="-359" w:rightChars="-171" w:hanging="7000" w:hangingChars="2500"/>
              <w:rPr>
                <w:sz w:val="28"/>
                <w:szCs w:val="16"/>
                <w:highlight w:val="none"/>
              </w:rPr>
            </w:pPr>
            <w:r>
              <w:rPr>
                <w:rFonts w:hint="eastAsia"/>
                <w:sz w:val="28"/>
                <w:szCs w:val="16"/>
                <w:highlight w:val="none"/>
              </w:rPr>
              <w:t>乙方（盖章）：</w:t>
            </w:r>
          </w:p>
          <w:p w14:paraId="2D390635">
            <w:pPr>
              <w:spacing w:line="360" w:lineRule="auto"/>
              <w:ind w:right="-178" w:rightChars="-85"/>
              <w:rPr>
                <w:sz w:val="28"/>
                <w:szCs w:val="16"/>
                <w:highlight w:val="none"/>
              </w:rPr>
            </w:pPr>
            <w:r>
              <w:rPr>
                <w:rFonts w:hint="eastAsia"/>
                <w:sz w:val="28"/>
                <w:szCs w:val="16"/>
                <w:highlight w:val="none"/>
              </w:rPr>
              <w:t>法定代表人或授权代表签名：</w:t>
            </w:r>
          </w:p>
          <w:p w14:paraId="40E13BD6">
            <w:pPr>
              <w:spacing w:line="360" w:lineRule="auto"/>
              <w:ind w:right="-359" w:rightChars="-171"/>
              <w:rPr>
                <w:sz w:val="28"/>
                <w:szCs w:val="16"/>
                <w:highlight w:val="none"/>
              </w:rPr>
            </w:pPr>
            <w:r>
              <w:rPr>
                <w:rFonts w:hint="eastAsia"/>
                <w:sz w:val="28"/>
                <w:szCs w:val="16"/>
                <w:highlight w:val="none"/>
              </w:rPr>
              <w:t>联系电话：</w:t>
            </w:r>
            <w:r>
              <w:rPr>
                <w:sz w:val="28"/>
                <w:szCs w:val="16"/>
                <w:highlight w:val="none"/>
              </w:rPr>
              <w:t xml:space="preserve"> </w:t>
            </w:r>
          </w:p>
          <w:p w14:paraId="190C6A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sz w:val="28"/>
                <w:szCs w:val="16"/>
                <w:highlight w:val="none"/>
              </w:rPr>
            </w:pPr>
            <w:r>
              <w:rPr>
                <w:rFonts w:hint="eastAsia"/>
                <w:sz w:val="28"/>
                <w:szCs w:val="16"/>
                <w:highlight w:val="none"/>
              </w:rPr>
              <w:t>日期：</w:t>
            </w:r>
            <w:r>
              <w:rPr>
                <w:sz w:val="28"/>
                <w:szCs w:val="16"/>
                <w:highlight w:val="none"/>
              </w:rPr>
              <w:t xml:space="preserve"> </w:t>
            </w:r>
            <w:r>
              <w:rPr>
                <w:rFonts w:hint="eastAsia"/>
                <w:sz w:val="28"/>
                <w:szCs w:val="16"/>
                <w:highlight w:val="none"/>
              </w:rPr>
              <w:t xml:space="preserve"> </w:t>
            </w:r>
            <w:r>
              <w:rPr>
                <w:sz w:val="28"/>
                <w:szCs w:val="16"/>
                <w:highlight w:val="none"/>
              </w:rPr>
              <w:t xml:space="preserve"> </w:t>
            </w:r>
            <w:r>
              <w:rPr>
                <w:rFonts w:hint="eastAsia"/>
                <w:sz w:val="28"/>
                <w:szCs w:val="16"/>
                <w:highlight w:val="none"/>
              </w:rPr>
              <w:t>年    月    日</w:t>
            </w:r>
          </w:p>
        </w:tc>
      </w:tr>
    </w:tbl>
    <w:p w14:paraId="4CD29EE1">
      <w:pPr>
        <w:rPr>
          <w:rFonts w:hint="eastAsia"/>
          <w:b/>
          <w:bCs/>
          <w:color w:val="auto"/>
          <w:sz w:val="28"/>
          <w:szCs w:val="16"/>
          <w:highlight w:val="none"/>
        </w:rPr>
      </w:pPr>
      <w:r>
        <w:rPr>
          <w:rFonts w:hint="eastAsia"/>
          <w:b/>
          <w:bCs/>
          <w:color w:val="auto"/>
          <w:sz w:val="28"/>
          <w:szCs w:val="16"/>
          <w:highlight w:val="none"/>
        </w:rPr>
        <w:t>七、协议的效力和变更</w:t>
      </w:r>
    </w:p>
    <w:p w14:paraId="42715950">
      <w:pPr>
        <w:spacing w:before="48" w:beforeLines="20" w:line="360" w:lineRule="auto"/>
        <w:ind w:firstLine="480" w:firstLineChars="200"/>
        <w:rPr>
          <w:highlight w:val="none"/>
        </w:rPr>
      </w:pPr>
      <w:r>
        <w:rPr>
          <w:rFonts w:hint="eastAsia" w:ascii="宋体" w:hAnsi="宋体" w:cs="宋体"/>
          <w:color w:val="auto"/>
          <w:sz w:val="24"/>
          <w:highlight w:val="none"/>
        </w:rPr>
        <w:t>本协议的任何修改必须经过双方的书面同意</w:t>
      </w:r>
    </w:p>
    <w:bookmarkEnd w:id="53"/>
    <w:p w14:paraId="1F7A015A">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62" w:firstLineChars="200"/>
        <w:textAlignment w:val="auto"/>
        <w:rPr>
          <w:rFonts w:hint="eastAsia" w:ascii="仿宋_GB2312" w:hAnsi="仿宋_GB2312" w:eastAsia="仿宋_GB2312" w:cs="仿宋_GB2312"/>
          <w:b/>
          <w:bCs/>
          <w:color w:val="auto"/>
          <w:sz w:val="28"/>
          <w:szCs w:val="28"/>
          <w:highlight w:val="none"/>
          <w:lang w:val="en-US" w:eastAsia="zh-CN"/>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5C0CF">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8B5C3">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2646680</wp:posOffset>
              </wp:positionH>
              <wp:positionV relativeFrom="paragraph">
                <wp:posOffset>-105410</wp:posOffset>
              </wp:positionV>
              <wp:extent cx="30734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734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031FF">
                          <w:pPr>
                            <w:pStyle w:val="16"/>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8.3pt;height:20pt;width:24.2pt;mso-position-horizontal-relative:margin;z-index:251661312;mso-width-relative:page;mso-height-relative:page;" filled="f" stroked="f" coordsize="21600,21600" o:gfxdata="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i0RzHYAAAACgEAAA8AAAAAAAAAAQAgAAAAIgAAAGRycy9kb3ducmV2&#10;LnhtbFBLAQIUABQAAAAIAIdO4kBLtL+TNQIAAGEEAAAOAAAAAAAAAAEAIAAAACcBAABkcnMvZTJv&#10;RG9jLnhtbFBLBQYAAAAABgAGAFkBAADOBQAAAAA=&#10;">
              <v:fill on="f" focussize="0,0"/>
              <v:stroke on="f" weight="0.5pt"/>
              <v:imagedata o:title=""/>
              <o:lock v:ext="edit" aspectratio="f"/>
              <v:textbox inset="0mm,0mm,0mm,0mm">
                <w:txbxContent>
                  <w:p w14:paraId="70E031FF">
                    <w:pPr>
                      <w:pStyle w:val="16"/>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FD624">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2692400</wp:posOffset>
              </wp:positionH>
              <wp:positionV relativeFrom="paragraph">
                <wp:posOffset>-104140</wp:posOffset>
              </wp:positionV>
              <wp:extent cx="37719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719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303DA">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pt;margin-top:-8.2pt;height:22pt;width:29.7pt;mso-position-horizontal-relative:margin;z-index:251659264;mso-width-relative:page;mso-height-relative:page;" filled="f" stroked="f" coordsize="21600,21600" o:gfxdata="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fLKCTZAAAACgEAAA8AAAAAAAAAAQAgAAAAIgAAAGRycy9kb3du&#10;cmV2LnhtbFBLAQIUABQAAAAIAIdO4kCMUKi2NwIAAGEEAAAOAAAAAAAAAAEAIAAAACgBAABkcnMv&#10;ZTJvRG9jLnhtbFBLBQYAAAAABgAGAFkBAADRBQAAAAA=&#10;">
              <v:fill on="f" focussize="0,0"/>
              <v:stroke on="f" weight="0.5pt"/>
              <v:imagedata o:title=""/>
              <o:lock v:ext="edit" aspectratio="f"/>
              <v:textbox inset="0mm,0mm,0mm,0mm">
                <w:txbxContent>
                  <w:p w14:paraId="7A4303DA">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4BD69">
    <w:pPr>
      <w:pStyle w:val="16"/>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2454275</wp:posOffset>
              </wp:positionH>
              <wp:positionV relativeFrom="paragraph">
                <wp:posOffset>-123190</wp:posOffset>
              </wp:positionV>
              <wp:extent cx="347980" cy="2609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798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EA717">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3.25pt;margin-top:-9.7pt;height:20.55pt;width:27.4pt;mso-position-horizontal-relative:margin;z-index:251660288;mso-width-relative:page;mso-height-relative:page;" filled="f" stroked="f" coordsize="21600,21600" o:gfxdata="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enKX2gAAAAoBAAAPAAAAAAAAAAEAIAAAACIAAABkcnMvZG93&#10;bnJldi54bWxQSwECFAAUAAAACACHTuJAbO1D/TcCAABhBAAADgAAAAAAAAABACAAAAApAQAAZHJz&#10;L2Uyb0RvYy54bWxQSwUGAAAAAAYABgBZAQAA0gUAAAAA&#10;">
              <v:fill on="f" focussize="0,0"/>
              <v:stroke on="f" weight="0.5pt"/>
              <v:imagedata o:title=""/>
              <o:lock v:ext="edit" aspectratio="f"/>
              <v:textbox inset="0mm,0mm,0mm,0mm">
                <w:txbxContent>
                  <w:p w14:paraId="527EA717">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3A448">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B175E">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78"/>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D46CCB7C"/>
    <w:multiLevelType w:val="singleLevel"/>
    <w:tmpl w:val="D46CCB7C"/>
    <w:lvl w:ilvl="0" w:tentative="0">
      <w:start w:val="1"/>
      <w:numFmt w:val="decimal"/>
      <w:suff w:val="nothing"/>
      <w:lvlText w:val="%1"/>
      <w:lvlJc w:val="left"/>
      <w:pPr>
        <w:tabs>
          <w:tab w:val="left" w:pos="0"/>
        </w:tabs>
        <w:ind w:left="0" w:firstLine="0"/>
      </w:pPr>
      <w:rPr>
        <w:rFonts w:hint="default" w:ascii="宋体" w:hAnsi="宋体" w:eastAsia="宋体" w:cstheme="minorEastAsia"/>
        <w:sz w:val="24"/>
        <w:szCs w:val="24"/>
      </w:rPr>
    </w:lvl>
  </w:abstractNum>
  <w:abstractNum w:abstractNumId="2">
    <w:nsid w:val="DBF373F5"/>
    <w:multiLevelType w:val="multilevel"/>
    <w:tmpl w:val="DBF373F5"/>
    <w:lvl w:ilvl="0" w:tentative="0">
      <w:start w:val="1"/>
      <w:numFmt w:val="chineseCounting"/>
      <w:pStyle w:val="76"/>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164221FD"/>
    <w:multiLevelType w:val="multilevel"/>
    <w:tmpl w:val="164221FD"/>
    <w:lvl w:ilvl="0" w:tentative="0">
      <w:start w:val="1"/>
      <w:numFmt w:val="chineseCountingThousand"/>
      <w:lvlText w:val="%1."/>
      <w:lvlJc w:val="left"/>
      <w:pPr>
        <w:tabs>
          <w:tab w:val="left" w:pos="360"/>
        </w:tabs>
        <w:ind w:left="360" w:hanging="360"/>
      </w:pPr>
      <w:rPr>
        <w:rFonts w:hint="eastAsia" w:cs="宋体"/>
      </w:rPr>
    </w:lvl>
    <w:lvl w:ilvl="1" w:tentative="0">
      <w:start w:val="1"/>
      <w:numFmt w:val="decimal"/>
      <w:lvlText w:val="%2."/>
      <w:lvlJc w:val="left"/>
      <w:pPr>
        <w:tabs>
          <w:tab w:val="left" w:pos="-1200"/>
        </w:tabs>
        <w:ind w:left="-1200" w:hanging="420"/>
      </w:pPr>
      <w:rPr>
        <w:rFonts w:hint="eastAsia" w:cs="Times New Roman"/>
      </w:rPr>
    </w:lvl>
    <w:lvl w:ilvl="2" w:tentative="0">
      <w:start w:val="1"/>
      <w:numFmt w:val="lowerRoman"/>
      <w:lvlText w:val="%3."/>
      <w:lvlJc w:val="right"/>
      <w:pPr>
        <w:tabs>
          <w:tab w:val="left" w:pos="-780"/>
        </w:tabs>
        <w:ind w:left="-780" w:hanging="420"/>
      </w:pPr>
      <w:rPr>
        <w:rFonts w:cs="Times New Roman"/>
      </w:rPr>
    </w:lvl>
    <w:lvl w:ilvl="3" w:tentative="0">
      <w:start w:val="1"/>
      <w:numFmt w:val="decimal"/>
      <w:lvlText w:val="%4."/>
      <w:lvlJc w:val="left"/>
      <w:pPr>
        <w:tabs>
          <w:tab w:val="left" w:pos="-360"/>
        </w:tabs>
        <w:ind w:left="-360" w:hanging="420"/>
      </w:pPr>
      <w:rPr>
        <w:rFonts w:cs="Times New Roman"/>
      </w:rPr>
    </w:lvl>
    <w:lvl w:ilvl="4" w:tentative="0">
      <w:start w:val="1"/>
      <w:numFmt w:val="lowerLetter"/>
      <w:lvlText w:val="%5)"/>
      <w:lvlJc w:val="left"/>
      <w:pPr>
        <w:tabs>
          <w:tab w:val="left" w:pos="60"/>
        </w:tabs>
        <w:ind w:left="60" w:hanging="420"/>
      </w:pPr>
      <w:rPr>
        <w:rFonts w:cs="Times New Roman"/>
      </w:rPr>
    </w:lvl>
    <w:lvl w:ilvl="5" w:tentative="0">
      <w:start w:val="1"/>
      <w:numFmt w:val="lowerRoman"/>
      <w:lvlText w:val="%6."/>
      <w:lvlJc w:val="right"/>
      <w:pPr>
        <w:tabs>
          <w:tab w:val="left" w:pos="480"/>
        </w:tabs>
        <w:ind w:left="480" w:hanging="420"/>
      </w:pPr>
      <w:rPr>
        <w:rFonts w:cs="Times New Roman"/>
      </w:rPr>
    </w:lvl>
    <w:lvl w:ilvl="6" w:tentative="0">
      <w:start w:val="1"/>
      <w:numFmt w:val="decimal"/>
      <w:lvlText w:val="%7."/>
      <w:lvlJc w:val="left"/>
      <w:pPr>
        <w:tabs>
          <w:tab w:val="left" w:pos="420"/>
        </w:tabs>
        <w:ind w:left="420" w:hanging="420"/>
      </w:pPr>
      <w:rPr>
        <w:rFonts w:cs="Times New Roman"/>
      </w:rPr>
    </w:lvl>
    <w:lvl w:ilvl="7" w:tentative="0">
      <w:start w:val="2"/>
      <w:numFmt w:val="bullet"/>
      <w:lvlText w:val="□"/>
      <w:lvlJc w:val="left"/>
      <w:pPr>
        <w:tabs>
          <w:tab w:val="left" w:pos="1260"/>
        </w:tabs>
        <w:ind w:left="1260" w:hanging="360"/>
      </w:pPr>
      <w:rPr>
        <w:rFonts w:hint="eastAsia" w:ascii="宋体" w:hAnsi="宋体" w:eastAsia="宋体"/>
      </w:rPr>
    </w:lvl>
    <w:lvl w:ilvl="8" w:tentative="0">
      <w:start w:val="1"/>
      <w:numFmt w:val="lowerRoman"/>
      <w:lvlText w:val="%9."/>
      <w:lvlJc w:val="right"/>
      <w:pPr>
        <w:tabs>
          <w:tab w:val="left" w:pos="1740"/>
        </w:tabs>
        <w:ind w:left="1740" w:hanging="420"/>
      </w:pPr>
      <w:rPr>
        <w:rFonts w:cs="Times New Roman"/>
      </w:rPr>
    </w:lvl>
  </w:abstractNum>
  <w:abstractNum w:abstractNumId="5">
    <w:nsid w:val="4BBD7475"/>
    <w:multiLevelType w:val="multilevel"/>
    <w:tmpl w:val="4BBD7475"/>
    <w:lvl w:ilvl="0" w:tentative="0">
      <w:start w:val="1"/>
      <w:numFmt w:val="chineseCounting"/>
      <w:pStyle w:val="75"/>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5909F23B"/>
    <w:multiLevelType w:val="singleLevel"/>
    <w:tmpl w:val="5909F23B"/>
    <w:lvl w:ilvl="0" w:tentative="0">
      <w:start w:val="1"/>
      <w:numFmt w:val="decimal"/>
      <w:suff w:val="nothing"/>
      <w:lvlText w:val="%1"/>
      <w:lvlJc w:val="left"/>
      <w:pPr>
        <w:tabs>
          <w:tab w:val="left" w:pos="0"/>
        </w:tabs>
        <w:ind w:left="0" w:firstLine="0"/>
      </w:pPr>
      <w:rPr>
        <w:rFonts w:hint="default" w:ascii="宋体" w:hAnsi="宋体" w:eastAsia="宋体" w:cstheme="minorEastAsia"/>
        <w:sz w:val="24"/>
        <w:szCs w:val="24"/>
      </w:rPr>
    </w:lvl>
  </w:abstractNum>
  <w:abstractNum w:abstractNumId="7">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77"/>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
    <w:nsid w:val="7C4410C2"/>
    <w:multiLevelType w:val="multilevel"/>
    <w:tmpl w:val="7C4410C2"/>
    <w:lvl w:ilvl="0" w:tentative="0">
      <w:start w:val="1"/>
      <w:numFmt w:val="none"/>
      <w:suff w:val="nothing"/>
      <w:lvlText w:val="%1"/>
      <w:lvlJc w:val="left"/>
      <w:pPr>
        <w:ind w:left="0" w:firstLine="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Letter"/>
      <w:lvlText w:val="(%3)"/>
      <w:lvlJc w:val="left"/>
      <w:pPr>
        <w:tabs>
          <w:tab w:val="left" w:pos="1080"/>
        </w:tabs>
        <w:ind w:left="720" w:hanging="360"/>
      </w:pPr>
      <w:rPr>
        <w:rFonts w:hint="default"/>
      </w:rPr>
    </w:lvl>
    <w:lvl w:ilvl="3" w:tentative="0">
      <w:start w:val="1"/>
      <w:numFmt w:val="lowerRoman"/>
      <w:lvlText w:val="(%4)"/>
      <w:lvlJc w:val="left"/>
      <w:pPr>
        <w:tabs>
          <w:tab w:val="left" w:pos="1800"/>
        </w:tabs>
        <w:ind w:left="1080" w:hanging="360"/>
      </w:pPr>
      <w:rPr>
        <w:rFonts w:hint="default"/>
      </w:rPr>
    </w:lvl>
    <w:lvl w:ilvl="4" w:tentative="0">
      <w:start w:val="1"/>
      <w:numFmt w:val="lowerLetter"/>
      <w:lvlText w:val="%5."/>
      <w:lvlJc w:val="left"/>
      <w:pPr>
        <w:tabs>
          <w:tab w:val="left" w:pos="1440"/>
        </w:tabs>
        <w:ind w:left="1440" w:hanging="360"/>
      </w:pPr>
      <w:rPr>
        <w:rFonts w:hint="default"/>
      </w:rPr>
    </w:lvl>
    <w:lvl w:ilvl="5" w:tentative="0">
      <w:start w:val="1"/>
      <w:numFmt w:val="lowerRoman"/>
      <w:lvlText w:val="%6."/>
      <w:lvlJc w:val="left"/>
      <w:pPr>
        <w:tabs>
          <w:tab w:val="left" w:pos="2160"/>
        </w:tabs>
        <w:ind w:left="180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5"/>
  </w:num>
  <w:num w:numId="2">
    <w:abstractNumId w:val="2"/>
  </w:num>
  <w:num w:numId="3">
    <w:abstractNumId w:val="7"/>
  </w:num>
  <w:num w:numId="4">
    <w:abstractNumId w:val="0"/>
  </w:num>
  <w:num w:numId="5">
    <w:abstractNumId w:val="6"/>
  </w:num>
  <w:num w:numId="6">
    <w:abstractNumId w:val="1"/>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MGYxZDkzMGUyNDY1ZjdmN2FhZGJmYzJiZDI1YjEifQ=="/>
    <w:docVar w:name="KSO_WPS_MARK_KEY" w:val="b4823b06-1791-4711-9602-21e8b6e11993"/>
  </w:docVars>
  <w:rsids>
    <w:rsidRoot w:val="00172A27"/>
    <w:rsid w:val="00003159"/>
    <w:rsid w:val="00006065"/>
    <w:rsid w:val="00015A76"/>
    <w:rsid w:val="000179FC"/>
    <w:rsid w:val="00026093"/>
    <w:rsid w:val="000269DE"/>
    <w:rsid w:val="00040358"/>
    <w:rsid w:val="00050AB1"/>
    <w:rsid w:val="00053F60"/>
    <w:rsid w:val="00063851"/>
    <w:rsid w:val="000662E5"/>
    <w:rsid w:val="0008173A"/>
    <w:rsid w:val="000837B2"/>
    <w:rsid w:val="00090107"/>
    <w:rsid w:val="00095618"/>
    <w:rsid w:val="000963AA"/>
    <w:rsid w:val="000A61AB"/>
    <w:rsid w:val="000A7E04"/>
    <w:rsid w:val="000B0BB3"/>
    <w:rsid w:val="000B19F8"/>
    <w:rsid w:val="000B3658"/>
    <w:rsid w:val="000D0619"/>
    <w:rsid w:val="000D1407"/>
    <w:rsid w:val="000D3F7F"/>
    <w:rsid w:val="000E61F6"/>
    <w:rsid w:val="000F15AC"/>
    <w:rsid w:val="000F2ECC"/>
    <w:rsid w:val="000F3ACF"/>
    <w:rsid w:val="000F4DDA"/>
    <w:rsid w:val="00117535"/>
    <w:rsid w:val="00127619"/>
    <w:rsid w:val="001304B4"/>
    <w:rsid w:val="00137710"/>
    <w:rsid w:val="00140430"/>
    <w:rsid w:val="001435B0"/>
    <w:rsid w:val="001470A8"/>
    <w:rsid w:val="00153AFC"/>
    <w:rsid w:val="00161346"/>
    <w:rsid w:val="00172A27"/>
    <w:rsid w:val="001756A8"/>
    <w:rsid w:val="00180B41"/>
    <w:rsid w:val="00180FE1"/>
    <w:rsid w:val="001834A6"/>
    <w:rsid w:val="001853FD"/>
    <w:rsid w:val="001A567F"/>
    <w:rsid w:val="001B6D33"/>
    <w:rsid w:val="001C0923"/>
    <w:rsid w:val="001C36FB"/>
    <w:rsid w:val="001C666D"/>
    <w:rsid w:val="001C6DC6"/>
    <w:rsid w:val="001D024A"/>
    <w:rsid w:val="001D3C30"/>
    <w:rsid w:val="001E2286"/>
    <w:rsid w:val="001E2513"/>
    <w:rsid w:val="001F7FBD"/>
    <w:rsid w:val="002034B5"/>
    <w:rsid w:val="00210C3B"/>
    <w:rsid w:val="002144C8"/>
    <w:rsid w:val="0022005F"/>
    <w:rsid w:val="00220449"/>
    <w:rsid w:val="00250691"/>
    <w:rsid w:val="0025092A"/>
    <w:rsid w:val="00254710"/>
    <w:rsid w:val="00261CFC"/>
    <w:rsid w:val="00264F35"/>
    <w:rsid w:val="00276E38"/>
    <w:rsid w:val="00281DA3"/>
    <w:rsid w:val="00284277"/>
    <w:rsid w:val="00290803"/>
    <w:rsid w:val="002A2D87"/>
    <w:rsid w:val="002A4A03"/>
    <w:rsid w:val="002B0C16"/>
    <w:rsid w:val="002B2EE8"/>
    <w:rsid w:val="002B3DF6"/>
    <w:rsid w:val="002B5021"/>
    <w:rsid w:val="002B7E0F"/>
    <w:rsid w:val="002C682C"/>
    <w:rsid w:val="002D1145"/>
    <w:rsid w:val="002D3FD7"/>
    <w:rsid w:val="002E37C4"/>
    <w:rsid w:val="002E4CB1"/>
    <w:rsid w:val="002E5D0A"/>
    <w:rsid w:val="002F5061"/>
    <w:rsid w:val="002F614F"/>
    <w:rsid w:val="002F6DB2"/>
    <w:rsid w:val="00304B8C"/>
    <w:rsid w:val="00316D6D"/>
    <w:rsid w:val="00317E23"/>
    <w:rsid w:val="00326332"/>
    <w:rsid w:val="00332884"/>
    <w:rsid w:val="0033730D"/>
    <w:rsid w:val="00341A02"/>
    <w:rsid w:val="003431A6"/>
    <w:rsid w:val="00346B76"/>
    <w:rsid w:val="00346FDD"/>
    <w:rsid w:val="00356053"/>
    <w:rsid w:val="00367604"/>
    <w:rsid w:val="003702A5"/>
    <w:rsid w:val="00370668"/>
    <w:rsid w:val="00370DD0"/>
    <w:rsid w:val="0037751C"/>
    <w:rsid w:val="00380D87"/>
    <w:rsid w:val="00381031"/>
    <w:rsid w:val="003814D0"/>
    <w:rsid w:val="00382227"/>
    <w:rsid w:val="00382C34"/>
    <w:rsid w:val="003923BC"/>
    <w:rsid w:val="003A2ECC"/>
    <w:rsid w:val="003A3BCD"/>
    <w:rsid w:val="003B0D54"/>
    <w:rsid w:val="003B3F4E"/>
    <w:rsid w:val="003B4B78"/>
    <w:rsid w:val="003B5274"/>
    <w:rsid w:val="003C008A"/>
    <w:rsid w:val="003C0F00"/>
    <w:rsid w:val="003C445E"/>
    <w:rsid w:val="003C6D23"/>
    <w:rsid w:val="003D061A"/>
    <w:rsid w:val="003D4D01"/>
    <w:rsid w:val="003D761C"/>
    <w:rsid w:val="003E6BF2"/>
    <w:rsid w:val="003F03A2"/>
    <w:rsid w:val="003F1BF3"/>
    <w:rsid w:val="003F5544"/>
    <w:rsid w:val="00400625"/>
    <w:rsid w:val="0040308F"/>
    <w:rsid w:val="00406DEC"/>
    <w:rsid w:val="0040720C"/>
    <w:rsid w:val="00410228"/>
    <w:rsid w:val="00414B82"/>
    <w:rsid w:val="00414F1D"/>
    <w:rsid w:val="00422138"/>
    <w:rsid w:val="004228E3"/>
    <w:rsid w:val="00431141"/>
    <w:rsid w:val="0043522F"/>
    <w:rsid w:val="00445CBC"/>
    <w:rsid w:val="00451649"/>
    <w:rsid w:val="00451BB4"/>
    <w:rsid w:val="004557BE"/>
    <w:rsid w:val="0047095D"/>
    <w:rsid w:val="0047187B"/>
    <w:rsid w:val="00471EB4"/>
    <w:rsid w:val="00472C40"/>
    <w:rsid w:val="00473BFD"/>
    <w:rsid w:val="004742E7"/>
    <w:rsid w:val="004753BE"/>
    <w:rsid w:val="00481E9F"/>
    <w:rsid w:val="0049054B"/>
    <w:rsid w:val="00495CC2"/>
    <w:rsid w:val="00497594"/>
    <w:rsid w:val="004A0F95"/>
    <w:rsid w:val="004A1704"/>
    <w:rsid w:val="004A2051"/>
    <w:rsid w:val="004B0CBE"/>
    <w:rsid w:val="004B5F8D"/>
    <w:rsid w:val="004C377C"/>
    <w:rsid w:val="004C4867"/>
    <w:rsid w:val="004D2855"/>
    <w:rsid w:val="004D36E9"/>
    <w:rsid w:val="004D6FE2"/>
    <w:rsid w:val="004D789E"/>
    <w:rsid w:val="004E13FD"/>
    <w:rsid w:val="004E18D1"/>
    <w:rsid w:val="004E7017"/>
    <w:rsid w:val="004F0D1F"/>
    <w:rsid w:val="004F33F7"/>
    <w:rsid w:val="004F37CA"/>
    <w:rsid w:val="00500D7F"/>
    <w:rsid w:val="005028F7"/>
    <w:rsid w:val="00511EA6"/>
    <w:rsid w:val="00512C13"/>
    <w:rsid w:val="005131FF"/>
    <w:rsid w:val="005136D1"/>
    <w:rsid w:val="00514A56"/>
    <w:rsid w:val="005224ED"/>
    <w:rsid w:val="005266FD"/>
    <w:rsid w:val="00532106"/>
    <w:rsid w:val="00532C79"/>
    <w:rsid w:val="00535C58"/>
    <w:rsid w:val="00540A44"/>
    <w:rsid w:val="0054141D"/>
    <w:rsid w:val="00545726"/>
    <w:rsid w:val="00555EB7"/>
    <w:rsid w:val="00557355"/>
    <w:rsid w:val="00567B1C"/>
    <w:rsid w:val="0058577A"/>
    <w:rsid w:val="0058632E"/>
    <w:rsid w:val="005943A9"/>
    <w:rsid w:val="005A11E4"/>
    <w:rsid w:val="005A1ED9"/>
    <w:rsid w:val="005A2434"/>
    <w:rsid w:val="005A53D8"/>
    <w:rsid w:val="005A72AB"/>
    <w:rsid w:val="005B0AE1"/>
    <w:rsid w:val="005B5FB3"/>
    <w:rsid w:val="005B790A"/>
    <w:rsid w:val="005C2883"/>
    <w:rsid w:val="005D01CB"/>
    <w:rsid w:val="005D085D"/>
    <w:rsid w:val="005D1F45"/>
    <w:rsid w:val="005D455B"/>
    <w:rsid w:val="005D7CCD"/>
    <w:rsid w:val="005E12DC"/>
    <w:rsid w:val="005E1703"/>
    <w:rsid w:val="005E1DF0"/>
    <w:rsid w:val="005F4483"/>
    <w:rsid w:val="005F7634"/>
    <w:rsid w:val="00622BD8"/>
    <w:rsid w:val="00624A30"/>
    <w:rsid w:val="006277FC"/>
    <w:rsid w:val="0063177A"/>
    <w:rsid w:val="006458C8"/>
    <w:rsid w:val="00647C43"/>
    <w:rsid w:val="00657E6C"/>
    <w:rsid w:val="00662465"/>
    <w:rsid w:val="0066510A"/>
    <w:rsid w:val="00667014"/>
    <w:rsid w:val="00667D3C"/>
    <w:rsid w:val="0068231F"/>
    <w:rsid w:val="00683BA0"/>
    <w:rsid w:val="00683C09"/>
    <w:rsid w:val="0068562A"/>
    <w:rsid w:val="00690DCD"/>
    <w:rsid w:val="00695101"/>
    <w:rsid w:val="006A602B"/>
    <w:rsid w:val="006B0C32"/>
    <w:rsid w:val="006B4D69"/>
    <w:rsid w:val="006B5C6C"/>
    <w:rsid w:val="006C1BE9"/>
    <w:rsid w:val="006C42F7"/>
    <w:rsid w:val="006C63E6"/>
    <w:rsid w:val="006C70B9"/>
    <w:rsid w:val="006D6ECF"/>
    <w:rsid w:val="006E2B58"/>
    <w:rsid w:val="006F4152"/>
    <w:rsid w:val="00700287"/>
    <w:rsid w:val="00701E03"/>
    <w:rsid w:val="007113F2"/>
    <w:rsid w:val="0071438F"/>
    <w:rsid w:val="00714827"/>
    <w:rsid w:val="007232D9"/>
    <w:rsid w:val="0072798D"/>
    <w:rsid w:val="00731014"/>
    <w:rsid w:val="00734FCC"/>
    <w:rsid w:val="00752E06"/>
    <w:rsid w:val="00760502"/>
    <w:rsid w:val="00763ED8"/>
    <w:rsid w:val="00771153"/>
    <w:rsid w:val="007717DD"/>
    <w:rsid w:val="00775B95"/>
    <w:rsid w:val="007801FA"/>
    <w:rsid w:val="00790798"/>
    <w:rsid w:val="00796CE4"/>
    <w:rsid w:val="00797855"/>
    <w:rsid w:val="007A1D6C"/>
    <w:rsid w:val="007A381C"/>
    <w:rsid w:val="007A5A9C"/>
    <w:rsid w:val="007B3B61"/>
    <w:rsid w:val="007B5B11"/>
    <w:rsid w:val="007B6188"/>
    <w:rsid w:val="007C3BF4"/>
    <w:rsid w:val="007C430C"/>
    <w:rsid w:val="007E4885"/>
    <w:rsid w:val="007E7382"/>
    <w:rsid w:val="007F66A0"/>
    <w:rsid w:val="00810E4A"/>
    <w:rsid w:val="00816153"/>
    <w:rsid w:val="00816ABB"/>
    <w:rsid w:val="008171FC"/>
    <w:rsid w:val="00821498"/>
    <w:rsid w:val="008219E7"/>
    <w:rsid w:val="008318E5"/>
    <w:rsid w:val="00831B7F"/>
    <w:rsid w:val="00840561"/>
    <w:rsid w:val="00844F8B"/>
    <w:rsid w:val="00863787"/>
    <w:rsid w:val="00880521"/>
    <w:rsid w:val="008918BD"/>
    <w:rsid w:val="00894A85"/>
    <w:rsid w:val="008951E0"/>
    <w:rsid w:val="00895218"/>
    <w:rsid w:val="008A01DE"/>
    <w:rsid w:val="008A399F"/>
    <w:rsid w:val="008A6915"/>
    <w:rsid w:val="008B052C"/>
    <w:rsid w:val="008B5381"/>
    <w:rsid w:val="008B6CC3"/>
    <w:rsid w:val="008C0C69"/>
    <w:rsid w:val="008C45DB"/>
    <w:rsid w:val="008C7866"/>
    <w:rsid w:val="008C7A6B"/>
    <w:rsid w:val="008D2444"/>
    <w:rsid w:val="008D5767"/>
    <w:rsid w:val="008E08A7"/>
    <w:rsid w:val="008E38CA"/>
    <w:rsid w:val="008F0FB1"/>
    <w:rsid w:val="008F2EA7"/>
    <w:rsid w:val="008F4892"/>
    <w:rsid w:val="008F7AED"/>
    <w:rsid w:val="00901DE6"/>
    <w:rsid w:val="00903D08"/>
    <w:rsid w:val="00922D6F"/>
    <w:rsid w:val="0092614F"/>
    <w:rsid w:val="00927C18"/>
    <w:rsid w:val="00933F95"/>
    <w:rsid w:val="00935004"/>
    <w:rsid w:val="009447A9"/>
    <w:rsid w:val="00945E81"/>
    <w:rsid w:val="00946CE2"/>
    <w:rsid w:val="009512E2"/>
    <w:rsid w:val="00951328"/>
    <w:rsid w:val="009554D7"/>
    <w:rsid w:val="00974A2D"/>
    <w:rsid w:val="00976E1C"/>
    <w:rsid w:val="00980FE6"/>
    <w:rsid w:val="00983E86"/>
    <w:rsid w:val="009904EF"/>
    <w:rsid w:val="009962B0"/>
    <w:rsid w:val="009973EC"/>
    <w:rsid w:val="009A1E12"/>
    <w:rsid w:val="009A21EC"/>
    <w:rsid w:val="009A5A54"/>
    <w:rsid w:val="009B1143"/>
    <w:rsid w:val="009B355D"/>
    <w:rsid w:val="009C2E62"/>
    <w:rsid w:val="009C38B9"/>
    <w:rsid w:val="009C697C"/>
    <w:rsid w:val="009D2CE3"/>
    <w:rsid w:val="009D54B8"/>
    <w:rsid w:val="009E54A5"/>
    <w:rsid w:val="009F01A3"/>
    <w:rsid w:val="009F09D8"/>
    <w:rsid w:val="009F1909"/>
    <w:rsid w:val="00A04F54"/>
    <w:rsid w:val="00A0679F"/>
    <w:rsid w:val="00A06DB0"/>
    <w:rsid w:val="00A11394"/>
    <w:rsid w:val="00A15586"/>
    <w:rsid w:val="00A16AA7"/>
    <w:rsid w:val="00A16EE6"/>
    <w:rsid w:val="00A26E95"/>
    <w:rsid w:val="00A34CAA"/>
    <w:rsid w:val="00A36076"/>
    <w:rsid w:val="00A3693C"/>
    <w:rsid w:val="00A37C20"/>
    <w:rsid w:val="00A43F84"/>
    <w:rsid w:val="00A62AB2"/>
    <w:rsid w:val="00A66DAB"/>
    <w:rsid w:val="00A71F4A"/>
    <w:rsid w:val="00A72702"/>
    <w:rsid w:val="00A77C08"/>
    <w:rsid w:val="00A87EC3"/>
    <w:rsid w:val="00A91BDF"/>
    <w:rsid w:val="00A92BBB"/>
    <w:rsid w:val="00A93DA4"/>
    <w:rsid w:val="00A95CC6"/>
    <w:rsid w:val="00AA71A8"/>
    <w:rsid w:val="00AB1F25"/>
    <w:rsid w:val="00AC6044"/>
    <w:rsid w:val="00AD4743"/>
    <w:rsid w:val="00AD7A6B"/>
    <w:rsid w:val="00AE22CF"/>
    <w:rsid w:val="00AE3A12"/>
    <w:rsid w:val="00AE521F"/>
    <w:rsid w:val="00AF3441"/>
    <w:rsid w:val="00B13777"/>
    <w:rsid w:val="00B155A9"/>
    <w:rsid w:val="00B3228F"/>
    <w:rsid w:val="00B3544A"/>
    <w:rsid w:val="00B35FF6"/>
    <w:rsid w:val="00B40D1B"/>
    <w:rsid w:val="00B43BCF"/>
    <w:rsid w:val="00B46632"/>
    <w:rsid w:val="00B46FA4"/>
    <w:rsid w:val="00B52A09"/>
    <w:rsid w:val="00B55DC7"/>
    <w:rsid w:val="00B57307"/>
    <w:rsid w:val="00B573E0"/>
    <w:rsid w:val="00B664DF"/>
    <w:rsid w:val="00B6715C"/>
    <w:rsid w:val="00B67931"/>
    <w:rsid w:val="00B724AF"/>
    <w:rsid w:val="00B73229"/>
    <w:rsid w:val="00B82FA4"/>
    <w:rsid w:val="00B94F94"/>
    <w:rsid w:val="00B953BD"/>
    <w:rsid w:val="00B973A1"/>
    <w:rsid w:val="00BA19DC"/>
    <w:rsid w:val="00BA4309"/>
    <w:rsid w:val="00BB1538"/>
    <w:rsid w:val="00BB4626"/>
    <w:rsid w:val="00BB5F63"/>
    <w:rsid w:val="00BB60B3"/>
    <w:rsid w:val="00BC0838"/>
    <w:rsid w:val="00BC2E0B"/>
    <w:rsid w:val="00BC7F65"/>
    <w:rsid w:val="00BE0756"/>
    <w:rsid w:val="00BE2024"/>
    <w:rsid w:val="00BE43E7"/>
    <w:rsid w:val="00BF0012"/>
    <w:rsid w:val="00BF29F1"/>
    <w:rsid w:val="00BF32A0"/>
    <w:rsid w:val="00BF5E59"/>
    <w:rsid w:val="00BF6620"/>
    <w:rsid w:val="00BF6FB8"/>
    <w:rsid w:val="00C0446F"/>
    <w:rsid w:val="00C121A2"/>
    <w:rsid w:val="00C168E0"/>
    <w:rsid w:val="00C16F99"/>
    <w:rsid w:val="00C2172E"/>
    <w:rsid w:val="00C30119"/>
    <w:rsid w:val="00C338AD"/>
    <w:rsid w:val="00C35800"/>
    <w:rsid w:val="00C3755F"/>
    <w:rsid w:val="00C40369"/>
    <w:rsid w:val="00C40B2E"/>
    <w:rsid w:val="00C52C52"/>
    <w:rsid w:val="00C57C0B"/>
    <w:rsid w:val="00C72DCE"/>
    <w:rsid w:val="00C73CE6"/>
    <w:rsid w:val="00C75E7F"/>
    <w:rsid w:val="00C8163A"/>
    <w:rsid w:val="00C83986"/>
    <w:rsid w:val="00C847AD"/>
    <w:rsid w:val="00C85CD3"/>
    <w:rsid w:val="00C91C53"/>
    <w:rsid w:val="00C938AA"/>
    <w:rsid w:val="00CA5075"/>
    <w:rsid w:val="00CB3135"/>
    <w:rsid w:val="00CB6C52"/>
    <w:rsid w:val="00CB6D70"/>
    <w:rsid w:val="00CC179F"/>
    <w:rsid w:val="00CC1DBA"/>
    <w:rsid w:val="00CC23B2"/>
    <w:rsid w:val="00CC3BFE"/>
    <w:rsid w:val="00CC3C04"/>
    <w:rsid w:val="00CC4A23"/>
    <w:rsid w:val="00CD11ED"/>
    <w:rsid w:val="00CD2D5D"/>
    <w:rsid w:val="00CD3854"/>
    <w:rsid w:val="00CD4F33"/>
    <w:rsid w:val="00CE326F"/>
    <w:rsid w:val="00CE53AE"/>
    <w:rsid w:val="00CE636E"/>
    <w:rsid w:val="00CF629A"/>
    <w:rsid w:val="00D058D5"/>
    <w:rsid w:val="00D07160"/>
    <w:rsid w:val="00D11334"/>
    <w:rsid w:val="00D134B7"/>
    <w:rsid w:val="00D143C5"/>
    <w:rsid w:val="00D2331D"/>
    <w:rsid w:val="00D34A27"/>
    <w:rsid w:val="00D4373F"/>
    <w:rsid w:val="00D52C60"/>
    <w:rsid w:val="00D5317B"/>
    <w:rsid w:val="00D6412A"/>
    <w:rsid w:val="00D6415D"/>
    <w:rsid w:val="00D712DE"/>
    <w:rsid w:val="00D7571E"/>
    <w:rsid w:val="00D81172"/>
    <w:rsid w:val="00D913D4"/>
    <w:rsid w:val="00D91472"/>
    <w:rsid w:val="00D957E7"/>
    <w:rsid w:val="00DA04B7"/>
    <w:rsid w:val="00DA06D3"/>
    <w:rsid w:val="00DA7906"/>
    <w:rsid w:val="00DB01F2"/>
    <w:rsid w:val="00DB3324"/>
    <w:rsid w:val="00DC2C78"/>
    <w:rsid w:val="00DC35B0"/>
    <w:rsid w:val="00DD1093"/>
    <w:rsid w:val="00DD183D"/>
    <w:rsid w:val="00DE1166"/>
    <w:rsid w:val="00DE26CA"/>
    <w:rsid w:val="00DE320A"/>
    <w:rsid w:val="00DE43BE"/>
    <w:rsid w:val="00DF5EA5"/>
    <w:rsid w:val="00E041FD"/>
    <w:rsid w:val="00E14A34"/>
    <w:rsid w:val="00E21C28"/>
    <w:rsid w:val="00E41A3A"/>
    <w:rsid w:val="00E4204C"/>
    <w:rsid w:val="00E4271F"/>
    <w:rsid w:val="00E4360A"/>
    <w:rsid w:val="00E570F9"/>
    <w:rsid w:val="00E64BF7"/>
    <w:rsid w:val="00E670D2"/>
    <w:rsid w:val="00E72CFC"/>
    <w:rsid w:val="00E738B0"/>
    <w:rsid w:val="00E76079"/>
    <w:rsid w:val="00E81103"/>
    <w:rsid w:val="00E82288"/>
    <w:rsid w:val="00E920B4"/>
    <w:rsid w:val="00E9377A"/>
    <w:rsid w:val="00EA001D"/>
    <w:rsid w:val="00EA5B28"/>
    <w:rsid w:val="00EC0798"/>
    <w:rsid w:val="00EC765A"/>
    <w:rsid w:val="00ED3DA5"/>
    <w:rsid w:val="00ED7589"/>
    <w:rsid w:val="00EE028C"/>
    <w:rsid w:val="00EE28CD"/>
    <w:rsid w:val="00EE3D1B"/>
    <w:rsid w:val="00EE4D8E"/>
    <w:rsid w:val="00EE7315"/>
    <w:rsid w:val="00EF1C0A"/>
    <w:rsid w:val="00EF41C2"/>
    <w:rsid w:val="00EF4C25"/>
    <w:rsid w:val="00F01367"/>
    <w:rsid w:val="00F01388"/>
    <w:rsid w:val="00F05099"/>
    <w:rsid w:val="00F075E4"/>
    <w:rsid w:val="00F07957"/>
    <w:rsid w:val="00F11B07"/>
    <w:rsid w:val="00F24F59"/>
    <w:rsid w:val="00F26A61"/>
    <w:rsid w:val="00F27257"/>
    <w:rsid w:val="00F3134D"/>
    <w:rsid w:val="00F34A06"/>
    <w:rsid w:val="00F35ADF"/>
    <w:rsid w:val="00F41804"/>
    <w:rsid w:val="00F43755"/>
    <w:rsid w:val="00F526CC"/>
    <w:rsid w:val="00F56CDA"/>
    <w:rsid w:val="00F621D5"/>
    <w:rsid w:val="00F73FAC"/>
    <w:rsid w:val="00F74E42"/>
    <w:rsid w:val="00F751F0"/>
    <w:rsid w:val="00F75B51"/>
    <w:rsid w:val="00F77DD4"/>
    <w:rsid w:val="00F8074D"/>
    <w:rsid w:val="00F83713"/>
    <w:rsid w:val="00F865FE"/>
    <w:rsid w:val="00F8710E"/>
    <w:rsid w:val="00F91FA6"/>
    <w:rsid w:val="00F92DE9"/>
    <w:rsid w:val="00F9684D"/>
    <w:rsid w:val="00FB3B57"/>
    <w:rsid w:val="00FB539E"/>
    <w:rsid w:val="00FC0028"/>
    <w:rsid w:val="00FC497F"/>
    <w:rsid w:val="00FD18DA"/>
    <w:rsid w:val="00FD2999"/>
    <w:rsid w:val="00FD38B1"/>
    <w:rsid w:val="00FE58BC"/>
    <w:rsid w:val="00FE64A6"/>
    <w:rsid w:val="00FE77DF"/>
    <w:rsid w:val="00FF3A7C"/>
    <w:rsid w:val="00FF3F61"/>
    <w:rsid w:val="010949B1"/>
    <w:rsid w:val="010D1849"/>
    <w:rsid w:val="011649BC"/>
    <w:rsid w:val="01312D03"/>
    <w:rsid w:val="0132783D"/>
    <w:rsid w:val="013435B5"/>
    <w:rsid w:val="01467279"/>
    <w:rsid w:val="01567450"/>
    <w:rsid w:val="015F254D"/>
    <w:rsid w:val="017F176F"/>
    <w:rsid w:val="01893391"/>
    <w:rsid w:val="01EB3028"/>
    <w:rsid w:val="01EC3436"/>
    <w:rsid w:val="01F83296"/>
    <w:rsid w:val="01FE3EBA"/>
    <w:rsid w:val="020D224D"/>
    <w:rsid w:val="023615AF"/>
    <w:rsid w:val="023E501C"/>
    <w:rsid w:val="024053D7"/>
    <w:rsid w:val="026D4C89"/>
    <w:rsid w:val="02753D1F"/>
    <w:rsid w:val="027D76B4"/>
    <w:rsid w:val="02943600"/>
    <w:rsid w:val="02981224"/>
    <w:rsid w:val="029C3B08"/>
    <w:rsid w:val="02A42BE4"/>
    <w:rsid w:val="02AC21EF"/>
    <w:rsid w:val="02B363C4"/>
    <w:rsid w:val="02C45698"/>
    <w:rsid w:val="02CA5022"/>
    <w:rsid w:val="02D37EB0"/>
    <w:rsid w:val="030A61CA"/>
    <w:rsid w:val="03123A6D"/>
    <w:rsid w:val="0315639B"/>
    <w:rsid w:val="03236764"/>
    <w:rsid w:val="03435CB9"/>
    <w:rsid w:val="034906A2"/>
    <w:rsid w:val="0364199E"/>
    <w:rsid w:val="03652CA2"/>
    <w:rsid w:val="03853A60"/>
    <w:rsid w:val="0386570E"/>
    <w:rsid w:val="03A55211"/>
    <w:rsid w:val="03B11C43"/>
    <w:rsid w:val="03B81E4E"/>
    <w:rsid w:val="03D25855"/>
    <w:rsid w:val="03DD4525"/>
    <w:rsid w:val="03DF1F69"/>
    <w:rsid w:val="03F27DC6"/>
    <w:rsid w:val="040730AF"/>
    <w:rsid w:val="04182746"/>
    <w:rsid w:val="042F236B"/>
    <w:rsid w:val="0431202E"/>
    <w:rsid w:val="04526BE8"/>
    <w:rsid w:val="04731B5B"/>
    <w:rsid w:val="049B683B"/>
    <w:rsid w:val="04A435A0"/>
    <w:rsid w:val="04AB25AB"/>
    <w:rsid w:val="04B46FD6"/>
    <w:rsid w:val="04BD4357"/>
    <w:rsid w:val="04E71D9D"/>
    <w:rsid w:val="04E8539D"/>
    <w:rsid w:val="04F234DB"/>
    <w:rsid w:val="04FA52B7"/>
    <w:rsid w:val="05005FE9"/>
    <w:rsid w:val="051B1582"/>
    <w:rsid w:val="05241CEE"/>
    <w:rsid w:val="05263DCD"/>
    <w:rsid w:val="05482651"/>
    <w:rsid w:val="055B1D09"/>
    <w:rsid w:val="05797D72"/>
    <w:rsid w:val="058E3C89"/>
    <w:rsid w:val="059C797B"/>
    <w:rsid w:val="059F7889"/>
    <w:rsid w:val="05EE1923"/>
    <w:rsid w:val="05F2204B"/>
    <w:rsid w:val="05F40E68"/>
    <w:rsid w:val="05F8352E"/>
    <w:rsid w:val="05FF12E2"/>
    <w:rsid w:val="064055CE"/>
    <w:rsid w:val="06576E41"/>
    <w:rsid w:val="065C167B"/>
    <w:rsid w:val="067C2812"/>
    <w:rsid w:val="06841C40"/>
    <w:rsid w:val="069529D5"/>
    <w:rsid w:val="06A97F4E"/>
    <w:rsid w:val="06AF5382"/>
    <w:rsid w:val="06C01C39"/>
    <w:rsid w:val="070C3C0B"/>
    <w:rsid w:val="071830B3"/>
    <w:rsid w:val="072623C9"/>
    <w:rsid w:val="072C1FB4"/>
    <w:rsid w:val="072E19D4"/>
    <w:rsid w:val="073B6AEB"/>
    <w:rsid w:val="073F0F06"/>
    <w:rsid w:val="074A3036"/>
    <w:rsid w:val="074C4807"/>
    <w:rsid w:val="07C319F1"/>
    <w:rsid w:val="07DB536F"/>
    <w:rsid w:val="07E870D6"/>
    <w:rsid w:val="07F234A3"/>
    <w:rsid w:val="07FD0DA7"/>
    <w:rsid w:val="080F72C9"/>
    <w:rsid w:val="081146B4"/>
    <w:rsid w:val="08115849"/>
    <w:rsid w:val="08487583"/>
    <w:rsid w:val="08610ACC"/>
    <w:rsid w:val="087D297A"/>
    <w:rsid w:val="088D793B"/>
    <w:rsid w:val="08B87A03"/>
    <w:rsid w:val="08FA1588"/>
    <w:rsid w:val="090D69E6"/>
    <w:rsid w:val="091B00A6"/>
    <w:rsid w:val="092E6256"/>
    <w:rsid w:val="093F7F75"/>
    <w:rsid w:val="09543E7C"/>
    <w:rsid w:val="095C586C"/>
    <w:rsid w:val="09780069"/>
    <w:rsid w:val="098A7634"/>
    <w:rsid w:val="098D0E4A"/>
    <w:rsid w:val="098D27B7"/>
    <w:rsid w:val="09A80FF7"/>
    <w:rsid w:val="09CF2CE9"/>
    <w:rsid w:val="09D873B4"/>
    <w:rsid w:val="09E16098"/>
    <w:rsid w:val="09E55F32"/>
    <w:rsid w:val="0A1033D9"/>
    <w:rsid w:val="0A15018E"/>
    <w:rsid w:val="0A160367"/>
    <w:rsid w:val="0A1D55EE"/>
    <w:rsid w:val="0A306CF8"/>
    <w:rsid w:val="0A31203D"/>
    <w:rsid w:val="0A374058"/>
    <w:rsid w:val="0A3A6153"/>
    <w:rsid w:val="0A416BC0"/>
    <w:rsid w:val="0A554EFC"/>
    <w:rsid w:val="0A60310B"/>
    <w:rsid w:val="0A6A0048"/>
    <w:rsid w:val="0A6A4724"/>
    <w:rsid w:val="0A74469A"/>
    <w:rsid w:val="0A7F0E46"/>
    <w:rsid w:val="0A821DCB"/>
    <w:rsid w:val="0A92293D"/>
    <w:rsid w:val="0A9450C5"/>
    <w:rsid w:val="0A9C2975"/>
    <w:rsid w:val="0AB14067"/>
    <w:rsid w:val="0AB67A92"/>
    <w:rsid w:val="0AE16EDD"/>
    <w:rsid w:val="0AE962F7"/>
    <w:rsid w:val="0AE97C27"/>
    <w:rsid w:val="0AF71309"/>
    <w:rsid w:val="0AFC2888"/>
    <w:rsid w:val="0AFF7F05"/>
    <w:rsid w:val="0B1054FD"/>
    <w:rsid w:val="0B14713B"/>
    <w:rsid w:val="0B18003B"/>
    <w:rsid w:val="0B181394"/>
    <w:rsid w:val="0B24799A"/>
    <w:rsid w:val="0B552BD2"/>
    <w:rsid w:val="0B7174D5"/>
    <w:rsid w:val="0B757356"/>
    <w:rsid w:val="0B9877C7"/>
    <w:rsid w:val="0B9908EA"/>
    <w:rsid w:val="0BA2493E"/>
    <w:rsid w:val="0BBE75D4"/>
    <w:rsid w:val="0BBF760B"/>
    <w:rsid w:val="0BD25D9B"/>
    <w:rsid w:val="0BF063B8"/>
    <w:rsid w:val="0BF710EE"/>
    <w:rsid w:val="0C022098"/>
    <w:rsid w:val="0C051DAC"/>
    <w:rsid w:val="0C064A70"/>
    <w:rsid w:val="0C145030"/>
    <w:rsid w:val="0C1F4615"/>
    <w:rsid w:val="0C281202"/>
    <w:rsid w:val="0C476233"/>
    <w:rsid w:val="0C580AA0"/>
    <w:rsid w:val="0C7376DC"/>
    <w:rsid w:val="0C93502E"/>
    <w:rsid w:val="0CC96515"/>
    <w:rsid w:val="0CFA3503"/>
    <w:rsid w:val="0D115FF7"/>
    <w:rsid w:val="0D1E7971"/>
    <w:rsid w:val="0D202562"/>
    <w:rsid w:val="0D2D19A9"/>
    <w:rsid w:val="0D3037CB"/>
    <w:rsid w:val="0D3F09CA"/>
    <w:rsid w:val="0D462716"/>
    <w:rsid w:val="0D7A0E59"/>
    <w:rsid w:val="0D9A41BC"/>
    <w:rsid w:val="0DA76B5A"/>
    <w:rsid w:val="0DBF4461"/>
    <w:rsid w:val="0DCC18B3"/>
    <w:rsid w:val="0DD31F04"/>
    <w:rsid w:val="0DD67D30"/>
    <w:rsid w:val="0DEB3061"/>
    <w:rsid w:val="0DF41B5C"/>
    <w:rsid w:val="0DFC5558"/>
    <w:rsid w:val="0E0441E0"/>
    <w:rsid w:val="0E0B38F0"/>
    <w:rsid w:val="0E0E6AF2"/>
    <w:rsid w:val="0E152FAC"/>
    <w:rsid w:val="0E187AE2"/>
    <w:rsid w:val="0E23595C"/>
    <w:rsid w:val="0E346687"/>
    <w:rsid w:val="0E3D4FCA"/>
    <w:rsid w:val="0E611762"/>
    <w:rsid w:val="0E643046"/>
    <w:rsid w:val="0E7D0C99"/>
    <w:rsid w:val="0E804981"/>
    <w:rsid w:val="0E8335E0"/>
    <w:rsid w:val="0E914D45"/>
    <w:rsid w:val="0E9A7981"/>
    <w:rsid w:val="0EB632D2"/>
    <w:rsid w:val="0EBB761E"/>
    <w:rsid w:val="0EBD2416"/>
    <w:rsid w:val="0EC973CE"/>
    <w:rsid w:val="0EED520D"/>
    <w:rsid w:val="0EF10390"/>
    <w:rsid w:val="0EF3579C"/>
    <w:rsid w:val="0F0534F9"/>
    <w:rsid w:val="0F072534"/>
    <w:rsid w:val="0F0B13DF"/>
    <w:rsid w:val="0F230BBF"/>
    <w:rsid w:val="0F2B0220"/>
    <w:rsid w:val="0F363083"/>
    <w:rsid w:val="0FAC3C3C"/>
    <w:rsid w:val="0FC825F2"/>
    <w:rsid w:val="0FF268FC"/>
    <w:rsid w:val="0FF40EB8"/>
    <w:rsid w:val="101051ED"/>
    <w:rsid w:val="10216504"/>
    <w:rsid w:val="10285C89"/>
    <w:rsid w:val="104A5371"/>
    <w:rsid w:val="10677432"/>
    <w:rsid w:val="106D16C4"/>
    <w:rsid w:val="10973F44"/>
    <w:rsid w:val="10AD04E9"/>
    <w:rsid w:val="10AE50BD"/>
    <w:rsid w:val="10AE77FE"/>
    <w:rsid w:val="10B647F9"/>
    <w:rsid w:val="10E10F37"/>
    <w:rsid w:val="10E70644"/>
    <w:rsid w:val="10F77CDF"/>
    <w:rsid w:val="11051AB1"/>
    <w:rsid w:val="110C00AB"/>
    <w:rsid w:val="110C7414"/>
    <w:rsid w:val="11276C93"/>
    <w:rsid w:val="112847B9"/>
    <w:rsid w:val="11581E04"/>
    <w:rsid w:val="115B080A"/>
    <w:rsid w:val="11620195"/>
    <w:rsid w:val="11691059"/>
    <w:rsid w:val="116E2C06"/>
    <w:rsid w:val="117016A9"/>
    <w:rsid w:val="117E15A0"/>
    <w:rsid w:val="1186164E"/>
    <w:rsid w:val="11882D36"/>
    <w:rsid w:val="119837BB"/>
    <w:rsid w:val="11AC5168"/>
    <w:rsid w:val="11CC783A"/>
    <w:rsid w:val="11D04BF2"/>
    <w:rsid w:val="11D468CD"/>
    <w:rsid w:val="11D77B92"/>
    <w:rsid w:val="12014236"/>
    <w:rsid w:val="120963A4"/>
    <w:rsid w:val="12117F6A"/>
    <w:rsid w:val="1254771D"/>
    <w:rsid w:val="127A368A"/>
    <w:rsid w:val="127C08E1"/>
    <w:rsid w:val="12826E52"/>
    <w:rsid w:val="128D43FF"/>
    <w:rsid w:val="129B6481"/>
    <w:rsid w:val="12A61E39"/>
    <w:rsid w:val="12B9420D"/>
    <w:rsid w:val="12C02557"/>
    <w:rsid w:val="12C0739F"/>
    <w:rsid w:val="12C46AD7"/>
    <w:rsid w:val="12CF313E"/>
    <w:rsid w:val="12D83C35"/>
    <w:rsid w:val="12E13E89"/>
    <w:rsid w:val="12E16087"/>
    <w:rsid w:val="12E532C2"/>
    <w:rsid w:val="130D3DD9"/>
    <w:rsid w:val="1316525D"/>
    <w:rsid w:val="131A7680"/>
    <w:rsid w:val="131E29DD"/>
    <w:rsid w:val="131F396E"/>
    <w:rsid w:val="13267A75"/>
    <w:rsid w:val="13596EAB"/>
    <w:rsid w:val="1368466E"/>
    <w:rsid w:val="13731292"/>
    <w:rsid w:val="138F3306"/>
    <w:rsid w:val="13B74540"/>
    <w:rsid w:val="13BE5A27"/>
    <w:rsid w:val="13C327DE"/>
    <w:rsid w:val="13D01862"/>
    <w:rsid w:val="13ED41C3"/>
    <w:rsid w:val="141274A2"/>
    <w:rsid w:val="141F7FE5"/>
    <w:rsid w:val="14295017"/>
    <w:rsid w:val="142F261F"/>
    <w:rsid w:val="142F2A6F"/>
    <w:rsid w:val="14370BB7"/>
    <w:rsid w:val="14741CAC"/>
    <w:rsid w:val="14782CA6"/>
    <w:rsid w:val="147B03A7"/>
    <w:rsid w:val="147D7E0A"/>
    <w:rsid w:val="14917D29"/>
    <w:rsid w:val="14A07BC5"/>
    <w:rsid w:val="14B74989"/>
    <w:rsid w:val="14B840AC"/>
    <w:rsid w:val="14D25F7D"/>
    <w:rsid w:val="14DB39FD"/>
    <w:rsid w:val="15393438"/>
    <w:rsid w:val="15496D82"/>
    <w:rsid w:val="15655C97"/>
    <w:rsid w:val="156B3E9B"/>
    <w:rsid w:val="1573093F"/>
    <w:rsid w:val="15747D63"/>
    <w:rsid w:val="15747FCD"/>
    <w:rsid w:val="15782A98"/>
    <w:rsid w:val="15790903"/>
    <w:rsid w:val="159501E2"/>
    <w:rsid w:val="15A063B5"/>
    <w:rsid w:val="15A43FBD"/>
    <w:rsid w:val="15A85EC8"/>
    <w:rsid w:val="15B97E67"/>
    <w:rsid w:val="15BC6CB8"/>
    <w:rsid w:val="15C95ACB"/>
    <w:rsid w:val="160A44D6"/>
    <w:rsid w:val="16125176"/>
    <w:rsid w:val="162361FE"/>
    <w:rsid w:val="16287169"/>
    <w:rsid w:val="163E350B"/>
    <w:rsid w:val="1656058E"/>
    <w:rsid w:val="165B5C89"/>
    <w:rsid w:val="16617058"/>
    <w:rsid w:val="166E0193"/>
    <w:rsid w:val="167F55F9"/>
    <w:rsid w:val="168E66A8"/>
    <w:rsid w:val="16926A6C"/>
    <w:rsid w:val="16C40F15"/>
    <w:rsid w:val="16DF3749"/>
    <w:rsid w:val="16E37DB5"/>
    <w:rsid w:val="16F455B8"/>
    <w:rsid w:val="16F5303A"/>
    <w:rsid w:val="172C5712"/>
    <w:rsid w:val="1743387A"/>
    <w:rsid w:val="17752E62"/>
    <w:rsid w:val="178F7C01"/>
    <w:rsid w:val="17A65D09"/>
    <w:rsid w:val="17AF1FC2"/>
    <w:rsid w:val="17CB78B0"/>
    <w:rsid w:val="17DA45B1"/>
    <w:rsid w:val="17DE7734"/>
    <w:rsid w:val="180766BB"/>
    <w:rsid w:val="18150F13"/>
    <w:rsid w:val="181635BD"/>
    <w:rsid w:val="182823EC"/>
    <w:rsid w:val="183756FE"/>
    <w:rsid w:val="18485093"/>
    <w:rsid w:val="185F480A"/>
    <w:rsid w:val="18693206"/>
    <w:rsid w:val="189C165E"/>
    <w:rsid w:val="189C66E8"/>
    <w:rsid w:val="18AF5FB1"/>
    <w:rsid w:val="18E824DC"/>
    <w:rsid w:val="18FB6BCA"/>
    <w:rsid w:val="19125E0C"/>
    <w:rsid w:val="194458ED"/>
    <w:rsid w:val="195F766F"/>
    <w:rsid w:val="19610A96"/>
    <w:rsid w:val="19612562"/>
    <w:rsid w:val="196731DD"/>
    <w:rsid w:val="197A29D8"/>
    <w:rsid w:val="19923509"/>
    <w:rsid w:val="19A02D0C"/>
    <w:rsid w:val="19A2611B"/>
    <w:rsid w:val="19AE684F"/>
    <w:rsid w:val="19B75D26"/>
    <w:rsid w:val="19EC1A12"/>
    <w:rsid w:val="19FB0CBC"/>
    <w:rsid w:val="1A0D0F4E"/>
    <w:rsid w:val="1A10790F"/>
    <w:rsid w:val="1A132F57"/>
    <w:rsid w:val="1A2E7004"/>
    <w:rsid w:val="1A491DAC"/>
    <w:rsid w:val="1A6248B1"/>
    <w:rsid w:val="1A733D76"/>
    <w:rsid w:val="1A854AE4"/>
    <w:rsid w:val="1A984DDD"/>
    <w:rsid w:val="1A9D1836"/>
    <w:rsid w:val="1AAD2753"/>
    <w:rsid w:val="1ABA14F3"/>
    <w:rsid w:val="1ABB6718"/>
    <w:rsid w:val="1AF866CC"/>
    <w:rsid w:val="1B0E74D0"/>
    <w:rsid w:val="1B196C01"/>
    <w:rsid w:val="1B1D7CF2"/>
    <w:rsid w:val="1B356F79"/>
    <w:rsid w:val="1B3E1EE3"/>
    <w:rsid w:val="1B464EB5"/>
    <w:rsid w:val="1B4C0017"/>
    <w:rsid w:val="1B4D19DA"/>
    <w:rsid w:val="1B4D578C"/>
    <w:rsid w:val="1B813443"/>
    <w:rsid w:val="1B9D4C5C"/>
    <w:rsid w:val="1BAA1D73"/>
    <w:rsid w:val="1BD73B3C"/>
    <w:rsid w:val="1BED556D"/>
    <w:rsid w:val="1BF06C65"/>
    <w:rsid w:val="1C101718"/>
    <w:rsid w:val="1C135F20"/>
    <w:rsid w:val="1C153A6D"/>
    <w:rsid w:val="1C172A2B"/>
    <w:rsid w:val="1C2831FA"/>
    <w:rsid w:val="1C294648"/>
    <w:rsid w:val="1C4B2061"/>
    <w:rsid w:val="1C4D6938"/>
    <w:rsid w:val="1C520A23"/>
    <w:rsid w:val="1C524445"/>
    <w:rsid w:val="1C5D7C60"/>
    <w:rsid w:val="1C6A0B2D"/>
    <w:rsid w:val="1C7162B9"/>
    <w:rsid w:val="1C7320C7"/>
    <w:rsid w:val="1C765AC4"/>
    <w:rsid w:val="1C7A38B5"/>
    <w:rsid w:val="1C8A39B7"/>
    <w:rsid w:val="1C9729AD"/>
    <w:rsid w:val="1C9F16E9"/>
    <w:rsid w:val="1CA73CDA"/>
    <w:rsid w:val="1CB31791"/>
    <w:rsid w:val="1CCD0EF4"/>
    <w:rsid w:val="1CCE386B"/>
    <w:rsid w:val="1CD30256"/>
    <w:rsid w:val="1CD31C05"/>
    <w:rsid w:val="1D05626A"/>
    <w:rsid w:val="1D477216"/>
    <w:rsid w:val="1D6F2959"/>
    <w:rsid w:val="1D74741C"/>
    <w:rsid w:val="1D8C125D"/>
    <w:rsid w:val="1D9604E8"/>
    <w:rsid w:val="1D9C4091"/>
    <w:rsid w:val="1DAB0DA8"/>
    <w:rsid w:val="1DAB5816"/>
    <w:rsid w:val="1DC65566"/>
    <w:rsid w:val="1DDB4A2B"/>
    <w:rsid w:val="1DDB5157"/>
    <w:rsid w:val="1DE13C7A"/>
    <w:rsid w:val="1DE70863"/>
    <w:rsid w:val="1DF100E5"/>
    <w:rsid w:val="1E166E8A"/>
    <w:rsid w:val="1E723480"/>
    <w:rsid w:val="1E766B63"/>
    <w:rsid w:val="1E7E673C"/>
    <w:rsid w:val="1E85469F"/>
    <w:rsid w:val="1E910203"/>
    <w:rsid w:val="1E9239B5"/>
    <w:rsid w:val="1EB83620"/>
    <w:rsid w:val="1ECE10F7"/>
    <w:rsid w:val="1F0A017C"/>
    <w:rsid w:val="1F102369"/>
    <w:rsid w:val="1F187AD3"/>
    <w:rsid w:val="1F1E3599"/>
    <w:rsid w:val="1F210ACA"/>
    <w:rsid w:val="1F255333"/>
    <w:rsid w:val="1F2C79CD"/>
    <w:rsid w:val="1F3C195E"/>
    <w:rsid w:val="1F4278EF"/>
    <w:rsid w:val="1F49071C"/>
    <w:rsid w:val="1F6A5C17"/>
    <w:rsid w:val="1F725E52"/>
    <w:rsid w:val="1F7A3CB3"/>
    <w:rsid w:val="1F921359"/>
    <w:rsid w:val="1FA5711D"/>
    <w:rsid w:val="1FC4594D"/>
    <w:rsid w:val="1FC46AF9"/>
    <w:rsid w:val="1FDB5818"/>
    <w:rsid w:val="201D1179"/>
    <w:rsid w:val="20280331"/>
    <w:rsid w:val="202B3AD6"/>
    <w:rsid w:val="20377772"/>
    <w:rsid w:val="204144D7"/>
    <w:rsid w:val="2046687E"/>
    <w:rsid w:val="20591109"/>
    <w:rsid w:val="207A6319"/>
    <w:rsid w:val="207D7061"/>
    <w:rsid w:val="20856E4D"/>
    <w:rsid w:val="2089606E"/>
    <w:rsid w:val="209B6D46"/>
    <w:rsid w:val="20B46EB2"/>
    <w:rsid w:val="20D45BBB"/>
    <w:rsid w:val="20ED54D7"/>
    <w:rsid w:val="20EF7097"/>
    <w:rsid w:val="20F4351F"/>
    <w:rsid w:val="21021284"/>
    <w:rsid w:val="21077CA1"/>
    <w:rsid w:val="2130697F"/>
    <w:rsid w:val="21383D59"/>
    <w:rsid w:val="215C76FD"/>
    <w:rsid w:val="21635A32"/>
    <w:rsid w:val="219D5F36"/>
    <w:rsid w:val="21AC4ECC"/>
    <w:rsid w:val="21AC56EE"/>
    <w:rsid w:val="21B16141"/>
    <w:rsid w:val="21B764D2"/>
    <w:rsid w:val="21BA41E2"/>
    <w:rsid w:val="21DB2198"/>
    <w:rsid w:val="21EC18E9"/>
    <w:rsid w:val="22046BDF"/>
    <w:rsid w:val="22071A05"/>
    <w:rsid w:val="220E03EF"/>
    <w:rsid w:val="2225779E"/>
    <w:rsid w:val="22295B1A"/>
    <w:rsid w:val="22444910"/>
    <w:rsid w:val="22561574"/>
    <w:rsid w:val="226E284B"/>
    <w:rsid w:val="22746892"/>
    <w:rsid w:val="22963661"/>
    <w:rsid w:val="22A8553B"/>
    <w:rsid w:val="22AA2FA8"/>
    <w:rsid w:val="22B66F0B"/>
    <w:rsid w:val="22DD5C3A"/>
    <w:rsid w:val="22EA797C"/>
    <w:rsid w:val="23097387"/>
    <w:rsid w:val="23254978"/>
    <w:rsid w:val="23455236"/>
    <w:rsid w:val="234D60AE"/>
    <w:rsid w:val="2360706E"/>
    <w:rsid w:val="237A63C1"/>
    <w:rsid w:val="238C22CC"/>
    <w:rsid w:val="23A06782"/>
    <w:rsid w:val="23AC19CB"/>
    <w:rsid w:val="23AF216F"/>
    <w:rsid w:val="23BC5F31"/>
    <w:rsid w:val="23C474C9"/>
    <w:rsid w:val="23C7553F"/>
    <w:rsid w:val="240308A3"/>
    <w:rsid w:val="241F42DD"/>
    <w:rsid w:val="245E2096"/>
    <w:rsid w:val="246D24D1"/>
    <w:rsid w:val="248B7883"/>
    <w:rsid w:val="24A948B4"/>
    <w:rsid w:val="24B77ED6"/>
    <w:rsid w:val="24E05320"/>
    <w:rsid w:val="24E6057D"/>
    <w:rsid w:val="25220804"/>
    <w:rsid w:val="2531068D"/>
    <w:rsid w:val="255D565D"/>
    <w:rsid w:val="25656745"/>
    <w:rsid w:val="25727DAC"/>
    <w:rsid w:val="257C268E"/>
    <w:rsid w:val="25AA7AD4"/>
    <w:rsid w:val="25D80D97"/>
    <w:rsid w:val="25D81723"/>
    <w:rsid w:val="25E50240"/>
    <w:rsid w:val="260937CE"/>
    <w:rsid w:val="260D3E26"/>
    <w:rsid w:val="262B045D"/>
    <w:rsid w:val="262F5E56"/>
    <w:rsid w:val="263D0E2A"/>
    <w:rsid w:val="264F6618"/>
    <w:rsid w:val="26691012"/>
    <w:rsid w:val="266E0D1D"/>
    <w:rsid w:val="266F376A"/>
    <w:rsid w:val="268E425A"/>
    <w:rsid w:val="26AD5E2F"/>
    <w:rsid w:val="26B92F56"/>
    <w:rsid w:val="26BD775A"/>
    <w:rsid w:val="26CA4EA9"/>
    <w:rsid w:val="26E157D9"/>
    <w:rsid w:val="26EE5872"/>
    <w:rsid w:val="26F0476E"/>
    <w:rsid w:val="26F76D6B"/>
    <w:rsid w:val="2709311A"/>
    <w:rsid w:val="271C4339"/>
    <w:rsid w:val="27287F00"/>
    <w:rsid w:val="272E0923"/>
    <w:rsid w:val="274A1985"/>
    <w:rsid w:val="27657FB0"/>
    <w:rsid w:val="276915A8"/>
    <w:rsid w:val="2781405D"/>
    <w:rsid w:val="2793715B"/>
    <w:rsid w:val="27CD08D9"/>
    <w:rsid w:val="27CD6AF0"/>
    <w:rsid w:val="27DF44C3"/>
    <w:rsid w:val="27EE6DC3"/>
    <w:rsid w:val="280276BA"/>
    <w:rsid w:val="280B61C0"/>
    <w:rsid w:val="281548BE"/>
    <w:rsid w:val="2817512F"/>
    <w:rsid w:val="284A134E"/>
    <w:rsid w:val="28551227"/>
    <w:rsid w:val="285C3A03"/>
    <w:rsid w:val="2897184F"/>
    <w:rsid w:val="28A421F1"/>
    <w:rsid w:val="28AC5D49"/>
    <w:rsid w:val="28BE0537"/>
    <w:rsid w:val="28BF6404"/>
    <w:rsid w:val="28D77ECE"/>
    <w:rsid w:val="29396C32"/>
    <w:rsid w:val="293C6266"/>
    <w:rsid w:val="29937FFE"/>
    <w:rsid w:val="29A53546"/>
    <w:rsid w:val="29A96609"/>
    <w:rsid w:val="29CD631D"/>
    <w:rsid w:val="29D4102F"/>
    <w:rsid w:val="29D41EA1"/>
    <w:rsid w:val="29E11E96"/>
    <w:rsid w:val="29E87CCF"/>
    <w:rsid w:val="29E95AAA"/>
    <w:rsid w:val="29FB7D88"/>
    <w:rsid w:val="2A0D5D08"/>
    <w:rsid w:val="2A1113AD"/>
    <w:rsid w:val="2A136595"/>
    <w:rsid w:val="2A1A17A3"/>
    <w:rsid w:val="2A29653A"/>
    <w:rsid w:val="2A2C16BD"/>
    <w:rsid w:val="2A335A6F"/>
    <w:rsid w:val="2A375C26"/>
    <w:rsid w:val="2A3E0F2D"/>
    <w:rsid w:val="2A4B1F72"/>
    <w:rsid w:val="2A4E00BE"/>
    <w:rsid w:val="2A7862B9"/>
    <w:rsid w:val="2A9943F8"/>
    <w:rsid w:val="2AA80A1D"/>
    <w:rsid w:val="2ACE1AD5"/>
    <w:rsid w:val="2AD05D43"/>
    <w:rsid w:val="2AE941D7"/>
    <w:rsid w:val="2B01328B"/>
    <w:rsid w:val="2B085BA8"/>
    <w:rsid w:val="2B0B2174"/>
    <w:rsid w:val="2B104199"/>
    <w:rsid w:val="2B3B051E"/>
    <w:rsid w:val="2B43250A"/>
    <w:rsid w:val="2B481888"/>
    <w:rsid w:val="2BA20D75"/>
    <w:rsid w:val="2BA916E9"/>
    <w:rsid w:val="2BAB7C1B"/>
    <w:rsid w:val="2BAF299F"/>
    <w:rsid w:val="2BC94961"/>
    <w:rsid w:val="2BF42F40"/>
    <w:rsid w:val="2C3A5C76"/>
    <w:rsid w:val="2C456F22"/>
    <w:rsid w:val="2C4958B7"/>
    <w:rsid w:val="2C633215"/>
    <w:rsid w:val="2C6E6799"/>
    <w:rsid w:val="2C9B053D"/>
    <w:rsid w:val="2CC9271D"/>
    <w:rsid w:val="2CCC0D0C"/>
    <w:rsid w:val="2CD575BE"/>
    <w:rsid w:val="2CDC557B"/>
    <w:rsid w:val="2D081FC3"/>
    <w:rsid w:val="2D0830EF"/>
    <w:rsid w:val="2D0A5CD0"/>
    <w:rsid w:val="2D1D7A06"/>
    <w:rsid w:val="2D286676"/>
    <w:rsid w:val="2D323F34"/>
    <w:rsid w:val="2D5B65EA"/>
    <w:rsid w:val="2D5F7F7F"/>
    <w:rsid w:val="2D684463"/>
    <w:rsid w:val="2D73499D"/>
    <w:rsid w:val="2D7C5C5C"/>
    <w:rsid w:val="2DA54D64"/>
    <w:rsid w:val="2DA66CF6"/>
    <w:rsid w:val="2DC32AA7"/>
    <w:rsid w:val="2DD14601"/>
    <w:rsid w:val="2DD95DE5"/>
    <w:rsid w:val="2DEB1164"/>
    <w:rsid w:val="2DEE1837"/>
    <w:rsid w:val="2E0B3C17"/>
    <w:rsid w:val="2E0E7E91"/>
    <w:rsid w:val="2E1936AE"/>
    <w:rsid w:val="2E515FF0"/>
    <w:rsid w:val="2E583E6A"/>
    <w:rsid w:val="2E931BED"/>
    <w:rsid w:val="2E970698"/>
    <w:rsid w:val="2E9A78DD"/>
    <w:rsid w:val="2EA11B8C"/>
    <w:rsid w:val="2EB1741B"/>
    <w:rsid w:val="2EB513AE"/>
    <w:rsid w:val="2EBE1870"/>
    <w:rsid w:val="2EC17EC2"/>
    <w:rsid w:val="2EE4717D"/>
    <w:rsid w:val="2F1C72B3"/>
    <w:rsid w:val="2F366D83"/>
    <w:rsid w:val="2F3E752F"/>
    <w:rsid w:val="2F4B7E26"/>
    <w:rsid w:val="2F7210B7"/>
    <w:rsid w:val="2F8C4439"/>
    <w:rsid w:val="2FA37003"/>
    <w:rsid w:val="2FC9509C"/>
    <w:rsid w:val="2FEB30AA"/>
    <w:rsid w:val="301A6FA2"/>
    <w:rsid w:val="30291A13"/>
    <w:rsid w:val="30384415"/>
    <w:rsid w:val="305C56E5"/>
    <w:rsid w:val="30610921"/>
    <w:rsid w:val="30A109CE"/>
    <w:rsid w:val="30A90C0E"/>
    <w:rsid w:val="30CC53FA"/>
    <w:rsid w:val="30CF21A1"/>
    <w:rsid w:val="30E31CFE"/>
    <w:rsid w:val="30EC0F07"/>
    <w:rsid w:val="30F008C4"/>
    <w:rsid w:val="31154A18"/>
    <w:rsid w:val="313120A2"/>
    <w:rsid w:val="317C672F"/>
    <w:rsid w:val="31B41E12"/>
    <w:rsid w:val="31C64CB7"/>
    <w:rsid w:val="31F43127"/>
    <w:rsid w:val="31FE32E0"/>
    <w:rsid w:val="321502BA"/>
    <w:rsid w:val="323507EE"/>
    <w:rsid w:val="326C2157"/>
    <w:rsid w:val="328A3891"/>
    <w:rsid w:val="32AD6D00"/>
    <w:rsid w:val="32C722DC"/>
    <w:rsid w:val="32CF57B3"/>
    <w:rsid w:val="32EA3795"/>
    <w:rsid w:val="32FF5391"/>
    <w:rsid w:val="330B3CCA"/>
    <w:rsid w:val="33284634"/>
    <w:rsid w:val="335176B5"/>
    <w:rsid w:val="338A505E"/>
    <w:rsid w:val="339E4EBC"/>
    <w:rsid w:val="33B16621"/>
    <w:rsid w:val="33B36A61"/>
    <w:rsid w:val="33B40C5F"/>
    <w:rsid w:val="33C83E33"/>
    <w:rsid w:val="33D635B6"/>
    <w:rsid w:val="33D666E3"/>
    <w:rsid w:val="33E54CB2"/>
    <w:rsid w:val="33F93952"/>
    <w:rsid w:val="33F971D5"/>
    <w:rsid w:val="33FB4215"/>
    <w:rsid w:val="3402116D"/>
    <w:rsid w:val="340267E0"/>
    <w:rsid w:val="340E38F7"/>
    <w:rsid w:val="34153282"/>
    <w:rsid w:val="342033A2"/>
    <w:rsid w:val="342619BC"/>
    <w:rsid w:val="343953C0"/>
    <w:rsid w:val="343F0D74"/>
    <w:rsid w:val="34450E37"/>
    <w:rsid w:val="345B0236"/>
    <w:rsid w:val="346A078E"/>
    <w:rsid w:val="34765CC8"/>
    <w:rsid w:val="34774220"/>
    <w:rsid w:val="347B1782"/>
    <w:rsid w:val="34A336E4"/>
    <w:rsid w:val="34B44B0B"/>
    <w:rsid w:val="34B95E2C"/>
    <w:rsid w:val="34D128EE"/>
    <w:rsid w:val="34D8440D"/>
    <w:rsid w:val="34DE0975"/>
    <w:rsid w:val="34F42F93"/>
    <w:rsid w:val="350D0361"/>
    <w:rsid w:val="35115FBD"/>
    <w:rsid w:val="35176328"/>
    <w:rsid w:val="354C117F"/>
    <w:rsid w:val="3557388E"/>
    <w:rsid w:val="355B5B18"/>
    <w:rsid w:val="357069B7"/>
    <w:rsid w:val="35721C43"/>
    <w:rsid w:val="357B3F20"/>
    <w:rsid w:val="358305D1"/>
    <w:rsid w:val="358636D8"/>
    <w:rsid w:val="35AC461D"/>
    <w:rsid w:val="35AC7BF5"/>
    <w:rsid w:val="35DC4333"/>
    <w:rsid w:val="35F9471D"/>
    <w:rsid w:val="36052BA0"/>
    <w:rsid w:val="360A18A9"/>
    <w:rsid w:val="361E10D9"/>
    <w:rsid w:val="364B6B65"/>
    <w:rsid w:val="367F34D9"/>
    <w:rsid w:val="368D765C"/>
    <w:rsid w:val="3698771E"/>
    <w:rsid w:val="36B64520"/>
    <w:rsid w:val="36C1187F"/>
    <w:rsid w:val="36D10B7D"/>
    <w:rsid w:val="36E01197"/>
    <w:rsid w:val="36E85262"/>
    <w:rsid w:val="36E92171"/>
    <w:rsid w:val="36EC2A2B"/>
    <w:rsid w:val="36EC4BD9"/>
    <w:rsid w:val="36F6264D"/>
    <w:rsid w:val="36FD7B21"/>
    <w:rsid w:val="37124AB6"/>
    <w:rsid w:val="37156B28"/>
    <w:rsid w:val="372C7054"/>
    <w:rsid w:val="37393426"/>
    <w:rsid w:val="37420E9B"/>
    <w:rsid w:val="37524AE7"/>
    <w:rsid w:val="37581A7C"/>
    <w:rsid w:val="37676AF2"/>
    <w:rsid w:val="376C2ACB"/>
    <w:rsid w:val="376E08C8"/>
    <w:rsid w:val="37AF5C52"/>
    <w:rsid w:val="37C34B1B"/>
    <w:rsid w:val="37C44C8D"/>
    <w:rsid w:val="37C84E45"/>
    <w:rsid w:val="37CF521C"/>
    <w:rsid w:val="37DB5B28"/>
    <w:rsid w:val="37E22B4E"/>
    <w:rsid w:val="37E63556"/>
    <w:rsid w:val="37FC4DE7"/>
    <w:rsid w:val="38066DF7"/>
    <w:rsid w:val="380940FC"/>
    <w:rsid w:val="3814248D"/>
    <w:rsid w:val="381C311D"/>
    <w:rsid w:val="38227225"/>
    <w:rsid w:val="38256793"/>
    <w:rsid w:val="383E7BA0"/>
    <w:rsid w:val="384B6F0D"/>
    <w:rsid w:val="384D2BD3"/>
    <w:rsid w:val="388944AD"/>
    <w:rsid w:val="389A4D9E"/>
    <w:rsid w:val="38A61C26"/>
    <w:rsid w:val="38C11D4B"/>
    <w:rsid w:val="38C248E7"/>
    <w:rsid w:val="38C47AB0"/>
    <w:rsid w:val="38CA6FBC"/>
    <w:rsid w:val="38DA6CAA"/>
    <w:rsid w:val="38E057F5"/>
    <w:rsid w:val="38FA5906"/>
    <w:rsid w:val="38FB79F9"/>
    <w:rsid w:val="390629BC"/>
    <w:rsid w:val="39271B76"/>
    <w:rsid w:val="39432B7F"/>
    <w:rsid w:val="39666181"/>
    <w:rsid w:val="3987236F"/>
    <w:rsid w:val="39D21C81"/>
    <w:rsid w:val="39FF0D34"/>
    <w:rsid w:val="3A1D0867"/>
    <w:rsid w:val="3A3759D9"/>
    <w:rsid w:val="3A430EE5"/>
    <w:rsid w:val="3A4652C2"/>
    <w:rsid w:val="3A6B10EF"/>
    <w:rsid w:val="3A735DD4"/>
    <w:rsid w:val="3A913DB0"/>
    <w:rsid w:val="3A957169"/>
    <w:rsid w:val="3AA70248"/>
    <w:rsid w:val="3ABA7241"/>
    <w:rsid w:val="3AD2538F"/>
    <w:rsid w:val="3AE36D2F"/>
    <w:rsid w:val="3AE96733"/>
    <w:rsid w:val="3AEB72BD"/>
    <w:rsid w:val="3AF173C3"/>
    <w:rsid w:val="3AF9771C"/>
    <w:rsid w:val="3AFF5274"/>
    <w:rsid w:val="3B0D102E"/>
    <w:rsid w:val="3B227D0B"/>
    <w:rsid w:val="3B2D49E9"/>
    <w:rsid w:val="3B437F31"/>
    <w:rsid w:val="3B6904D3"/>
    <w:rsid w:val="3B9A6689"/>
    <w:rsid w:val="3BA90DDB"/>
    <w:rsid w:val="3BAA0D70"/>
    <w:rsid w:val="3BB86527"/>
    <w:rsid w:val="3BC56C8E"/>
    <w:rsid w:val="3BD21711"/>
    <w:rsid w:val="3BF8181B"/>
    <w:rsid w:val="3C1901D7"/>
    <w:rsid w:val="3C1D040D"/>
    <w:rsid w:val="3C2E5F4F"/>
    <w:rsid w:val="3C3B19C7"/>
    <w:rsid w:val="3C4877A4"/>
    <w:rsid w:val="3C8D23C3"/>
    <w:rsid w:val="3C907D69"/>
    <w:rsid w:val="3CBE5F54"/>
    <w:rsid w:val="3CCD7BCD"/>
    <w:rsid w:val="3CD45328"/>
    <w:rsid w:val="3D034D23"/>
    <w:rsid w:val="3D045B29"/>
    <w:rsid w:val="3D25605E"/>
    <w:rsid w:val="3D5316BA"/>
    <w:rsid w:val="3D6D6452"/>
    <w:rsid w:val="3D6E34D3"/>
    <w:rsid w:val="3D72526D"/>
    <w:rsid w:val="3D877213"/>
    <w:rsid w:val="3D883B84"/>
    <w:rsid w:val="3D8F24F1"/>
    <w:rsid w:val="3D936AF6"/>
    <w:rsid w:val="3DA36EE2"/>
    <w:rsid w:val="3DB01E3A"/>
    <w:rsid w:val="3DB520C9"/>
    <w:rsid w:val="3DCF6E25"/>
    <w:rsid w:val="3E266F05"/>
    <w:rsid w:val="3E423EEB"/>
    <w:rsid w:val="3E457F90"/>
    <w:rsid w:val="3E6B1FC3"/>
    <w:rsid w:val="3E6D50FB"/>
    <w:rsid w:val="3E802A97"/>
    <w:rsid w:val="3E8555DB"/>
    <w:rsid w:val="3E8A6C2A"/>
    <w:rsid w:val="3E9314B0"/>
    <w:rsid w:val="3EAA6689"/>
    <w:rsid w:val="3EAC49C6"/>
    <w:rsid w:val="3EC6567E"/>
    <w:rsid w:val="3ED0422C"/>
    <w:rsid w:val="3F0B7F27"/>
    <w:rsid w:val="3F102118"/>
    <w:rsid w:val="3F2C5AA0"/>
    <w:rsid w:val="3F6F5771"/>
    <w:rsid w:val="3F81691F"/>
    <w:rsid w:val="3F8E703B"/>
    <w:rsid w:val="3F9C524C"/>
    <w:rsid w:val="3FAC6406"/>
    <w:rsid w:val="3FBA03B6"/>
    <w:rsid w:val="3FCD4C09"/>
    <w:rsid w:val="3FEB336E"/>
    <w:rsid w:val="3FF4235A"/>
    <w:rsid w:val="3FFA3DD8"/>
    <w:rsid w:val="3FFC1167"/>
    <w:rsid w:val="401D1F2B"/>
    <w:rsid w:val="402569CB"/>
    <w:rsid w:val="4033445D"/>
    <w:rsid w:val="403E43F8"/>
    <w:rsid w:val="40472403"/>
    <w:rsid w:val="40480F06"/>
    <w:rsid w:val="40857CE9"/>
    <w:rsid w:val="4086576B"/>
    <w:rsid w:val="40934D82"/>
    <w:rsid w:val="40A21818"/>
    <w:rsid w:val="40EC510F"/>
    <w:rsid w:val="40F17018"/>
    <w:rsid w:val="41057E60"/>
    <w:rsid w:val="410A7F42"/>
    <w:rsid w:val="4111738F"/>
    <w:rsid w:val="411462D3"/>
    <w:rsid w:val="411844ED"/>
    <w:rsid w:val="411E6816"/>
    <w:rsid w:val="41226555"/>
    <w:rsid w:val="41380917"/>
    <w:rsid w:val="41501C29"/>
    <w:rsid w:val="415837C3"/>
    <w:rsid w:val="415B2AEB"/>
    <w:rsid w:val="416318D6"/>
    <w:rsid w:val="416757D2"/>
    <w:rsid w:val="417411D1"/>
    <w:rsid w:val="41761845"/>
    <w:rsid w:val="41956C70"/>
    <w:rsid w:val="419F3CB9"/>
    <w:rsid w:val="41B94863"/>
    <w:rsid w:val="41CE4514"/>
    <w:rsid w:val="41D322E9"/>
    <w:rsid w:val="41F60E45"/>
    <w:rsid w:val="420E772E"/>
    <w:rsid w:val="42112CF3"/>
    <w:rsid w:val="421C6B06"/>
    <w:rsid w:val="42312E06"/>
    <w:rsid w:val="423A3E0B"/>
    <w:rsid w:val="42706590"/>
    <w:rsid w:val="42732BD0"/>
    <w:rsid w:val="428F3314"/>
    <w:rsid w:val="42974A11"/>
    <w:rsid w:val="42A15FF5"/>
    <w:rsid w:val="42BF2C14"/>
    <w:rsid w:val="42DF5708"/>
    <w:rsid w:val="42E218AE"/>
    <w:rsid w:val="42E71A52"/>
    <w:rsid w:val="42F53491"/>
    <w:rsid w:val="43023801"/>
    <w:rsid w:val="43112896"/>
    <w:rsid w:val="432263B4"/>
    <w:rsid w:val="433724B6"/>
    <w:rsid w:val="43382755"/>
    <w:rsid w:val="43461A6B"/>
    <w:rsid w:val="434F46F6"/>
    <w:rsid w:val="4363770E"/>
    <w:rsid w:val="43652320"/>
    <w:rsid w:val="437801CC"/>
    <w:rsid w:val="438F5E4E"/>
    <w:rsid w:val="439F6AED"/>
    <w:rsid w:val="43AF5C17"/>
    <w:rsid w:val="43F30C8A"/>
    <w:rsid w:val="440414F6"/>
    <w:rsid w:val="440B1DB5"/>
    <w:rsid w:val="44301EFD"/>
    <w:rsid w:val="44371D56"/>
    <w:rsid w:val="443E59CC"/>
    <w:rsid w:val="444735D4"/>
    <w:rsid w:val="44516AA5"/>
    <w:rsid w:val="4456449F"/>
    <w:rsid w:val="44B25242"/>
    <w:rsid w:val="44C05883"/>
    <w:rsid w:val="44CE6DBE"/>
    <w:rsid w:val="45127C0E"/>
    <w:rsid w:val="45313B95"/>
    <w:rsid w:val="453155E3"/>
    <w:rsid w:val="453B0C21"/>
    <w:rsid w:val="45496AC2"/>
    <w:rsid w:val="455805DB"/>
    <w:rsid w:val="455B6F58"/>
    <w:rsid w:val="456055DE"/>
    <w:rsid w:val="457C4F0E"/>
    <w:rsid w:val="457D67E2"/>
    <w:rsid w:val="4590091B"/>
    <w:rsid w:val="45BF6C7C"/>
    <w:rsid w:val="45F3288B"/>
    <w:rsid w:val="45FA35DE"/>
    <w:rsid w:val="46087E19"/>
    <w:rsid w:val="460C19D8"/>
    <w:rsid w:val="464F4D60"/>
    <w:rsid w:val="469F1074"/>
    <w:rsid w:val="46A41819"/>
    <w:rsid w:val="46AA0752"/>
    <w:rsid w:val="46BC369C"/>
    <w:rsid w:val="46D92C4C"/>
    <w:rsid w:val="46F32B75"/>
    <w:rsid w:val="46F41277"/>
    <w:rsid w:val="46F8562E"/>
    <w:rsid w:val="4702058D"/>
    <w:rsid w:val="470569B7"/>
    <w:rsid w:val="472771CD"/>
    <w:rsid w:val="473B6742"/>
    <w:rsid w:val="47452DD7"/>
    <w:rsid w:val="47675D33"/>
    <w:rsid w:val="47797541"/>
    <w:rsid w:val="478C26EF"/>
    <w:rsid w:val="47962FFF"/>
    <w:rsid w:val="47972E45"/>
    <w:rsid w:val="47A50FC0"/>
    <w:rsid w:val="47AD27B0"/>
    <w:rsid w:val="47C93049"/>
    <w:rsid w:val="47CE37F5"/>
    <w:rsid w:val="47D351C4"/>
    <w:rsid w:val="47DA0D30"/>
    <w:rsid w:val="47EF30F9"/>
    <w:rsid w:val="481777C7"/>
    <w:rsid w:val="48226466"/>
    <w:rsid w:val="486446F1"/>
    <w:rsid w:val="488B4811"/>
    <w:rsid w:val="48A2464A"/>
    <w:rsid w:val="48B073CE"/>
    <w:rsid w:val="48C92A2E"/>
    <w:rsid w:val="48F30C2D"/>
    <w:rsid w:val="495906E1"/>
    <w:rsid w:val="49B90006"/>
    <w:rsid w:val="49B97E99"/>
    <w:rsid w:val="49BB2E23"/>
    <w:rsid w:val="49C865C5"/>
    <w:rsid w:val="49E91D4B"/>
    <w:rsid w:val="4A084DE0"/>
    <w:rsid w:val="4A0E18A4"/>
    <w:rsid w:val="4A2F488E"/>
    <w:rsid w:val="4A38353F"/>
    <w:rsid w:val="4A4D50A2"/>
    <w:rsid w:val="4A72473C"/>
    <w:rsid w:val="4A7A3EC9"/>
    <w:rsid w:val="4A7C0592"/>
    <w:rsid w:val="4AB443EC"/>
    <w:rsid w:val="4B066A41"/>
    <w:rsid w:val="4B157DFB"/>
    <w:rsid w:val="4B451190"/>
    <w:rsid w:val="4B4A3CB3"/>
    <w:rsid w:val="4B4D6262"/>
    <w:rsid w:val="4B733223"/>
    <w:rsid w:val="4B7B54E1"/>
    <w:rsid w:val="4B90101A"/>
    <w:rsid w:val="4B9F2748"/>
    <w:rsid w:val="4B9F39C3"/>
    <w:rsid w:val="4BA66581"/>
    <w:rsid w:val="4BD36A8B"/>
    <w:rsid w:val="4BE36E91"/>
    <w:rsid w:val="4BE54313"/>
    <w:rsid w:val="4BE8304A"/>
    <w:rsid w:val="4C1E46ED"/>
    <w:rsid w:val="4C263044"/>
    <w:rsid w:val="4C2A4CC4"/>
    <w:rsid w:val="4C3A4044"/>
    <w:rsid w:val="4C411429"/>
    <w:rsid w:val="4C577CFD"/>
    <w:rsid w:val="4C6A6076"/>
    <w:rsid w:val="4C783B02"/>
    <w:rsid w:val="4CA11607"/>
    <w:rsid w:val="4CB272E7"/>
    <w:rsid w:val="4CB701C3"/>
    <w:rsid w:val="4CD43C4B"/>
    <w:rsid w:val="4CD7073A"/>
    <w:rsid w:val="4CD72E37"/>
    <w:rsid w:val="4CE4720A"/>
    <w:rsid w:val="4D161219"/>
    <w:rsid w:val="4D1A405B"/>
    <w:rsid w:val="4D3764FA"/>
    <w:rsid w:val="4D4E0E5A"/>
    <w:rsid w:val="4D4E5AE9"/>
    <w:rsid w:val="4D62263A"/>
    <w:rsid w:val="4D7D24F6"/>
    <w:rsid w:val="4DA958EE"/>
    <w:rsid w:val="4DAD60FD"/>
    <w:rsid w:val="4DBF3E19"/>
    <w:rsid w:val="4DD11B0D"/>
    <w:rsid w:val="4DD728CB"/>
    <w:rsid w:val="4DEF230B"/>
    <w:rsid w:val="4DF62B2E"/>
    <w:rsid w:val="4E125FF9"/>
    <w:rsid w:val="4E1933B6"/>
    <w:rsid w:val="4E412327"/>
    <w:rsid w:val="4E415CB9"/>
    <w:rsid w:val="4E4D0205"/>
    <w:rsid w:val="4E4D4CDD"/>
    <w:rsid w:val="4E830053"/>
    <w:rsid w:val="4E9B0304"/>
    <w:rsid w:val="4EC97B4E"/>
    <w:rsid w:val="4F024149"/>
    <w:rsid w:val="4F0A0A7E"/>
    <w:rsid w:val="4F0E2841"/>
    <w:rsid w:val="4F124ACB"/>
    <w:rsid w:val="4F203DE0"/>
    <w:rsid w:val="4F234637"/>
    <w:rsid w:val="4F25276D"/>
    <w:rsid w:val="4F3B240C"/>
    <w:rsid w:val="4F653250"/>
    <w:rsid w:val="4F863785"/>
    <w:rsid w:val="4FB41F03"/>
    <w:rsid w:val="4FC04797"/>
    <w:rsid w:val="4FC92795"/>
    <w:rsid w:val="4FD23C92"/>
    <w:rsid w:val="4FF172FE"/>
    <w:rsid w:val="4FF84D98"/>
    <w:rsid w:val="50182CF3"/>
    <w:rsid w:val="502344EE"/>
    <w:rsid w:val="502A3C7E"/>
    <w:rsid w:val="504D156B"/>
    <w:rsid w:val="504F41FF"/>
    <w:rsid w:val="5055227C"/>
    <w:rsid w:val="506B057F"/>
    <w:rsid w:val="506B6E54"/>
    <w:rsid w:val="50863327"/>
    <w:rsid w:val="508E2ED2"/>
    <w:rsid w:val="50971750"/>
    <w:rsid w:val="50C958FC"/>
    <w:rsid w:val="50FB0967"/>
    <w:rsid w:val="51480E67"/>
    <w:rsid w:val="51910362"/>
    <w:rsid w:val="51A75A02"/>
    <w:rsid w:val="51B30516"/>
    <w:rsid w:val="51C365B2"/>
    <w:rsid w:val="51F2387E"/>
    <w:rsid w:val="51F637C0"/>
    <w:rsid w:val="521C11F4"/>
    <w:rsid w:val="523656FB"/>
    <w:rsid w:val="525C358A"/>
    <w:rsid w:val="5295070D"/>
    <w:rsid w:val="52D52BDD"/>
    <w:rsid w:val="52DE0816"/>
    <w:rsid w:val="53072069"/>
    <w:rsid w:val="53224704"/>
    <w:rsid w:val="532D3482"/>
    <w:rsid w:val="534B2BB6"/>
    <w:rsid w:val="534F5D39"/>
    <w:rsid w:val="53804457"/>
    <w:rsid w:val="53837489"/>
    <w:rsid w:val="538D6950"/>
    <w:rsid w:val="53A120AD"/>
    <w:rsid w:val="53D21C5C"/>
    <w:rsid w:val="53DD19F2"/>
    <w:rsid w:val="53E2646E"/>
    <w:rsid w:val="5400037C"/>
    <w:rsid w:val="54155B02"/>
    <w:rsid w:val="54216091"/>
    <w:rsid w:val="54227587"/>
    <w:rsid w:val="54264F20"/>
    <w:rsid w:val="54327859"/>
    <w:rsid w:val="544934BC"/>
    <w:rsid w:val="545333E8"/>
    <w:rsid w:val="545B65B6"/>
    <w:rsid w:val="546014B0"/>
    <w:rsid w:val="5476101E"/>
    <w:rsid w:val="54B80B8E"/>
    <w:rsid w:val="54CB3308"/>
    <w:rsid w:val="54E37454"/>
    <w:rsid w:val="55060EA4"/>
    <w:rsid w:val="550F159D"/>
    <w:rsid w:val="552B6361"/>
    <w:rsid w:val="559E4304"/>
    <w:rsid w:val="55A2658D"/>
    <w:rsid w:val="55CD253C"/>
    <w:rsid w:val="55F66200"/>
    <w:rsid w:val="55FF3632"/>
    <w:rsid w:val="56325EB0"/>
    <w:rsid w:val="56363620"/>
    <w:rsid w:val="563C3F8B"/>
    <w:rsid w:val="565F63F7"/>
    <w:rsid w:val="56687250"/>
    <w:rsid w:val="566B5FD6"/>
    <w:rsid w:val="566F215C"/>
    <w:rsid w:val="56744D6B"/>
    <w:rsid w:val="56781A69"/>
    <w:rsid w:val="568B7EF7"/>
    <w:rsid w:val="56B21A8B"/>
    <w:rsid w:val="56B4179F"/>
    <w:rsid w:val="56B96BDD"/>
    <w:rsid w:val="56E77CA7"/>
    <w:rsid w:val="56EA18C1"/>
    <w:rsid w:val="57063943"/>
    <w:rsid w:val="570B06B0"/>
    <w:rsid w:val="5719684B"/>
    <w:rsid w:val="57245405"/>
    <w:rsid w:val="573115C7"/>
    <w:rsid w:val="57335A1F"/>
    <w:rsid w:val="573E3E5E"/>
    <w:rsid w:val="574D65C9"/>
    <w:rsid w:val="57523D5E"/>
    <w:rsid w:val="577A0F6F"/>
    <w:rsid w:val="577A32A4"/>
    <w:rsid w:val="578B318E"/>
    <w:rsid w:val="579A7DFD"/>
    <w:rsid w:val="57AB5DEA"/>
    <w:rsid w:val="57C542D0"/>
    <w:rsid w:val="57CB0B46"/>
    <w:rsid w:val="57E728B2"/>
    <w:rsid w:val="58132B0F"/>
    <w:rsid w:val="582430F6"/>
    <w:rsid w:val="58247055"/>
    <w:rsid w:val="583A4F4D"/>
    <w:rsid w:val="584067C8"/>
    <w:rsid w:val="584C0AF3"/>
    <w:rsid w:val="58626111"/>
    <w:rsid w:val="58A33843"/>
    <w:rsid w:val="58A91308"/>
    <w:rsid w:val="58B93B59"/>
    <w:rsid w:val="58D366F7"/>
    <w:rsid w:val="58E65065"/>
    <w:rsid w:val="5900185E"/>
    <w:rsid w:val="590D6E8C"/>
    <w:rsid w:val="591C41D0"/>
    <w:rsid w:val="59262959"/>
    <w:rsid w:val="59284BD5"/>
    <w:rsid w:val="59342BE6"/>
    <w:rsid w:val="59514715"/>
    <w:rsid w:val="59704E8B"/>
    <w:rsid w:val="597F36D0"/>
    <w:rsid w:val="5982256A"/>
    <w:rsid w:val="599F0140"/>
    <w:rsid w:val="59A321FB"/>
    <w:rsid w:val="59BC6FB1"/>
    <w:rsid w:val="59C15E16"/>
    <w:rsid w:val="59C36FD2"/>
    <w:rsid w:val="59C8485C"/>
    <w:rsid w:val="59D423B5"/>
    <w:rsid w:val="59E54BD6"/>
    <w:rsid w:val="59E621F6"/>
    <w:rsid w:val="59F62CA4"/>
    <w:rsid w:val="59FC710A"/>
    <w:rsid w:val="5A6C083F"/>
    <w:rsid w:val="5A8C0EE1"/>
    <w:rsid w:val="5A9C05BE"/>
    <w:rsid w:val="5AB343A9"/>
    <w:rsid w:val="5AB96265"/>
    <w:rsid w:val="5AC70DFE"/>
    <w:rsid w:val="5AD1390C"/>
    <w:rsid w:val="5AD45F10"/>
    <w:rsid w:val="5AE23BA6"/>
    <w:rsid w:val="5AF740CB"/>
    <w:rsid w:val="5AFE34D7"/>
    <w:rsid w:val="5B033DE0"/>
    <w:rsid w:val="5B0D58F3"/>
    <w:rsid w:val="5B3A7AB8"/>
    <w:rsid w:val="5B467289"/>
    <w:rsid w:val="5B495E11"/>
    <w:rsid w:val="5B527A35"/>
    <w:rsid w:val="5B642099"/>
    <w:rsid w:val="5B6A0607"/>
    <w:rsid w:val="5B7C5BCD"/>
    <w:rsid w:val="5B814BC6"/>
    <w:rsid w:val="5B9F1FEC"/>
    <w:rsid w:val="5BC37CD6"/>
    <w:rsid w:val="5BCA3E9C"/>
    <w:rsid w:val="5BDC37A3"/>
    <w:rsid w:val="5BE31FAD"/>
    <w:rsid w:val="5BF4552F"/>
    <w:rsid w:val="5BFE3301"/>
    <w:rsid w:val="5C3F0DD7"/>
    <w:rsid w:val="5C481E32"/>
    <w:rsid w:val="5C586C41"/>
    <w:rsid w:val="5C6575A6"/>
    <w:rsid w:val="5CC450FD"/>
    <w:rsid w:val="5CCA21AF"/>
    <w:rsid w:val="5CCE682E"/>
    <w:rsid w:val="5CF45691"/>
    <w:rsid w:val="5CF64FE0"/>
    <w:rsid w:val="5D19335A"/>
    <w:rsid w:val="5D290029"/>
    <w:rsid w:val="5D39568C"/>
    <w:rsid w:val="5D481D97"/>
    <w:rsid w:val="5D557DB6"/>
    <w:rsid w:val="5D63582F"/>
    <w:rsid w:val="5D6E6564"/>
    <w:rsid w:val="5D717950"/>
    <w:rsid w:val="5D8B3091"/>
    <w:rsid w:val="5DA600AE"/>
    <w:rsid w:val="5DA803D0"/>
    <w:rsid w:val="5DA8080C"/>
    <w:rsid w:val="5DB16F78"/>
    <w:rsid w:val="5DE828D3"/>
    <w:rsid w:val="5DF55733"/>
    <w:rsid w:val="5DFE3E44"/>
    <w:rsid w:val="5E302094"/>
    <w:rsid w:val="5E6C650C"/>
    <w:rsid w:val="5E79352B"/>
    <w:rsid w:val="5E797F0A"/>
    <w:rsid w:val="5E844274"/>
    <w:rsid w:val="5EA345D2"/>
    <w:rsid w:val="5EA361A9"/>
    <w:rsid w:val="5EA526ED"/>
    <w:rsid w:val="5EC6388D"/>
    <w:rsid w:val="5ED5571C"/>
    <w:rsid w:val="5EDA221B"/>
    <w:rsid w:val="5EEC4F77"/>
    <w:rsid w:val="5EF26EF3"/>
    <w:rsid w:val="5F1D429B"/>
    <w:rsid w:val="5F261328"/>
    <w:rsid w:val="5F304531"/>
    <w:rsid w:val="5F3833B6"/>
    <w:rsid w:val="5F50294A"/>
    <w:rsid w:val="5F984D27"/>
    <w:rsid w:val="5F9E0D68"/>
    <w:rsid w:val="5FA2445B"/>
    <w:rsid w:val="5FBA204D"/>
    <w:rsid w:val="5FD614CB"/>
    <w:rsid w:val="5FEA016C"/>
    <w:rsid w:val="5FF26453"/>
    <w:rsid w:val="60067040"/>
    <w:rsid w:val="600A0901"/>
    <w:rsid w:val="6037413E"/>
    <w:rsid w:val="605B10D6"/>
    <w:rsid w:val="606F4BE5"/>
    <w:rsid w:val="607E5EBF"/>
    <w:rsid w:val="609D79A4"/>
    <w:rsid w:val="60DE021F"/>
    <w:rsid w:val="61130ED3"/>
    <w:rsid w:val="611B5FA5"/>
    <w:rsid w:val="61254999"/>
    <w:rsid w:val="614C4741"/>
    <w:rsid w:val="61557884"/>
    <w:rsid w:val="616B7363"/>
    <w:rsid w:val="61722E3F"/>
    <w:rsid w:val="617F6FDD"/>
    <w:rsid w:val="618A1E17"/>
    <w:rsid w:val="61A27589"/>
    <w:rsid w:val="61B6615E"/>
    <w:rsid w:val="620A38F1"/>
    <w:rsid w:val="62222A43"/>
    <w:rsid w:val="625649E2"/>
    <w:rsid w:val="627A171F"/>
    <w:rsid w:val="628E03BF"/>
    <w:rsid w:val="62C32680"/>
    <w:rsid w:val="62C33180"/>
    <w:rsid w:val="62E6236E"/>
    <w:rsid w:val="62EF7893"/>
    <w:rsid w:val="62FB2F72"/>
    <w:rsid w:val="63194F67"/>
    <w:rsid w:val="63267639"/>
    <w:rsid w:val="63300E30"/>
    <w:rsid w:val="63311CA3"/>
    <w:rsid w:val="63360E91"/>
    <w:rsid w:val="63482DE9"/>
    <w:rsid w:val="634A2CF1"/>
    <w:rsid w:val="634C61F4"/>
    <w:rsid w:val="63714235"/>
    <w:rsid w:val="63876A24"/>
    <w:rsid w:val="63A47F08"/>
    <w:rsid w:val="63CF56AB"/>
    <w:rsid w:val="63D40DBB"/>
    <w:rsid w:val="63E16B6A"/>
    <w:rsid w:val="644B07F3"/>
    <w:rsid w:val="647372DB"/>
    <w:rsid w:val="647A42FD"/>
    <w:rsid w:val="648E2EB6"/>
    <w:rsid w:val="64A70A2F"/>
    <w:rsid w:val="64A728F6"/>
    <w:rsid w:val="64B66ACB"/>
    <w:rsid w:val="64BB2AEF"/>
    <w:rsid w:val="64C859FF"/>
    <w:rsid w:val="64D1360C"/>
    <w:rsid w:val="651313E3"/>
    <w:rsid w:val="652C52F4"/>
    <w:rsid w:val="652E506F"/>
    <w:rsid w:val="653E102A"/>
    <w:rsid w:val="654A70CD"/>
    <w:rsid w:val="655172C0"/>
    <w:rsid w:val="65581E3A"/>
    <w:rsid w:val="65620BB8"/>
    <w:rsid w:val="65694702"/>
    <w:rsid w:val="657A208C"/>
    <w:rsid w:val="65837118"/>
    <w:rsid w:val="65911CB1"/>
    <w:rsid w:val="6591642E"/>
    <w:rsid w:val="6598163C"/>
    <w:rsid w:val="65A039D5"/>
    <w:rsid w:val="65F91B21"/>
    <w:rsid w:val="65FA27E1"/>
    <w:rsid w:val="65FE01BF"/>
    <w:rsid w:val="66092250"/>
    <w:rsid w:val="660B4195"/>
    <w:rsid w:val="66250CC5"/>
    <w:rsid w:val="662B662D"/>
    <w:rsid w:val="6659611C"/>
    <w:rsid w:val="66612495"/>
    <w:rsid w:val="66650F2C"/>
    <w:rsid w:val="66696956"/>
    <w:rsid w:val="666F7FFA"/>
    <w:rsid w:val="6676201F"/>
    <w:rsid w:val="667F2833"/>
    <w:rsid w:val="66960CB8"/>
    <w:rsid w:val="6703659D"/>
    <w:rsid w:val="67097EC2"/>
    <w:rsid w:val="673C1CED"/>
    <w:rsid w:val="675C6134"/>
    <w:rsid w:val="6764121C"/>
    <w:rsid w:val="676D5B4E"/>
    <w:rsid w:val="67712BA2"/>
    <w:rsid w:val="678149E0"/>
    <w:rsid w:val="678B5712"/>
    <w:rsid w:val="67B24F5F"/>
    <w:rsid w:val="67C30DCD"/>
    <w:rsid w:val="67C52604"/>
    <w:rsid w:val="67D842D2"/>
    <w:rsid w:val="67EE7592"/>
    <w:rsid w:val="680B32BF"/>
    <w:rsid w:val="681E39DA"/>
    <w:rsid w:val="68295E9C"/>
    <w:rsid w:val="68344483"/>
    <w:rsid w:val="68696EDC"/>
    <w:rsid w:val="686D205F"/>
    <w:rsid w:val="687C00FB"/>
    <w:rsid w:val="68845507"/>
    <w:rsid w:val="689A2813"/>
    <w:rsid w:val="68A747C2"/>
    <w:rsid w:val="68AB1D20"/>
    <w:rsid w:val="68AB69D7"/>
    <w:rsid w:val="68B223CB"/>
    <w:rsid w:val="68B6083A"/>
    <w:rsid w:val="68CA6ECD"/>
    <w:rsid w:val="68D31FD3"/>
    <w:rsid w:val="68E15FAD"/>
    <w:rsid w:val="68E464B8"/>
    <w:rsid w:val="69286015"/>
    <w:rsid w:val="6937082E"/>
    <w:rsid w:val="6938470E"/>
    <w:rsid w:val="695B1CE7"/>
    <w:rsid w:val="69657443"/>
    <w:rsid w:val="698C468F"/>
    <w:rsid w:val="69A27EDD"/>
    <w:rsid w:val="69A411D5"/>
    <w:rsid w:val="69C6294A"/>
    <w:rsid w:val="69E8123A"/>
    <w:rsid w:val="69ED7058"/>
    <w:rsid w:val="6A294973"/>
    <w:rsid w:val="6A505A77"/>
    <w:rsid w:val="6A6D2E29"/>
    <w:rsid w:val="6A763739"/>
    <w:rsid w:val="6A7E0B45"/>
    <w:rsid w:val="6A9B2674"/>
    <w:rsid w:val="6AB14817"/>
    <w:rsid w:val="6ABB2BA8"/>
    <w:rsid w:val="6AC33838"/>
    <w:rsid w:val="6ACA31C3"/>
    <w:rsid w:val="6ACD5011"/>
    <w:rsid w:val="6AF6750A"/>
    <w:rsid w:val="6B2B49EC"/>
    <w:rsid w:val="6B2C421B"/>
    <w:rsid w:val="6B3B477B"/>
    <w:rsid w:val="6B525E41"/>
    <w:rsid w:val="6B772D94"/>
    <w:rsid w:val="6BC51DB4"/>
    <w:rsid w:val="6BC95AF1"/>
    <w:rsid w:val="6BD2051B"/>
    <w:rsid w:val="6BDA2313"/>
    <w:rsid w:val="6BF264A8"/>
    <w:rsid w:val="6C0A3B4F"/>
    <w:rsid w:val="6C303D8F"/>
    <w:rsid w:val="6C3102B5"/>
    <w:rsid w:val="6C38647F"/>
    <w:rsid w:val="6C442A2F"/>
    <w:rsid w:val="6C532A05"/>
    <w:rsid w:val="6C606ADC"/>
    <w:rsid w:val="6C642F64"/>
    <w:rsid w:val="6CB76942"/>
    <w:rsid w:val="6CC944F5"/>
    <w:rsid w:val="6CD50C99"/>
    <w:rsid w:val="6CE83B5A"/>
    <w:rsid w:val="6D094627"/>
    <w:rsid w:val="6D50663D"/>
    <w:rsid w:val="6D5264B7"/>
    <w:rsid w:val="6D5C5784"/>
    <w:rsid w:val="6DAB0290"/>
    <w:rsid w:val="6DB467B4"/>
    <w:rsid w:val="6DDF6A33"/>
    <w:rsid w:val="6DE02450"/>
    <w:rsid w:val="6DEA5FEF"/>
    <w:rsid w:val="6E035624"/>
    <w:rsid w:val="6E0D4219"/>
    <w:rsid w:val="6E112C1F"/>
    <w:rsid w:val="6E1703AC"/>
    <w:rsid w:val="6E1F0645"/>
    <w:rsid w:val="6E255143"/>
    <w:rsid w:val="6E282F2E"/>
    <w:rsid w:val="6E2F12D6"/>
    <w:rsid w:val="6E3C42EE"/>
    <w:rsid w:val="6E3D7C81"/>
    <w:rsid w:val="6E421B8B"/>
    <w:rsid w:val="6E4224F5"/>
    <w:rsid w:val="6E6E0DBB"/>
    <w:rsid w:val="6E71191E"/>
    <w:rsid w:val="6E835E33"/>
    <w:rsid w:val="6E894E68"/>
    <w:rsid w:val="6EB13208"/>
    <w:rsid w:val="6EDF4571"/>
    <w:rsid w:val="6EFD4887"/>
    <w:rsid w:val="6F0542CD"/>
    <w:rsid w:val="6F0751E9"/>
    <w:rsid w:val="6F0B61E0"/>
    <w:rsid w:val="6F2140E1"/>
    <w:rsid w:val="6F2B4165"/>
    <w:rsid w:val="6F3D2543"/>
    <w:rsid w:val="6F44559B"/>
    <w:rsid w:val="6F601648"/>
    <w:rsid w:val="6F9F55A7"/>
    <w:rsid w:val="6FA44C10"/>
    <w:rsid w:val="70000F4F"/>
    <w:rsid w:val="70027CCC"/>
    <w:rsid w:val="701C0B90"/>
    <w:rsid w:val="702D2621"/>
    <w:rsid w:val="70323D1C"/>
    <w:rsid w:val="703A6DAC"/>
    <w:rsid w:val="705F3769"/>
    <w:rsid w:val="70657410"/>
    <w:rsid w:val="70690C0F"/>
    <w:rsid w:val="70920422"/>
    <w:rsid w:val="70993CAA"/>
    <w:rsid w:val="70A01FD4"/>
    <w:rsid w:val="70B64178"/>
    <w:rsid w:val="70C51620"/>
    <w:rsid w:val="70CD6084"/>
    <w:rsid w:val="70CE3026"/>
    <w:rsid w:val="70DE7FD0"/>
    <w:rsid w:val="70F36F72"/>
    <w:rsid w:val="71010902"/>
    <w:rsid w:val="710A1A0C"/>
    <w:rsid w:val="71372239"/>
    <w:rsid w:val="719312C5"/>
    <w:rsid w:val="71A74D85"/>
    <w:rsid w:val="71BE777B"/>
    <w:rsid w:val="71C54335"/>
    <w:rsid w:val="71C72A60"/>
    <w:rsid w:val="71CB623E"/>
    <w:rsid w:val="71CD1741"/>
    <w:rsid w:val="71E93270"/>
    <w:rsid w:val="72005413"/>
    <w:rsid w:val="72064D9E"/>
    <w:rsid w:val="7214195A"/>
    <w:rsid w:val="72236799"/>
    <w:rsid w:val="723B546C"/>
    <w:rsid w:val="7251239D"/>
    <w:rsid w:val="72652BB9"/>
    <w:rsid w:val="726978B2"/>
    <w:rsid w:val="726C7FC6"/>
    <w:rsid w:val="728265C9"/>
    <w:rsid w:val="72910586"/>
    <w:rsid w:val="72953F7F"/>
    <w:rsid w:val="72987625"/>
    <w:rsid w:val="72AC078A"/>
    <w:rsid w:val="72B3073A"/>
    <w:rsid w:val="72FA3A89"/>
    <w:rsid w:val="730162BB"/>
    <w:rsid w:val="73031035"/>
    <w:rsid w:val="731B26E8"/>
    <w:rsid w:val="73234271"/>
    <w:rsid w:val="73247774"/>
    <w:rsid w:val="73614861"/>
    <w:rsid w:val="73785000"/>
    <w:rsid w:val="73841508"/>
    <w:rsid w:val="73846842"/>
    <w:rsid w:val="739545B0"/>
    <w:rsid w:val="73A027B5"/>
    <w:rsid w:val="73A155A6"/>
    <w:rsid w:val="73CD470A"/>
    <w:rsid w:val="73E258C6"/>
    <w:rsid w:val="73E75407"/>
    <w:rsid w:val="740F09F7"/>
    <w:rsid w:val="743069AD"/>
    <w:rsid w:val="74470365"/>
    <w:rsid w:val="744F28C2"/>
    <w:rsid w:val="747C5BF8"/>
    <w:rsid w:val="74822F34"/>
    <w:rsid w:val="749B5AF0"/>
    <w:rsid w:val="74FD4A5E"/>
    <w:rsid w:val="7502776C"/>
    <w:rsid w:val="75071C0D"/>
    <w:rsid w:val="75075D1A"/>
    <w:rsid w:val="75117320"/>
    <w:rsid w:val="75145A20"/>
    <w:rsid w:val="75155D26"/>
    <w:rsid w:val="754376F5"/>
    <w:rsid w:val="75641328"/>
    <w:rsid w:val="756E14B8"/>
    <w:rsid w:val="757F08BE"/>
    <w:rsid w:val="758075D4"/>
    <w:rsid w:val="75882536"/>
    <w:rsid w:val="75A02087"/>
    <w:rsid w:val="75B30CF2"/>
    <w:rsid w:val="75C95BA2"/>
    <w:rsid w:val="75DB1A62"/>
    <w:rsid w:val="75E07EB5"/>
    <w:rsid w:val="75E2118E"/>
    <w:rsid w:val="75E615E5"/>
    <w:rsid w:val="76035D5D"/>
    <w:rsid w:val="760B02B9"/>
    <w:rsid w:val="76175C84"/>
    <w:rsid w:val="761A6B02"/>
    <w:rsid w:val="7629236B"/>
    <w:rsid w:val="76567EA9"/>
    <w:rsid w:val="76571BB5"/>
    <w:rsid w:val="766C1E9B"/>
    <w:rsid w:val="76756226"/>
    <w:rsid w:val="767A5183"/>
    <w:rsid w:val="7687799F"/>
    <w:rsid w:val="769B6E27"/>
    <w:rsid w:val="76BA6056"/>
    <w:rsid w:val="76DC4811"/>
    <w:rsid w:val="76E6019F"/>
    <w:rsid w:val="76F06B8A"/>
    <w:rsid w:val="76F8173F"/>
    <w:rsid w:val="76FB26C3"/>
    <w:rsid w:val="77026D1D"/>
    <w:rsid w:val="771D60FB"/>
    <w:rsid w:val="77642174"/>
    <w:rsid w:val="777C610E"/>
    <w:rsid w:val="77B804F8"/>
    <w:rsid w:val="77F56A76"/>
    <w:rsid w:val="7805203C"/>
    <w:rsid w:val="782E17BB"/>
    <w:rsid w:val="78387B4C"/>
    <w:rsid w:val="78667E7E"/>
    <w:rsid w:val="78677764"/>
    <w:rsid w:val="786F2225"/>
    <w:rsid w:val="787D40D1"/>
    <w:rsid w:val="787E4A3E"/>
    <w:rsid w:val="78957EA1"/>
    <w:rsid w:val="78BE767E"/>
    <w:rsid w:val="78CB3CCF"/>
    <w:rsid w:val="78D15FE5"/>
    <w:rsid w:val="78D24459"/>
    <w:rsid w:val="78D307B3"/>
    <w:rsid w:val="78D93E53"/>
    <w:rsid w:val="78DD7703"/>
    <w:rsid w:val="78EB75F0"/>
    <w:rsid w:val="78EF1B37"/>
    <w:rsid w:val="78FC618F"/>
    <w:rsid w:val="790434F4"/>
    <w:rsid w:val="79335F14"/>
    <w:rsid w:val="79361E7A"/>
    <w:rsid w:val="793A00B7"/>
    <w:rsid w:val="79462582"/>
    <w:rsid w:val="795409C4"/>
    <w:rsid w:val="796D46C6"/>
    <w:rsid w:val="7970626C"/>
    <w:rsid w:val="7987746E"/>
    <w:rsid w:val="798E6DF9"/>
    <w:rsid w:val="799263D1"/>
    <w:rsid w:val="799D3077"/>
    <w:rsid w:val="79CB2375"/>
    <w:rsid w:val="79CD2C51"/>
    <w:rsid w:val="79E5308B"/>
    <w:rsid w:val="79F12B2E"/>
    <w:rsid w:val="7A4B62B3"/>
    <w:rsid w:val="7A5B4A6C"/>
    <w:rsid w:val="7A62424F"/>
    <w:rsid w:val="7A9A6032"/>
    <w:rsid w:val="7A9B1612"/>
    <w:rsid w:val="7AB90597"/>
    <w:rsid w:val="7AC878BC"/>
    <w:rsid w:val="7AD47110"/>
    <w:rsid w:val="7AFB3808"/>
    <w:rsid w:val="7B071335"/>
    <w:rsid w:val="7B1027D0"/>
    <w:rsid w:val="7B250611"/>
    <w:rsid w:val="7B272E84"/>
    <w:rsid w:val="7B2A209D"/>
    <w:rsid w:val="7B5E3882"/>
    <w:rsid w:val="7B734C4A"/>
    <w:rsid w:val="7B8533B0"/>
    <w:rsid w:val="7BBE2911"/>
    <w:rsid w:val="7BC86433"/>
    <w:rsid w:val="7BD8340F"/>
    <w:rsid w:val="7BFF337A"/>
    <w:rsid w:val="7C1A14ED"/>
    <w:rsid w:val="7C1B42C4"/>
    <w:rsid w:val="7C227284"/>
    <w:rsid w:val="7C35200E"/>
    <w:rsid w:val="7C485334"/>
    <w:rsid w:val="7C696FE1"/>
    <w:rsid w:val="7C800451"/>
    <w:rsid w:val="7C871BB8"/>
    <w:rsid w:val="7CAF2A45"/>
    <w:rsid w:val="7CB06FE2"/>
    <w:rsid w:val="7CB142EB"/>
    <w:rsid w:val="7CFB70AE"/>
    <w:rsid w:val="7D08162E"/>
    <w:rsid w:val="7D0A41BC"/>
    <w:rsid w:val="7D25315D"/>
    <w:rsid w:val="7D2F6B6B"/>
    <w:rsid w:val="7D471002"/>
    <w:rsid w:val="7D4770F7"/>
    <w:rsid w:val="7D522CB5"/>
    <w:rsid w:val="7D6F1EC6"/>
    <w:rsid w:val="7D703A3C"/>
    <w:rsid w:val="7D7A65F0"/>
    <w:rsid w:val="7D957F29"/>
    <w:rsid w:val="7DB52379"/>
    <w:rsid w:val="7DEA082B"/>
    <w:rsid w:val="7E237DA9"/>
    <w:rsid w:val="7E30009B"/>
    <w:rsid w:val="7E34331A"/>
    <w:rsid w:val="7E451036"/>
    <w:rsid w:val="7E66065A"/>
    <w:rsid w:val="7E6B2A8A"/>
    <w:rsid w:val="7E8F01B1"/>
    <w:rsid w:val="7EB23BE8"/>
    <w:rsid w:val="7ED72872"/>
    <w:rsid w:val="7EE556FE"/>
    <w:rsid w:val="7F194886"/>
    <w:rsid w:val="7F600889"/>
    <w:rsid w:val="7F602A87"/>
    <w:rsid w:val="7F8B711C"/>
    <w:rsid w:val="7F9C4E6B"/>
    <w:rsid w:val="7FB22330"/>
    <w:rsid w:val="7FBA7C9E"/>
    <w:rsid w:val="7FC33B94"/>
    <w:rsid w:val="7FE3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5"/>
    <w:qFormat/>
    <w:uiPriority w:val="0"/>
    <w:pPr>
      <w:keepNext/>
      <w:keepLines/>
      <w:spacing w:line="360" w:lineRule="auto"/>
      <w:jc w:val="center"/>
      <w:outlineLvl w:val="0"/>
    </w:pPr>
    <w:rPr>
      <w:b/>
      <w:bCs/>
      <w:kern w:val="44"/>
      <w:sz w:val="32"/>
      <w:szCs w:val="44"/>
    </w:rPr>
  </w:style>
  <w:style w:type="paragraph" w:styleId="4">
    <w:name w:val="heading 2"/>
    <w:basedOn w:val="1"/>
    <w:next w:val="1"/>
    <w:qFormat/>
    <w:uiPriority w:val="0"/>
    <w:pPr>
      <w:keepNext/>
      <w:keepLines/>
      <w:spacing w:line="360" w:lineRule="auto"/>
      <w:outlineLvl w:val="1"/>
    </w:pPr>
    <w:rPr>
      <w:rFonts w:ascii="Arial" w:hAnsi="Arial" w:eastAsia="黑体"/>
      <w:b/>
      <w:bCs/>
      <w:sz w:val="32"/>
      <w:szCs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rPr>
      <w:szCs w:val="20"/>
    </w:rPr>
  </w:style>
  <w:style w:type="paragraph" w:styleId="8">
    <w:name w:val="Document Map"/>
    <w:basedOn w:val="1"/>
    <w:qFormat/>
    <w:uiPriority w:val="0"/>
    <w:pPr>
      <w:shd w:val="clear" w:color="auto" w:fill="000080"/>
    </w:pPr>
  </w:style>
  <w:style w:type="paragraph" w:styleId="9">
    <w:name w:val="annotation text"/>
    <w:basedOn w:val="1"/>
    <w:link w:val="37"/>
    <w:autoRedefine/>
    <w:qFormat/>
    <w:uiPriority w:val="0"/>
    <w:pPr>
      <w:jc w:val="left"/>
    </w:pPr>
  </w:style>
  <w:style w:type="paragraph" w:styleId="10">
    <w:name w:val="Body Text"/>
    <w:basedOn w:val="1"/>
    <w:next w:val="1"/>
    <w:qFormat/>
    <w:uiPriority w:val="0"/>
    <w:pPr>
      <w:spacing w:line="480" w:lineRule="auto"/>
      <w:jc w:val="left"/>
    </w:pPr>
    <w:rPr>
      <w:sz w:val="24"/>
    </w:rPr>
  </w:style>
  <w:style w:type="paragraph" w:styleId="11">
    <w:name w:val="Body Text Indent"/>
    <w:basedOn w:val="1"/>
    <w:qFormat/>
    <w:uiPriority w:val="0"/>
    <w:pPr>
      <w:spacing w:line="600" w:lineRule="atLeast"/>
      <w:ind w:left="1" w:firstLine="360" w:firstLineChars="150"/>
    </w:pPr>
    <w:rPr>
      <w:rFonts w:ascii="宋体" w:hAnsi="宋体"/>
      <w:sz w:val="24"/>
      <w:szCs w:val="26"/>
    </w:rPr>
  </w:style>
  <w:style w:type="paragraph" w:styleId="12">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13">
    <w:name w:val="Plain Text"/>
    <w:basedOn w:val="1"/>
    <w:link w:val="38"/>
    <w:qFormat/>
    <w:uiPriority w:val="0"/>
    <w:rPr>
      <w:rFonts w:ascii="宋体" w:hAnsi="Courier New"/>
      <w:szCs w:val="21"/>
    </w:rPr>
  </w:style>
  <w:style w:type="paragraph" w:styleId="14">
    <w:name w:val="Date"/>
    <w:basedOn w:val="1"/>
    <w:next w:val="1"/>
    <w:link w:val="39"/>
    <w:qFormat/>
    <w:uiPriority w:val="0"/>
    <w:pPr>
      <w:ind w:left="100" w:leftChars="2500"/>
    </w:pPr>
  </w:style>
  <w:style w:type="paragraph" w:styleId="15">
    <w:name w:val="Balloon Text"/>
    <w:basedOn w:val="1"/>
    <w:link w:val="40"/>
    <w:qFormat/>
    <w:uiPriority w:val="0"/>
    <w:rPr>
      <w:sz w:val="18"/>
      <w:szCs w:val="18"/>
    </w:rPr>
  </w:style>
  <w:style w:type="paragraph" w:styleId="16">
    <w:name w:val="footer"/>
    <w:basedOn w:val="1"/>
    <w:link w:val="36"/>
    <w:qFormat/>
    <w:uiPriority w:val="0"/>
    <w:pPr>
      <w:tabs>
        <w:tab w:val="center" w:pos="4140"/>
        <w:tab w:val="right" w:pos="8300"/>
      </w:tabs>
      <w:snapToGrid w:val="0"/>
      <w:jc w:val="left"/>
    </w:pPr>
    <w:rPr>
      <w:kern w:val="0"/>
      <w:sz w:val="18"/>
      <w:szCs w:val="18"/>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0"/>
    <w:pPr>
      <w:tabs>
        <w:tab w:val="right" w:leader="dot" w:pos="9420"/>
      </w:tabs>
      <w:spacing w:line="360" w:lineRule="auto"/>
    </w:pPr>
  </w:style>
  <w:style w:type="paragraph" w:styleId="19">
    <w:name w:val="Subtitle"/>
    <w:basedOn w:val="1"/>
    <w:next w:val="1"/>
    <w:link w:val="42"/>
    <w:qFormat/>
    <w:uiPriority w:val="0"/>
    <w:pPr>
      <w:spacing w:before="240" w:after="60" w:line="312" w:lineRule="auto"/>
      <w:jc w:val="left"/>
      <w:outlineLvl w:val="1"/>
    </w:pPr>
    <w:rPr>
      <w:rFonts w:ascii="Cambria" w:hAnsi="Cambria"/>
      <w:b/>
      <w:bCs/>
      <w:kern w:val="28"/>
      <w:sz w:val="28"/>
      <w:szCs w:val="32"/>
    </w:rPr>
  </w:style>
  <w:style w:type="paragraph" w:styleId="20">
    <w:name w:val="toc 2"/>
    <w:basedOn w:val="1"/>
    <w:next w:val="1"/>
    <w:qFormat/>
    <w:uiPriority w:val="0"/>
    <w:pPr>
      <w:ind w:left="420" w:leftChars="200"/>
    </w:pPr>
  </w:style>
  <w:style w:type="paragraph" w:styleId="21">
    <w:name w:val="HTML Preformatted"/>
    <w:basedOn w:val="1"/>
    <w:qFormat/>
    <w:uiPriority w:val="0"/>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ascii="黑体" w:hAnsi="Courier New" w:eastAsia="黑体"/>
      <w:color w:val="000000"/>
      <w:kern w:val="0"/>
      <w:sz w:val="20"/>
    </w:r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Title"/>
    <w:basedOn w:val="1"/>
    <w:link w:val="43"/>
    <w:qFormat/>
    <w:uiPriority w:val="0"/>
    <w:pPr>
      <w:spacing w:before="240" w:after="60"/>
      <w:jc w:val="center"/>
      <w:outlineLvl w:val="0"/>
    </w:pPr>
    <w:rPr>
      <w:rFonts w:ascii="Cambria" w:hAnsi="Cambria"/>
      <w:b/>
      <w:bCs/>
      <w:sz w:val="32"/>
      <w:szCs w:val="32"/>
    </w:rPr>
  </w:style>
  <w:style w:type="paragraph" w:styleId="24">
    <w:name w:val="annotation subject"/>
    <w:basedOn w:val="9"/>
    <w:next w:val="9"/>
    <w:link w:val="44"/>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imes New Roman" w:hAnsi="Times New Roman" w:eastAsia="宋体" w:cs="Times New Roman"/>
      <w:b/>
      <w:bCs/>
      <w:sz w:val="28"/>
    </w:rPr>
  </w:style>
  <w:style w:type="character" w:styleId="29">
    <w:name w:val="page number"/>
    <w:qFormat/>
    <w:uiPriority w:val="0"/>
    <w:rPr>
      <w:rFonts w:ascii="Times New Roman" w:hAnsi="Times New Roman" w:eastAsia="宋体" w:cs="Times New Roman"/>
    </w:rPr>
  </w:style>
  <w:style w:type="character" w:styleId="30">
    <w:name w:val="Emphasis"/>
    <w:qFormat/>
    <w:uiPriority w:val="0"/>
    <w:rPr>
      <w:rFonts w:ascii="Times New Roman" w:hAnsi="Times New Roman" w:eastAsia="宋体" w:cs="Times New Roman"/>
      <w:i/>
      <w:iCs/>
    </w:rPr>
  </w:style>
  <w:style w:type="character" w:styleId="31">
    <w:name w:val="Hyperlink"/>
    <w:qFormat/>
    <w:uiPriority w:val="0"/>
    <w:rPr>
      <w:rFonts w:ascii="Times New Roman" w:hAnsi="Times New Roman" w:eastAsia="宋体" w:cs="Times New Roman"/>
      <w:color w:val="0000FF"/>
      <w:u w:val="single"/>
    </w:rPr>
  </w:style>
  <w:style w:type="character" w:styleId="32">
    <w:name w:val="annotation reference"/>
    <w:qFormat/>
    <w:uiPriority w:val="0"/>
    <w:rPr>
      <w:rFonts w:ascii="Times New Roman" w:hAnsi="Times New Roman" w:eastAsia="宋体" w:cs="Times New Roman"/>
      <w:sz w:val="21"/>
      <w:szCs w:val="21"/>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
    <w:name w:val="标题 1 字符"/>
    <w:link w:val="3"/>
    <w:qFormat/>
    <w:uiPriority w:val="0"/>
    <w:rPr>
      <w:rFonts w:ascii="Times New Roman" w:hAnsi="Times New Roman" w:eastAsia="宋体" w:cs="Times New Roman"/>
      <w:b/>
      <w:bCs/>
      <w:kern w:val="44"/>
      <w:sz w:val="32"/>
      <w:szCs w:val="44"/>
    </w:rPr>
  </w:style>
  <w:style w:type="character" w:customStyle="1" w:styleId="36">
    <w:name w:val="页脚 字符"/>
    <w:link w:val="16"/>
    <w:qFormat/>
    <w:uiPriority w:val="0"/>
    <w:rPr>
      <w:rFonts w:ascii="Times New Roman" w:hAnsi="Times New Roman" w:eastAsia="宋体" w:cs="Times New Roman"/>
      <w:sz w:val="18"/>
      <w:szCs w:val="18"/>
    </w:rPr>
  </w:style>
  <w:style w:type="character" w:customStyle="1" w:styleId="37">
    <w:name w:val="批注文字 字符"/>
    <w:link w:val="9"/>
    <w:qFormat/>
    <w:uiPriority w:val="0"/>
    <w:rPr>
      <w:rFonts w:ascii="Times New Roman" w:hAnsi="Times New Roman" w:eastAsia="宋体" w:cs="Times New Roman"/>
      <w:kern w:val="2"/>
      <w:sz w:val="21"/>
      <w:szCs w:val="22"/>
    </w:rPr>
  </w:style>
  <w:style w:type="character" w:customStyle="1" w:styleId="38">
    <w:name w:val="纯文本 字符"/>
    <w:link w:val="13"/>
    <w:qFormat/>
    <w:uiPriority w:val="0"/>
    <w:rPr>
      <w:rFonts w:ascii="宋体" w:hAnsi="Courier New" w:eastAsia="宋体" w:cs="Times New Roman"/>
      <w:kern w:val="2"/>
      <w:sz w:val="21"/>
      <w:szCs w:val="21"/>
    </w:rPr>
  </w:style>
  <w:style w:type="character" w:customStyle="1" w:styleId="39">
    <w:name w:val="日期 字符"/>
    <w:link w:val="14"/>
    <w:qFormat/>
    <w:uiPriority w:val="0"/>
    <w:rPr>
      <w:rFonts w:ascii="Times New Roman" w:hAnsi="Times New Roman" w:eastAsia="宋体" w:cs="Times New Roman"/>
      <w:kern w:val="2"/>
      <w:sz w:val="21"/>
      <w:szCs w:val="22"/>
    </w:rPr>
  </w:style>
  <w:style w:type="character" w:customStyle="1" w:styleId="40">
    <w:name w:val="批注框文本 字符"/>
    <w:link w:val="15"/>
    <w:qFormat/>
    <w:uiPriority w:val="0"/>
    <w:rPr>
      <w:rFonts w:ascii="Times New Roman" w:hAnsi="Times New Roman" w:eastAsia="宋体" w:cs="Times New Roman"/>
      <w:kern w:val="2"/>
      <w:sz w:val="18"/>
      <w:szCs w:val="18"/>
    </w:rPr>
  </w:style>
  <w:style w:type="character" w:customStyle="1" w:styleId="41">
    <w:name w:val="页眉 字符"/>
    <w:link w:val="17"/>
    <w:qFormat/>
    <w:uiPriority w:val="0"/>
    <w:rPr>
      <w:rFonts w:ascii="Times New Roman" w:hAnsi="Times New Roman" w:eastAsia="宋体" w:cs="Times New Roman"/>
      <w:sz w:val="18"/>
      <w:szCs w:val="18"/>
    </w:rPr>
  </w:style>
  <w:style w:type="character" w:customStyle="1" w:styleId="42">
    <w:name w:val="副标题 字符"/>
    <w:link w:val="19"/>
    <w:qFormat/>
    <w:uiPriority w:val="0"/>
    <w:rPr>
      <w:rFonts w:ascii="Cambria" w:hAnsi="Cambria" w:eastAsia="宋体" w:cs="Times New Roman"/>
      <w:b/>
      <w:bCs/>
      <w:kern w:val="28"/>
      <w:sz w:val="28"/>
      <w:szCs w:val="32"/>
    </w:rPr>
  </w:style>
  <w:style w:type="character" w:customStyle="1" w:styleId="43">
    <w:name w:val="标题 字符"/>
    <w:link w:val="23"/>
    <w:qFormat/>
    <w:uiPriority w:val="0"/>
    <w:rPr>
      <w:rFonts w:ascii="Cambria" w:hAnsi="Cambria" w:cs="Times New Roman"/>
      <w:b/>
      <w:bCs/>
      <w:kern w:val="2"/>
      <w:sz w:val="32"/>
      <w:szCs w:val="32"/>
    </w:rPr>
  </w:style>
  <w:style w:type="character" w:customStyle="1" w:styleId="44">
    <w:name w:val="批注主题 字符"/>
    <w:link w:val="24"/>
    <w:qFormat/>
    <w:uiPriority w:val="0"/>
    <w:rPr>
      <w:rFonts w:ascii="Times New Roman" w:hAnsi="Times New Roman" w:eastAsia="宋体" w:cs="Times New Roman"/>
      <w:b/>
      <w:bCs/>
      <w:kern w:val="2"/>
      <w:sz w:val="21"/>
      <w:szCs w:val="22"/>
    </w:rPr>
  </w:style>
  <w:style w:type="character" w:customStyle="1" w:styleId="45">
    <w:name w:val="font41"/>
    <w:qFormat/>
    <w:uiPriority w:val="0"/>
    <w:rPr>
      <w:rFonts w:hint="default" w:ascii="Times New Roman" w:hAnsi="Times New Roman" w:eastAsia="宋体" w:cs="Times New Roman"/>
      <w:color w:val="000000"/>
      <w:sz w:val="22"/>
      <w:szCs w:val="22"/>
      <w:u w:val="none"/>
    </w:rPr>
  </w:style>
  <w:style w:type="character" w:customStyle="1" w:styleId="46">
    <w:name w:val="font51"/>
    <w:qFormat/>
    <w:uiPriority w:val="0"/>
    <w:rPr>
      <w:rFonts w:hint="eastAsia" w:ascii="宋体" w:hAnsi="宋体" w:eastAsia="宋体" w:cs="宋体"/>
      <w:color w:val="000000"/>
      <w:sz w:val="22"/>
      <w:szCs w:val="22"/>
      <w:u w:val="none"/>
    </w:rPr>
  </w:style>
  <w:style w:type="character" w:customStyle="1" w:styleId="47">
    <w:name w:val="font61"/>
    <w:qFormat/>
    <w:uiPriority w:val="0"/>
    <w:rPr>
      <w:rFonts w:hint="eastAsia" w:ascii="宋体" w:hAnsi="宋体" w:eastAsia="宋体" w:cs="宋体"/>
      <w:b/>
      <w:color w:val="000000"/>
      <w:sz w:val="18"/>
      <w:szCs w:val="18"/>
      <w:u w:val="none"/>
    </w:rPr>
  </w:style>
  <w:style w:type="character" w:customStyle="1" w:styleId="48">
    <w:name w:val="font01"/>
    <w:qFormat/>
    <w:uiPriority w:val="0"/>
    <w:rPr>
      <w:rFonts w:hint="default" w:ascii="Times New Roman" w:hAnsi="Times New Roman" w:eastAsia="宋体" w:cs="Times New Roman"/>
      <w:color w:val="000000"/>
      <w:sz w:val="22"/>
      <w:szCs w:val="22"/>
      <w:u w:val="none"/>
      <w:vertAlign w:val="superscript"/>
    </w:rPr>
  </w:style>
  <w:style w:type="character" w:customStyle="1" w:styleId="49">
    <w:name w:val="NormalCharacter"/>
    <w:qFormat/>
    <w:uiPriority w:val="0"/>
    <w:rPr>
      <w:rFonts w:ascii="Times New Roman" w:hAnsi="Times New Roman" w:eastAsia="宋体" w:cs="Times New Roman"/>
      <w:kern w:val="2"/>
      <w:sz w:val="21"/>
      <w:szCs w:val="22"/>
      <w:lang w:val="en-US" w:eastAsia="zh-CN" w:bidi="ar-SA"/>
    </w:rPr>
  </w:style>
  <w:style w:type="character" w:customStyle="1" w:styleId="50">
    <w:name w:val="font11"/>
    <w:qFormat/>
    <w:uiPriority w:val="0"/>
    <w:rPr>
      <w:rFonts w:hint="default" w:ascii="Times New Roman" w:hAnsi="Times New Roman" w:eastAsia="宋体" w:cs="Times New Roman"/>
      <w:color w:val="000000"/>
      <w:sz w:val="22"/>
      <w:szCs w:val="22"/>
      <w:u w:val="none"/>
    </w:rPr>
  </w:style>
  <w:style w:type="character" w:customStyle="1" w:styleId="51">
    <w:name w:val="font21"/>
    <w:qFormat/>
    <w:uiPriority w:val="0"/>
    <w:rPr>
      <w:rFonts w:hint="default" w:ascii="Times New Roman" w:hAnsi="Times New Roman" w:eastAsia="宋体" w:cs="Times New Roman"/>
      <w:color w:val="000000"/>
      <w:sz w:val="22"/>
      <w:szCs w:val="22"/>
      <w:u w:val="none"/>
    </w:rPr>
  </w:style>
  <w:style w:type="character" w:customStyle="1" w:styleId="52">
    <w:name w:val="纯文本 Char1"/>
    <w:qFormat/>
    <w:uiPriority w:val="0"/>
    <w:rPr>
      <w:rFonts w:ascii="宋体" w:hAnsi="Courier New" w:eastAsia="宋体" w:cs="Times New Roman"/>
      <w:kern w:val="2"/>
      <w:sz w:val="21"/>
      <w:szCs w:val="21"/>
      <w:lang w:val="en-US" w:eastAsia="zh-CN" w:bidi="ar-SA"/>
    </w:rPr>
  </w:style>
  <w:style w:type="character" w:customStyle="1" w:styleId="53">
    <w:name w:val="页眉 Char1"/>
    <w:qFormat/>
    <w:uiPriority w:val="0"/>
    <w:rPr>
      <w:rFonts w:ascii="Times New Roman" w:hAnsi="Times New Roman" w:eastAsia="宋体" w:cs="Times New Roman"/>
      <w:sz w:val="18"/>
      <w:szCs w:val="18"/>
    </w:rPr>
  </w:style>
  <w:style w:type="character" w:customStyle="1" w:styleId="54">
    <w:name w:val="font31"/>
    <w:qFormat/>
    <w:uiPriority w:val="0"/>
    <w:rPr>
      <w:rFonts w:hint="eastAsia" w:ascii="宋体" w:hAnsi="宋体" w:eastAsia="宋体" w:cs="宋体"/>
      <w:color w:val="000000"/>
      <w:sz w:val="22"/>
      <w:szCs w:val="22"/>
      <w:u w:val="none"/>
    </w:rPr>
  </w:style>
  <w:style w:type="paragraph" w:customStyle="1" w:styleId="55">
    <w:name w:val="p0"/>
    <w:basedOn w:val="1"/>
    <w:qFormat/>
    <w:uiPriority w:val="0"/>
    <w:pPr>
      <w:widowControl/>
      <w:jc w:val="left"/>
    </w:pPr>
    <w:rPr>
      <w:rFonts w:ascii="宋体" w:hAnsi="宋体" w:cs="宋体"/>
      <w:kern w:val="0"/>
      <w:sz w:val="24"/>
      <w:szCs w:val="24"/>
    </w:rPr>
  </w:style>
  <w:style w:type="paragraph" w:customStyle="1" w:styleId="56">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文本3"/>
    <w:basedOn w:val="1"/>
    <w:qFormat/>
    <w:uiPriority w:val="0"/>
    <w:pPr>
      <w:spacing w:line="480" w:lineRule="auto"/>
      <w:jc w:val="left"/>
    </w:pPr>
    <w:rPr>
      <w:sz w:val="24"/>
    </w:rPr>
  </w:style>
  <w:style w:type="paragraph" w:customStyle="1" w:styleId="59">
    <w:name w:val="列表段落1"/>
    <w:basedOn w:val="1"/>
    <w:qFormat/>
    <w:uiPriority w:val="0"/>
    <w:pPr>
      <w:ind w:firstLine="420" w:firstLineChars="200"/>
    </w:pPr>
  </w:style>
  <w:style w:type="paragraph" w:customStyle="1" w:styleId="60">
    <w:name w:val="Char Char Char Char Char Char Char"/>
    <w:basedOn w:val="8"/>
    <w:qFormat/>
    <w:uiPriority w:val="0"/>
    <w:pPr>
      <w:adjustRightInd w:val="0"/>
      <w:spacing w:line="436" w:lineRule="exact"/>
      <w:ind w:left="357"/>
      <w:jc w:val="left"/>
      <w:outlineLvl w:val="3"/>
    </w:pPr>
  </w:style>
  <w:style w:type="paragraph" w:customStyle="1" w:styleId="61">
    <w:name w:val="列出段落1"/>
    <w:basedOn w:val="1"/>
    <w:qFormat/>
    <w:uiPriority w:val="0"/>
    <w:pPr>
      <w:ind w:firstLine="420" w:firstLineChars="200"/>
    </w:pPr>
    <w:rPr>
      <w:rFonts w:ascii="Calibri" w:hAnsi="Calibri"/>
    </w:rPr>
  </w:style>
  <w:style w:type="paragraph" w:customStyle="1" w:styleId="62">
    <w:name w:val="_Style 57"/>
    <w:basedOn w:val="3"/>
    <w:qFormat/>
    <w:uiPriority w:val="0"/>
    <w:pPr>
      <w:widowControl/>
      <w:spacing w:before="480" w:line="276" w:lineRule="auto"/>
      <w:jc w:val="left"/>
      <w:outlineLvl w:val="9"/>
    </w:pPr>
    <w:rPr>
      <w:rFonts w:ascii="Cambria" w:hAnsi="Cambria"/>
      <w:color w:val="365F91"/>
      <w:kern w:val="0"/>
      <w:sz w:val="28"/>
      <w:szCs w:val="28"/>
    </w:rPr>
  </w:style>
  <w:style w:type="paragraph" w:customStyle="1" w:styleId="63">
    <w:name w:val="正文文本1"/>
    <w:basedOn w:val="1"/>
    <w:qFormat/>
    <w:uiPriority w:val="0"/>
    <w:pPr>
      <w:spacing w:line="480" w:lineRule="auto"/>
      <w:jc w:val="left"/>
      <w:textAlignment w:val="baseline"/>
    </w:pPr>
    <w:rPr>
      <w:sz w:val="24"/>
    </w:rPr>
  </w:style>
  <w:style w:type="paragraph" w:customStyle="1" w:styleId="64">
    <w:name w:val="正文字缩2字"/>
    <w:basedOn w:val="1"/>
    <w:qFormat/>
    <w:uiPriority w:val="0"/>
    <w:pPr>
      <w:spacing w:before="60" w:after="60" w:line="360" w:lineRule="auto"/>
      <w:ind w:left="200" w:leftChars="200" w:firstLine="200" w:firstLineChars="200"/>
    </w:pPr>
    <w:rPr>
      <w:sz w:val="24"/>
    </w:rPr>
  </w:style>
  <w:style w:type="paragraph" w:customStyle="1" w:styleId="65">
    <w:name w:val="正文文本11"/>
    <w:basedOn w:val="1"/>
    <w:qFormat/>
    <w:uiPriority w:val="0"/>
    <w:pPr>
      <w:spacing w:line="480" w:lineRule="auto"/>
      <w:jc w:val="left"/>
    </w:pPr>
    <w:rPr>
      <w:sz w:val="24"/>
    </w:rPr>
  </w:style>
  <w:style w:type="paragraph" w:customStyle="1" w:styleId="66">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67">
    <w:name w:val="Table Paragraph"/>
    <w:basedOn w:val="1"/>
    <w:qFormat/>
    <w:uiPriority w:val="0"/>
  </w:style>
  <w:style w:type="paragraph" w:customStyle="1" w:styleId="68">
    <w:name w:val="UserStyle_0"/>
    <w:basedOn w:val="1"/>
    <w:qFormat/>
    <w:uiPriority w:val="0"/>
    <w:pPr>
      <w:spacing w:line="480" w:lineRule="auto"/>
      <w:jc w:val="left"/>
      <w:textAlignment w:val="baseline"/>
    </w:pPr>
    <w:rPr>
      <w:sz w:val="24"/>
    </w:rPr>
  </w:style>
  <w:style w:type="paragraph" w:customStyle="1" w:styleId="69">
    <w:name w:val="Body text|1"/>
    <w:basedOn w:val="1"/>
    <w:qFormat/>
    <w:uiPriority w:val="0"/>
    <w:pPr>
      <w:widowControl w:val="0"/>
      <w:shd w:val="clear" w:color="auto" w:fill="auto"/>
      <w:spacing w:line="442" w:lineRule="auto"/>
      <w:ind w:firstLine="400"/>
    </w:pPr>
    <w:rPr>
      <w:rFonts w:ascii="宋体" w:hAnsi="宋体" w:eastAsia="宋体" w:cs="宋体"/>
      <w:u w:val="none"/>
      <w:shd w:val="clear" w:color="auto" w:fill="auto"/>
      <w:lang w:val="zh-TW" w:eastAsia="zh-TW" w:bidi="zh-TW"/>
    </w:rPr>
  </w:style>
  <w:style w:type="paragraph" w:customStyle="1" w:styleId="70">
    <w:name w:val="正文_1"/>
    <w:qFormat/>
    <w:uiPriority w:val="0"/>
    <w:pPr>
      <w:widowControl w:val="0"/>
      <w:jc w:val="both"/>
    </w:pPr>
    <w:rPr>
      <w:rFonts w:ascii="Calibri" w:hAnsi="Calibri" w:eastAsia="宋体" w:cs="Times New Roman"/>
      <w:kern w:val="2"/>
      <w:sz w:val="21"/>
      <w:szCs w:val="22"/>
      <w:lang w:val="en-US" w:eastAsia="zh-CN" w:bidi="ar-SA"/>
    </w:rPr>
  </w:style>
  <w:style w:type="table" w:customStyle="1" w:styleId="71">
    <w:name w:val="网格型2"/>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2">
    <w:name w:val="合同大标题"/>
    <w:basedOn w:val="1"/>
    <w:next w:val="1"/>
    <w:autoRedefine/>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cs="宋体" w:eastAsiaTheme="minorEastAsia"/>
      <w:b/>
      <w:snapToGrid w:val="0"/>
      <w:color w:val="000000"/>
      <w:spacing w:val="20"/>
      <w:kern w:val="32"/>
      <w:sz w:val="32"/>
      <w:szCs w:val="22"/>
    </w:rPr>
  </w:style>
  <w:style w:type="paragraph" w:customStyle="1" w:styleId="73">
    <w:name w:val="合同主体"/>
    <w:basedOn w:val="1"/>
    <w:next w:val="1"/>
    <w:autoRedefine/>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74">
    <w:name w:val="合同正文"/>
    <w:basedOn w:val="1"/>
    <w:autoRedefine/>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75">
    <w:name w:val="合同一级标题"/>
    <w:basedOn w:val="23"/>
    <w:next w:val="1"/>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76">
    <w:name w:val="合同二级标题"/>
    <w:basedOn w:val="1"/>
    <w:next w:val="1"/>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77">
    <w:name w:val="合同三级标题"/>
    <w:basedOn w:val="1"/>
    <w:next w:val="74"/>
    <w:link w:val="79"/>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78">
    <w:name w:val="合同四级标题"/>
    <w:basedOn w:val="1"/>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 w:type="character" w:customStyle="1" w:styleId="79">
    <w:name w:val="合同三级标题 Char1"/>
    <w:link w:val="77"/>
    <w:qFormat/>
    <w:uiPriority w:val="0"/>
    <w:rPr>
      <w:rFonts w:asciiTheme="minorAscii" w:hAnsiTheme="minorAscii" w:eastAsiaTheme="minorEastAsia" w:cstheme="minorEastAsia"/>
      <w:snapToGrid w:val="0"/>
      <w:color w:val="000000"/>
      <w:kern w:val="2"/>
      <w:szCs w:val="22"/>
      <w:lang w:eastAsia="en-US"/>
    </w:rPr>
  </w:style>
  <w:style w:type="paragraph" w:customStyle="1" w:styleId="80">
    <w:name w:val="常用正文"/>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paragraph" w:customStyle="1" w:styleId="81">
    <w:name w:val="缺省文本"/>
    <w:basedOn w:val="1"/>
    <w:qFormat/>
    <w:uiPriority w:val="0"/>
    <w:pPr>
      <w:autoSpaceDE w:val="0"/>
      <w:autoSpaceDN w:val="0"/>
      <w:adjustRightInd w:val="0"/>
      <w:jc w:val="left"/>
    </w:pPr>
    <w:rPr>
      <w:kern w:val="0"/>
      <w:sz w:val="24"/>
    </w:rPr>
  </w:style>
  <w:style w:type="paragraph" w:customStyle="1" w:styleId="8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正文_2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9509</Words>
  <Characters>9894</Characters>
  <Lines>123</Lines>
  <Paragraphs>34</Paragraphs>
  <TotalTime>0</TotalTime>
  <ScaleCrop>false</ScaleCrop>
  <LinksUpToDate>false</LinksUpToDate>
  <CharactersWithSpaces>10070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2022-04-24T09:02:00Z</dcterms:created>
  <dc:creator>notebook3</dc:creator>
  <cp:lastModifiedBy>YangXiang</cp:lastModifiedBy>
  <cp:lastPrinted>2021-10-14T00:57:00Z</cp:lastPrinted>
  <dcterms:modified xsi:type="dcterms:W3CDTF">2025-09-30T01:12:16Z</dcterms:modified>
  <dc:title>第一章  询 价 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49597C54173F436CA00CD9E8826B10D3_13</vt:lpwstr>
  </property>
  <property fmtid="{D5CDD505-2E9C-101B-9397-08002B2CF9AE}" pid="4" name="KSOTemplateDocerSaveRecord">
    <vt:lpwstr>eyJoZGlkIjoiZDdlMTY2NTc0OTYwZDEzMDc4NzQ0YjliNWZjMTk0NTkiLCJ1c2VySWQiOiI3MzUxNjk0NDIifQ==</vt:lpwstr>
  </property>
</Properties>
</file>