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A1201">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rPr>
          <w:rFonts w:hint="default"/>
          <w:b/>
          <w:bCs/>
          <w:color w:val="auto"/>
          <w:sz w:val="36"/>
          <w:szCs w:val="36"/>
          <w:u w:val="none"/>
          <w:lang w:val="en-US" w:eastAsia="zh-CN"/>
        </w:rPr>
      </w:pPr>
      <w:bookmarkStart w:id="0" w:name="_Toc25725119"/>
      <w:bookmarkStart w:id="1" w:name="_Toc11641051"/>
      <w:bookmarkStart w:id="2" w:name="_Hlk485112949"/>
      <w:r>
        <w:rPr>
          <w:rFonts w:hint="eastAsia"/>
          <w:b/>
          <w:bCs/>
          <w:color w:val="auto"/>
          <w:sz w:val="36"/>
          <w:szCs w:val="36"/>
          <w:u w:val="none"/>
          <w:lang w:val="en-US" w:eastAsia="zh-CN"/>
        </w:rPr>
        <w:t>采购T3航站楼行李系统应急转盘维修配件项目（二次）询价公告</w:t>
      </w:r>
    </w:p>
    <w:p w14:paraId="6F6F520A">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采购T3航站楼行李系统应急转盘维修配件</w:t>
      </w:r>
      <w:r>
        <w:rPr>
          <w:rFonts w:hint="eastAsia"/>
          <w:color w:val="auto"/>
        </w:rPr>
        <w:t>进行询价，湖北机场集团信息科技有限公司负责经办，所有询价采购事宜由湖北机场集团信息科技有限公司负责联系。</w:t>
      </w:r>
    </w:p>
    <w:p w14:paraId="2F4A547E">
      <w:pPr>
        <w:rPr>
          <w:color w:val="auto"/>
        </w:rPr>
      </w:pPr>
    </w:p>
    <w:p w14:paraId="268BFB35">
      <w:pPr>
        <w:pStyle w:val="5"/>
        <w:numPr>
          <w:ilvl w:val="0"/>
          <w:numId w:val="4"/>
        </w:numPr>
        <w:spacing w:line="360" w:lineRule="auto"/>
        <w:rPr>
          <w:color w:val="auto"/>
        </w:rPr>
      </w:pPr>
      <w:bookmarkStart w:id="3" w:name="_Toc5084"/>
      <w:r>
        <w:rPr>
          <w:rFonts w:hint="eastAsia"/>
          <w:color w:val="auto"/>
          <w:sz w:val="30"/>
        </w:rPr>
        <w:t>询价内容</w:t>
      </w:r>
      <w:bookmarkEnd w:id="3"/>
    </w:p>
    <w:tbl>
      <w:tblPr>
        <w:tblStyle w:val="38"/>
        <w:tblW w:w="49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823"/>
        <w:gridCol w:w="1745"/>
        <w:gridCol w:w="1090"/>
        <w:gridCol w:w="1035"/>
        <w:gridCol w:w="2147"/>
      </w:tblGrid>
      <w:tr w14:paraId="7181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ED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94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规格（mm）</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70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数量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7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单位</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D2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备注</w:t>
            </w:r>
          </w:p>
        </w:tc>
      </w:tr>
      <w:tr w14:paraId="0F94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89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205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动力压轮</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F0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7"/>
                <w:sz w:val="22"/>
                <w:szCs w:val="22"/>
                <w:lang w:val="en-US" w:eastAsia="zh-CN"/>
              </w:rPr>
            </w:pPr>
            <w:r>
              <w:rPr>
                <w:rFonts w:ascii="宋体" w:hAnsi="宋体" w:eastAsia="宋体" w:cs="宋体"/>
                <w:spacing w:val="7"/>
                <w:sz w:val="22"/>
                <w:szCs w:val="22"/>
              </w:rPr>
              <w:t>Φ55*16高</w:t>
            </w:r>
            <w:r>
              <w:rPr>
                <w:rFonts w:hint="eastAsia" w:cs="宋体"/>
                <w:i w:val="0"/>
                <w:iCs w:val="0"/>
                <w:color w:val="auto"/>
                <w:kern w:val="0"/>
                <w:sz w:val="22"/>
                <w:szCs w:val="22"/>
                <w:u w:val="none"/>
                <w:lang w:val="en-US" w:eastAsia="zh-CN" w:bidi="ar"/>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F5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440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E9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宋体"/>
                <w:spacing w:val="1"/>
                <w:sz w:val="22"/>
                <w:szCs w:val="22"/>
                <w:lang w:val="en-US" w:eastAsia="zh-CN"/>
              </w:rPr>
            </w:pPr>
            <w:r>
              <w:rPr>
                <w:rFonts w:hint="eastAsia"/>
                <w:spacing w:val="1"/>
                <w:sz w:val="22"/>
                <w:szCs w:val="22"/>
                <w:lang w:val="en-US" w:eastAsia="zh-CN"/>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19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sz w:val="22"/>
                <w:szCs w:val="22"/>
                <w:lang w:val="en-US" w:eastAsia="zh-CN"/>
              </w:rPr>
            </w:pPr>
            <w:r>
              <w:rPr>
                <w:rFonts w:hint="eastAsia"/>
                <w:spacing w:val="1"/>
                <w:sz w:val="22"/>
                <w:szCs w:val="22"/>
                <w:lang w:val="en-US" w:eastAsia="zh-CN"/>
              </w:rPr>
              <w:t>4个压轮组成1套</w:t>
            </w:r>
          </w:p>
        </w:tc>
      </w:tr>
      <w:tr w14:paraId="19E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7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87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多楔带压轮</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32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2"/>
                <w:szCs w:val="22"/>
                <w:lang w:val="en-US" w:eastAsia="zh-CN"/>
              </w:rPr>
            </w:pPr>
            <w:r>
              <w:rPr>
                <w:rFonts w:ascii="宋体" w:hAnsi="宋体" w:eastAsia="宋体" w:cs="宋体"/>
                <w:spacing w:val="7"/>
                <w:sz w:val="22"/>
                <w:szCs w:val="22"/>
              </w:rPr>
              <w:t>Φ48*68高</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C4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110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EF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sz w:val="22"/>
                <w:szCs w:val="22"/>
                <w:lang w:val="en-US" w:eastAsia="zh-CN"/>
              </w:rPr>
            </w:pPr>
            <w:r>
              <w:rPr>
                <w:rFonts w:hint="eastAsia"/>
                <w:spacing w:val="1"/>
                <w:sz w:val="22"/>
                <w:szCs w:val="22"/>
                <w:lang w:val="en-US" w:eastAsia="zh-CN"/>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64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pacing w:val="1"/>
                <w:sz w:val="22"/>
                <w:szCs w:val="22"/>
                <w:lang w:val="en-US" w:eastAsia="zh-CN"/>
              </w:rPr>
            </w:pPr>
          </w:p>
        </w:tc>
      </w:tr>
      <w:tr w14:paraId="00AD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A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358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配套螺丝</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8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M10*25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C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C0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套</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5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标准件（包含螺栓、螺母、垫片）</w:t>
            </w:r>
          </w:p>
        </w:tc>
      </w:tr>
      <w:tr w14:paraId="5AA7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93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6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配套螺丝</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BC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M12*90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B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套</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E2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标准件（包含螺栓、螺母、垫片）</w:t>
            </w:r>
          </w:p>
        </w:tc>
      </w:tr>
      <w:tr w14:paraId="5B26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2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B4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鱼鳞板</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8A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440长*116宽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EB6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50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5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r w14:paraId="0D08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40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FB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安装座</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3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960长*105宽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19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E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AF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r w14:paraId="41D1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9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28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动力压轮安装座</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9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1465长*80宽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37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4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bl>
    <w:p w14:paraId="14609A7A">
      <w:pPr>
        <w:pStyle w:val="2"/>
        <w:rPr>
          <w:rFonts w:hint="default"/>
          <w:lang w:val="en-US" w:eastAsia="zh-CN"/>
        </w:rPr>
      </w:pPr>
    </w:p>
    <w:p w14:paraId="157D726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伍万元整</w:t>
      </w:r>
      <w:r>
        <w:rPr>
          <w:rFonts w:hint="eastAsia"/>
          <w:color w:val="auto"/>
          <w:u w:val="single"/>
        </w:rPr>
        <w:t>（¥</w:t>
      </w:r>
      <w:r>
        <w:rPr>
          <w:rFonts w:hint="eastAsia"/>
          <w:color w:val="auto"/>
          <w:u w:val="single"/>
          <w:lang w:val="en-US" w:eastAsia="zh-CN"/>
        </w:rPr>
        <w:t>50</w:t>
      </w:r>
      <w:r>
        <w:rPr>
          <w:rFonts w:hint="eastAsia"/>
          <w:color w:val="auto"/>
          <w:u w:val="single"/>
        </w:rPr>
        <w:t>,</w:t>
      </w:r>
      <w:r>
        <w:rPr>
          <w:rFonts w:hint="eastAsia"/>
          <w:color w:val="auto"/>
          <w:u w:val="single"/>
          <w:lang w:val="en-US" w:eastAsia="zh-CN"/>
        </w:rPr>
        <w:t>00</w:t>
      </w:r>
      <w:r>
        <w:rPr>
          <w:rFonts w:hint="eastAsia"/>
          <w:color w:val="auto"/>
          <w:u w:val="single"/>
        </w:rPr>
        <w:t>0.00）</w:t>
      </w:r>
      <w:r>
        <w:rPr>
          <w:rFonts w:hint="eastAsia"/>
          <w:color w:val="auto"/>
        </w:rPr>
        <w:t>，响应总报价超过采购预算金额的，其报价无效。总报价应包括完成项目所需的一切费用，包括但不限于运输费、质保期售后服务费、税费、保险费等。</w:t>
      </w:r>
    </w:p>
    <w:p w14:paraId="4637C618">
      <w:pPr>
        <w:rPr>
          <w:color w:val="auto"/>
        </w:rPr>
      </w:pPr>
    </w:p>
    <w:p w14:paraId="338D383A">
      <w:pPr>
        <w:pStyle w:val="5"/>
        <w:spacing w:line="360" w:lineRule="auto"/>
        <w:ind w:firstLine="301" w:firstLineChars="100"/>
        <w:rPr>
          <w:color w:val="auto"/>
          <w:sz w:val="30"/>
        </w:rPr>
      </w:pPr>
      <w:bookmarkStart w:id="4" w:name="_Toc26834"/>
      <w:r>
        <w:rPr>
          <w:rFonts w:hint="eastAsia"/>
          <w:color w:val="auto"/>
          <w:sz w:val="30"/>
        </w:rPr>
        <w:t>二、询价采购时间、地点</w:t>
      </w:r>
      <w:bookmarkEnd w:id="0"/>
      <w:bookmarkEnd w:id="1"/>
      <w:bookmarkEnd w:id="4"/>
    </w:p>
    <w:p w14:paraId="158FCA98">
      <w:pPr>
        <w:tabs>
          <w:tab w:val="left" w:pos="378"/>
        </w:tabs>
        <w:spacing w:line="360" w:lineRule="auto"/>
        <w:ind w:left="142"/>
        <w:rPr>
          <w:color w:val="auto"/>
        </w:rPr>
      </w:pPr>
      <w:r>
        <w:rPr>
          <w:rFonts w:hint="eastAsia"/>
          <w:color w:val="auto"/>
        </w:rPr>
        <w:t>1、询价采购文件获取：</w:t>
      </w:r>
    </w:p>
    <w:p w14:paraId="6A6934D7">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w:t>
      </w:r>
      <w:r>
        <w:rPr>
          <w:rFonts w:hint="eastAsia"/>
          <w:color w:val="auto"/>
        </w:rPr>
        <w:t>月</w:t>
      </w:r>
      <w:r>
        <w:rPr>
          <w:rFonts w:hint="eastAsia"/>
          <w:color w:val="auto"/>
          <w:lang w:val="en-US" w:eastAsia="zh-CN"/>
        </w:rPr>
        <w:t xml:space="preserve"> 5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8</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5320669C">
      <w:pPr>
        <w:spacing w:line="360" w:lineRule="auto"/>
        <w:ind w:firstLine="360" w:firstLineChars="150"/>
        <w:rPr>
          <w:color w:val="auto"/>
        </w:rPr>
      </w:pPr>
      <w:r>
        <w:rPr>
          <w:rFonts w:hint="eastAsia"/>
          <w:color w:val="auto"/>
        </w:rPr>
        <w:t xml:space="preserve"> （2）地点：湖北机场集团公司综合楼C326</w:t>
      </w:r>
    </w:p>
    <w:p w14:paraId="79113FAF">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4836DE00">
      <w:pPr>
        <w:tabs>
          <w:tab w:val="left" w:pos="378"/>
        </w:tabs>
        <w:spacing w:line="360" w:lineRule="auto"/>
        <w:ind w:left="142"/>
        <w:rPr>
          <w:color w:val="auto"/>
        </w:rPr>
      </w:pPr>
      <w:r>
        <w:rPr>
          <w:rFonts w:hint="eastAsia"/>
          <w:color w:val="auto"/>
        </w:rPr>
        <w:t>2、投递报价文件地点：</w:t>
      </w:r>
    </w:p>
    <w:p w14:paraId="5B3FA409">
      <w:pPr>
        <w:spacing w:line="360" w:lineRule="auto"/>
        <w:ind w:firstLine="360" w:firstLineChars="150"/>
        <w:rPr>
          <w:color w:val="auto"/>
        </w:rPr>
      </w:pPr>
      <w:r>
        <w:rPr>
          <w:rFonts w:hint="eastAsia"/>
          <w:color w:val="auto"/>
        </w:rPr>
        <w:t xml:space="preserve"> 湖北机场集团公司综合楼C326</w:t>
      </w:r>
    </w:p>
    <w:p w14:paraId="77000BA6">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11 </w:t>
      </w:r>
      <w:r>
        <w:rPr>
          <w:rFonts w:hint="eastAsia"/>
          <w:color w:val="auto"/>
        </w:rPr>
        <w:t>日</w:t>
      </w:r>
      <w:r>
        <w:rPr>
          <w:rFonts w:hint="eastAsia"/>
          <w:color w:val="auto"/>
          <w:lang w:val="en-US" w:eastAsia="zh-CN"/>
        </w:rPr>
        <w:t xml:space="preserve"> 9 </w:t>
      </w:r>
      <w:r>
        <w:rPr>
          <w:rFonts w:hint="eastAsia"/>
          <w:color w:val="auto"/>
        </w:rPr>
        <w:t>时</w:t>
      </w:r>
    </w:p>
    <w:p w14:paraId="427D0EBF">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11</w:t>
      </w:r>
      <w:bookmarkStart w:id="18" w:name="_GoBack"/>
      <w:bookmarkEnd w:id="18"/>
      <w:r>
        <w:rPr>
          <w:rFonts w:hint="eastAsia"/>
          <w:color w:val="auto"/>
          <w:lang w:val="en-US" w:eastAsia="zh-CN"/>
        </w:rPr>
        <w:t xml:space="preserve"> </w:t>
      </w:r>
      <w:r>
        <w:rPr>
          <w:rFonts w:hint="eastAsia"/>
          <w:color w:val="auto"/>
        </w:rPr>
        <w:t>日</w:t>
      </w:r>
      <w:r>
        <w:rPr>
          <w:rFonts w:hint="eastAsia"/>
          <w:color w:val="auto"/>
          <w:lang w:val="en-US" w:eastAsia="zh-CN"/>
        </w:rPr>
        <w:t>9:30</w:t>
      </w:r>
      <w:r>
        <w:rPr>
          <w:rFonts w:hint="eastAsia"/>
          <w:color w:val="auto"/>
        </w:rPr>
        <w:t>（遇情况依次顺延）</w:t>
      </w:r>
    </w:p>
    <w:p w14:paraId="5EA8DB00">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403E5DC6">
      <w:pPr>
        <w:pStyle w:val="5"/>
        <w:spacing w:line="360" w:lineRule="auto"/>
        <w:ind w:firstLine="527"/>
        <w:rPr>
          <w:color w:val="auto"/>
          <w:sz w:val="30"/>
        </w:rPr>
      </w:pPr>
      <w:bookmarkStart w:id="5" w:name="_Toc30564"/>
      <w:bookmarkStart w:id="6" w:name="_Toc11641053"/>
      <w:bookmarkStart w:id="7" w:name="_Toc25725120"/>
      <w:r>
        <w:rPr>
          <w:rFonts w:hint="eastAsia"/>
          <w:color w:val="auto"/>
          <w:sz w:val="30"/>
        </w:rPr>
        <w:t>三、供应商资质要求：</w:t>
      </w:r>
      <w:bookmarkEnd w:id="5"/>
    </w:p>
    <w:p w14:paraId="1F2EEC9E">
      <w:pPr>
        <w:snapToGrid w:val="0"/>
        <w:spacing w:line="360" w:lineRule="auto"/>
        <w:rPr>
          <w:color w:val="auto"/>
          <w:szCs w:val="28"/>
        </w:rPr>
      </w:pPr>
      <w:r>
        <w:rPr>
          <w:rFonts w:hint="eastAsia"/>
          <w:color w:val="auto"/>
          <w:szCs w:val="28"/>
        </w:rPr>
        <w:t>1、供货商应具有在中华人民共和国境内注册登记并取得有效营业执照。</w:t>
      </w:r>
    </w:p>
    <w:p w14:paraId="4604F5C5">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304E73F7">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1AD1DBEB">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4A097018">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77C40F81">
      <w:pPr>
        <w:pStyle w:val="5"/>
        <w:spacing w:line="360" w:lineRule="auto"/>
        <w:ind w:firstLine="527"/>
        <w:rPr>
          <w:color w:val="auto"/>
          <w:sz w:val="30"/>
        </w:rPr>
      </w:pPr>
      <w:bookmarkStart w:id="8" w:name="_Toc3456"/>
      <w:r>
        <w:rPr>
          <w:rFonts w:hint="eastAsia"/>
          <w:color w:val="auto"/>
          <w:sz w:val="30"/>
        </w:rPr>
        <w:t>四、</w:t>
      </w:r>
      <w:bookmarkEnd w:id="6"/>
      <w:bookmarkEnd w:id="7"/>
      <w:r>
        <w:rPr>
          <w:rFonts w:hint="eastAsia"/>
          <w:color w:val="auto"/>
          <w:sz w:val="30"/>
        </w:rPr>
        <w:t>询价采购须知</w:t>
      </w:r>
      <w:bookmarkEnd w:id="8"/>
    </w:p>
    <w:p w14:paraId="125551C3">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7DC81B63">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3B8581FC">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035FC06F">
      <w:pPr>
        <w:snapToGrid w:val="0"/>
        <w:spacing w:line="360" w:lineRule="auto"/>
        <w:ind w:firstLine="573"/>
        <w:rPr>
          <w:color w:val="auto"/>
        </w:rPr>
      </w:pPr>
      <w:r>
        <w:rPr>
          <w:rFonts w:hint="eastAsia"/>
          <w:color w:val="auto"/>
        </w:rPr>
        <w:t>4、成交原则：本项目评审采用最低竞标标价进行评审。</w:t>
      </w:r>
    </w:p>
    <w:p w14:paraId="394F58CD">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18CC459B">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48BD1E9B">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CE467FA">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56540D2E">
      <w:pPr>
        <w:snapToGrid w:val="0"/>
        <w:spacing w:line="360" w:lineRule="auto"/>
        <w:ind w:firstLine="573"/>
        <w:rPr>
          <w:color w:val="auto"/>
        </w:rPr>
      </w:pPr>
      <w:bookmarkStart w:id="9" w:name="_Toc122840226"/>
      <w:bookmarkStart w:id="10" w:name="_Toc12789055"/>
      <w:r>
        <w:rPr>
          <w:rFonts w:hint="eastAsia"/>
          <w:color w:val="auto"/>
        </w:rPr>
        <w:t>6、文件无效</w:t>
      </w:r>
    </w:p>
    <w:p w14:paraId="2DAA830B">
      <w:pPr>
        <w:snapToGrid w:val="0"/>
        <w:spacing w:line="360" w:lineRule="auto"/>
        <w:ind w:firstLine="573"/>
        <w:rPr>
          <w:color w:val="auto"/>
        </w:rPr>
      </w:pPr>
      <w:r>
        <w:rPr>
          <w:rFonts w:hint="eastAsia"/>
          <w:color w:val="auto"/>
        </w:rPr>
        <w:t>竞标人发生以下条款情况之一者，其竞标文件将被拒绝：</w:t>
      </w:r>
    </w:p>
    <w:p w14:paraId="00BBC938">
      <w:pPr>
        <w:snapToGrid w:val="0"/>
        <w:spacing w:line="360" w:lineRule="auto"/>
        <w:ind w:firstLine="573"/>
        <w:rPr>
          <w:color w:val="auto"/>
        </w:rPr>
      </w:pPr>
      <w:r>
        <w:rPr>
          <w:rFonts w:hint="eastAsia"/>
          <w:color w:val="auto"/>
        </w:rPr>
        <w:t>（1）竞标文件不按规定的格式、内容填写；</w:t>
      </w:r>
    </w:p>
    <w:p w14:paraId="4F4354F3">
      <w:pPr>
        <w:snapToGrid w:val="0"/>
        <w:spacing w:line="360" w:lineRule="auto"/>
        <w:ind w:firstLine="573"/>
        <w:rPr>
          <w:color w:val="auto"/>
        </w:rPr>
      </w:pPr>
      <w:r>
        <w:rPr>
          <w:rFonts w:hint="eastAsia"/>
          <w:color w:val="auto"/>
        </w:rPr>
        <w:t>（2）超出营业范围的报价；</w:t>
      </w:r>
    </w:p>
    <w:p w14:paraId="11927E6C">
      <w:pPr>
        <w:snapToGrid w:val="0"/>
        <w:spacing w:line="360" w:lineRule="auto"/>
        <w:ind w:firstLine="573"/>
        <w:rPr>
          <w:color w:val="auto"/>
        </w:rPr>
      </w:pPr>
      <w:r>
        <w:rPr>
          <w:rFonts w:hint="eastAsia"/>
          <w:color w:val="auto"/>
        </w:rPr>
        <w:t>（3）报价高于询价采购文件的最高限价；</w:t>
      </w:r>
    </w:p>
    <w:p w14:paraId="604D1996">
      <w:pPr>
        <w:snapToGrid w:val="0"/>
        <w:spacing w:line="360" w:lineRule="auto"/>
        <w:ind w:firstLine="573"/>
        <w:rPr>
          <w:color w:val="auto"/>
        </w:rPr>
      </w:pPr>
      <w:r>
        <w:rPr>
          <w:rFonts w:hint="eastAsia"/>
          <w:color w:val="auto"/>
        </w:rPr>
        <w:t>（4）竞标人的竞标文件的技术方案内容与采购项目实质性技术要求有严重背离；</w:t>
      </w:r>
    </w:p>
    <w:p w14:paraId="614764AD">
      <w:pPr>
        <w:snapToGrid w:val="0"/>
        <w:spacing w:line="360" w:lineRule="auto"/>
        <w:ind w:firstLine="573"/>
        <w:rPr>
          <w:color w:val="auto"/>
        </w:rPr>
      </w:pPr>
      <w:r>
        <w:rPr>
          <w:rFonts w:hint="eastAsia"/>
          <w:color w:val="auto"/>
        </w:rPr>
        <w:t>（5）竞标人的资质不符合采购文件资质要求的内容。</w:t>
      </w:r>
    </w:p>
    <w:p w14:paraId="69171A80">
      <w:pPr>
        <w:snapToGrid w:val="0"/>
        <w:spacing w:line="360" w:lineRule="auto"/>
        <w:ind w:firstLine="573"/>
        <w:rPr>
          <w:color w:val="auto"/>
        </w:rPr>
      </w:pPr>
      <w:r>
        <w:rPr>
          <w:rFonts w:hint="eastAsia"/>
          <w:color w:val="auto"/>
        </w:rPr>
        <w:t>（6）竞标文件未按要求密封、未按时送到准确地点。</w:t>
      </w:r>
    </w:p>
    <w:p w14:paraId="5EEA115F">
      <w:pPr>
        <w:snapToGrid w:val="0"/>
        <w:spacing w:line="360" w:lineRule="auto"/>
        <w:ind w:firstLine="573"/>
        <w:rPr>
          <w:color w:val="auto"/>
        </w:rPr>
      </w:pPr>
      <w:r>
        <w:rPr>
          <w:rFonts w:hint="eastAsia"/>
          <w:color w:val="auto"/>
        </w:rPr>
        <w:t>7、出现以下情况之一的，应予废标，重新组织采购。</w:t>
      </w:r>
    </w:p>
    <w:p w14:paraId="2465F792">
      <w:pPr>
        <w:numPr>
          <w:ilvl w:val="0"/>
          <w:numId w:val="5"/>
        </w:numPr>
        <w:snapToGrid w:val="0"/>
        <w:spacing w:line="360" w:lineRule="auto"/>
        <w:rPr>
          <w:color w:val="auto"/>
        </w:rPr>
      </w:pPr>
      <w:r>
        <w:rPr>
          <w:rFonts w:hint="eastAsia"/>
          <w:color w:val="auto"/>
        </w:rPr>
        <w:t>出现影响采购公正的违法、违规行为的；</w:t>
      </w:r>
    </w:p>
    <w:p w14:paraId="6DB2C3F5">
      <w:pPr>
        <w:numPr>
          <w:ilvl w:val="0"/>
          <w:numId w:val="5"/>
        </w:numPr>
        <w:snapToGrid w:val="0"/>
        <w:spacing w:line="360" w:lineRule="auto"/>
        <w:rPr>
          <w:color w:val="auto"/>
        </w:rPr>
      </w:pPr>
      <w:r>
        <w:rPr>
          <w:rFonts w:hint="eastAsia"/>
          <w:color w:val="auto"/>
        </w:rPr>
        <w:t>竞标人的报价均超过了采购预算，采购人不能支付的；</w:t>
      </w:r>
    </w:p>
    <w:p w14:paraId="2DBF14C3">
      <w:pPr>
        <w:numPr>
          <w:ilvl w:val="0"/>
          <w:numId w:val="5"/>
        </w:numPr>
        <w:snapToGrid w:val="0"/>
        <w:spacing w:line="360" w:lineRule="auto"/>
        <w:rPr>
          <w:color w:val="auto"/>
        </w:rPr>
      </w:pPr>
      <w:r>
        <w:rPr>
          <w:rFonts w:hint="eastAsia"/>
          <w:color w:val="auto"/>
        </w:rPr>
        <w:t>因重大变故，采购任务取消的；</w:t>
      </w:r>
    </w:p>
    <w:p w14:paraId="7159312A">
      <w:pPr>
        <w:pStyle w:val="5"/>
        <w:spacing w:line="360" w:lineRule="auto"/>
        <w:ind w:firstLine="539" w:firstLineChars="179"/>
        <w:rPr>
          <w:color w:val="auto"/>
          <w:sz w:val="30"/>
        </w:rPr>
      </w:pPr>
      <w:bookmarkStart w:id="11" w:name="_Toc1830"/>
      <w:r>
        <w:rPr>
          <w:rFonts w:hint="eastAsia"/>
          <w:color w:val="auto"/>
          <w:sz w:val="30"/>
        </w:rPr>
        <w:t>五、询价保证金</w:t>
      </w:r>
      <w:bookmarkEnd w:id="9"/>
      <w:bookmarkEnd w:id="10"/>
      <w:bookmarkEnd w:id="11"/>
    </w:p>
    <w:p w14:paraId="5944C5E6">
      <w:pPr>
        <w:snapToGrid w:val="0"/>
        <w:spacing w:line="360" w:lineRule="auto"/>
        <w:ind w:firstLine="573"/>
        <w:rPr>
          <w:color w:val="auto"/>
        </w:rPr>
      </w:pPr>
      <w:r>
        <w:rPr>
          <w:rFonts w:hint="eastAsia"/>
          <w:color w:val="auto"/>
        </w:rPr>
        <w:t>本项目无询价保证金要求。</w:t>
      </w:r>
    </w:p>
    <w:p w14:paraId="4BE04276">
      <w:pPr>
        <w:pStyle w:val="5"/>
        <w:spacing w:line="360" w:lineRule="auto"/>
        <w:ind w:firstLine="539" w:firstLineChars="179"/>
        <w:rPr>
          <w:color w:val="auto"/>
          <w:sz w:val="30"/>
        </w:rPr>
      </w:pPr>
      <w:bookmarkStart w:id="12" w:name="_Toc8692"/>
      <w:bookmarkStart w:id="13" w:name="_Toc233445126"/>
      <w:bookmarkStart w:id="14" w:name="_Toc102227321"/>
      <w:r>
        <w:rPr>
          <w:rFonts w:hint="eastAsia"/>
          <w:color w:val="auto"/>
          <w:sz w:val="30"/>
        </w:rPr>
        <w:t>六、成交通知</w:t>
      </w:r>
      <w:bookmarkEnd w:id="12"/>
      <w:bookmarkEnd w:id="13"/>
      <w:bookmarkEnd w:id="14"/>
    </w:p>
    <w:p w14:paraId="2C4DB207">
      <w:pPr>
        <w:snapToGrid w:val="0"/>
        <w:spacing w:line="360" w:lineRule="auto"/>
        <w:ind w:firstLine="480" w:firstLineChars="200"/>
        <w:rPr>
          <w:color w:val="auto"/>
          <w:szCs w:val="28"/>
        </w:rPr>
      </w:pPr>
      <w:bookmarkStart w:id="15" w:name="_Toc102227322"/>
      <w:bookmarkStart w:id="16" w:name="_Toc233445127"/>
      <w:r>
        <w:rPr>
          <w:rFonts w:hint="eastAsia"/>
          <w:color w:val="auto"/>
          <w:szCs w:val="28"/>
        </w:rPr>
        <w:t>询价公示期结束3个工作日内，我部将通知中标单位，进入合同签订流程。</w:t>
      </w:r>
    </w:p>
    <w:p w14:paraId="0BB4C08E">
      <w:pPr>
        <w:pStyle w:val="5"/>
        <w:spacing w:line="360" w:lineRule="auto"/>
        <w:ind w:firstLine="539" w:firstLineChars="179"/>
        <w:rPr>
          <w:color w:val="auto"/>
          <w:sz w:val="30"/>
        </w:rPr>
      </w:pPr>
      <w:bookmarkStart w:id="17" w:name="_Toc18238"/>
      <w:r>
        <w:rPr>
          <w:rFonts w:hint="eastAsia"/>
          <w:color w:val="auto"/>
          <w:sz w:val="30"/>
        </w:rPr>
        <w:t>七、签订</w:t>
      </w:r>
      <w:bookmarkEnd w:id="15"/>
      <w:r>
        <w:rPr>
          <w:rFonts w:hint="eastAsia"/>
          <w:color w:val="auto"/>
          <w:sz w:val="30"/>
        </w:rPr>
        <w:t>合同</w:t>
      </w:r>
      <w:bookmarkEnd w:id="16"/>
      <w:bookmarkEnd w:id="17"/>
    </w:p>
    <w:p w14:paraId="1DEB5A30">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4F286B2A">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5C93AE11">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AE5F">
    <w:pPr>
      <w:pStyle w:val="22"/>
      <w:framePr w:wrap="around" w:vAnchor="text" w:hAnchor="page" w:x="5959" w:y="58"/>
      <w:rPr>
        <w:rStyle w:val="41"/>
        <w:sz w:val="28"/>
      </w:rPr>
    </w:pPr>
    <w:r>
      <w:fldChar w:fldCharType="begin"/>
    </w:r>
    <w:r>
      <w:rPr>
        <w:rStyle w:val="41"/>
      </w:rPr>
      <w:instrText xml:space="preserve"> PAGE </w:instrText>
    </w:r>
    <w:r>
      <w:fldChar w:fldCharType="separate"/>
    </w:r>
    <w:r>
      <w:rPr>
        <w:rStyle w:val="41"/>
      </w:rPr>
      <w:t>18</w:t>
    </w:r>
    <w:r>
      <w:fldChar w:fldCharType="end"/>
    </w:r>
  </w:p>
  <w:p w14:paraId="22421219">
    <w:pPr>
      <w:pStyle w:val="22"/>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B926">
    <w:pPr>
      <w:pStyle w:val="23"/>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60"/>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9"/>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1"/>
      <w:suff w:val="space"/>
      <w:lvlText w:val="%3."/>
      <w:lvlJc w:val="left"/>
      <w:pPr>
        <w:tabs>
          <w:tab w:val="left" w:pos="420"/>
        </w:tabs>
        <w:ind w:left="0" w:firstLine="402"/>
      </w:pPr>
      <w:rPr>
        <w:rFonts w:hint="default" w:ascii="宋体" w:hAnsi="宋体" w:eastAsia="仿宋" w:cs="宋体"/>
        <w:sz w:val="32"/>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AB7B3E"/>
    <w:rsid w:val="00001C2B"/>
    <w:rsid w:val="00002F58"/>
    <w:rsid w:val="000037BC"/>
    <w:rsid w:val="000048C9"/>
    <w:rsid w:val="0001037F"/>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665C"/>
    <w:rsid w:val="00067C8C"/>
    <w:rsid w:val="00067FCD"/>
    <w:rsid w:val="0007013F"/>
    <w:rsid w:val="00070425"/>
    <w:rsid w:val="00070765"/>
    <w:rsid w:val="00071270"/>
    <w:rsid w:val="00072092"/>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676"/>
    <w:rsid w:val="00101C08"/>
    <w:rsid w:val="00102999"/>
    <w:rsid w:val="00107936"/>
    <w:rsid w:val="001079A2"/>
    <w:rsid w:val="00112601"/>
    <w:rsid w:val="00113ABA"/>
    <w:rsid w:val="00114339"/>
    <w:rsid w:val="0011475D"/>
    <w:rsid w:val="00114E1C"/>
    <w:rsid w:val="00115538"/>
    <w:rsid w:val="001179DE"/>
    <w:rsid w:val="001206EF"/>
    <w:rsid w:val="0012178E"/>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513E0"/>
    <w:rsid w:val="00152E38"/>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0C20"/>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41431"/>
    <w:rsid w:val="0035107B"/>
    <w:rsid w:val="00351C33"/>
    <w:rsid w:val="003534E1"/>
    <w:rsid w:val="003537D2"/>
    <w:rsid w:val="0035462C"/>
    <w:rsid w:val="0035464F"/>
    <w:rsid w:val="00361B52"/>
    <w:rsid w:val="00363AB3"/>
    <w:rsid w:val="00366B2B"/>
    <w:rsid w:val="00367852"/>
    <w:rsid w:val="003709C8"/>
    <w:rsid w:val="00371084"/>
    <w:rsid w:val="00372A73"/>
    <w:rsid w:val="00373F47"/>
    <w:rsid w:val="00374E57"/>
    <w:rsid w:val="00375495"/>
    <w:rsid w:val="00375A23"/>
    <w:rsid w:val="00380C54"/>
    <w:rsid w:val="00384947"/>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D"/>
    <w:rsid w:val="0053566C"/>
    <w:rsid w:val="00537220"/>
    <w:rsid w:val="0053752E"/>
    <w:rsid w:val="005402F2"/>
    <w:rsid w:val="00540C29"/>
    <w:rsid w:val="005410AC"/>
    <w:rsid w:val="00542383"/>
    <w:rsid w:val="0054255D"/>
    <w:rsid w:val="00543121"/>
    <w:rsid w:val="0054369F"/>
    <w:rsid w:val="00543C01"/>
    <w:rsid w:val="00544510"/>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318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C0B"/>
    <w:rsid w:val="005B2D5A"/>
    <w:rsid w:val="005B2FF2"/>
    <w:rsid w:val="005B576F"/>
    <w:rsid w:val="005B5ACB"/>
    <w:rsid w:val="005C2A7F"/>
    <w:rsid w:val="005C2E18"/>
    <w:rsid w:val="005C454D"/>
    <w:rsid w:val="005C4D35"/>
    <w:rsid w:val="005D1A64"/>
    <w:rsid w:val="005D3A22"/>
    <w:rsid w:val="005E138A"/>
    <w:rsid w:val="005E5465"/>
    <w:rsid w:val="005E577C"/>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34105"/>
    <w:rsid w:val="00640246"/>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7EC"/>
    <w:rsid w:val="006726F8"/>
    <w:rsid w:val="0067459C"/>
    <w:rsid w:val="006759AA"/>
    <w:rsid w:val="00675B19"/>
    <w:rsid w:val="00677037"/>
    <w:rsid w:val="00681583"/>
    <w:rsid w:val="00682083"/>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E33"/>
    <w:rsid w:val="006B7133"/>
    <w:rsid w:val="006B7BA4"/>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2056A"/>
    <w:rsid w:val="00721400"/>
    <w:rsid w:val="00722D9B"/>
    <w:rsid w:val="00727671"/>
    <w:rsid w:val="007311C5"/>
    <w:rsid w:val="00731535"/>
    <w:rsid w:val="00731A32"/>
    <w:rsid w:val="007337C6"/>
    <w:rsid w:val="00733BDE"/>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2AF"/>
    <w:rsid w:val="007E5CD7"/>
    <w:rsid w:val="007E6A9D"/>
    <w:rsid w:val="007F2A6E"/>
    <w:rsid w:val="007F3EAF"/>
    <w:rsid w:val="007F3EC1"/>
    <w:rsid w:val="007F4015"/>
    <w:rsid w:val="007F4A36"/>
    <w:rsid w:val="007F5FF5"/>
    <w:rsid w:val="007F72D8"/>
    <w:rsid w:val="00810371"/>
    <w:rsid w:val="00811664"/>
    <w:rsid w:val="0081492B"/>
    <w:rsid w:val="00822A19"/>
    <w:rsid w:val="00823AE1"/>
    <w:rsid w:val="00824E80"/>
    <w:rsid w:val="00831612"/>
    <w:rsid w:val="0083398A"/>
    <w:rsid w:val="00834295"/>
    <w:rsid w:val="00834415"/>
    <w:rsid w:val="00841086"/>
    <w:rsid w:val="00841B89"/>
    <w:rsid w:val="00843238"/>
    <w:rsid w:val="00844064"/>
    <w:rsid w:val="0085262B"/>
    <w:rsid w:val="00856452"/>
    <w:rsid w:val="008564C9"/>
    <w:rsid w:val="00860498"/>
    <w:rsid w:val="00860B0C"/>
    <w:rsid w:val="00861EF6"/>
    <w:rsid w:val="008624D4"/>
    <w:rsid w:val="00862685"/>
    <w:rsid w:val="00865922"/>
    <w:rsid w:val="00866E0C"/>
    <w:rsid w:val="00867E39"/>
    <w:rsid w:val="008709CD"/>
    <w:rsid w:val="00870ED4"/>
    <w:rsid w:val="008710FE"/>
    <w:rsid w:val="0087352D"/>
    <w:rsid w:val="008748EE"/>
    <w:rsid w:val="00875AEA"/>
    <w:rsid w:val="00876C7D"/>
    <w:rsid w:val="008834F4"/>
    <w:rsid w:val="00883F57"/>
    <w:rsid w:val="00884DD5"/>
    <w:rsid w:val="0088649C"/>
    <w:rsid w:val="0089201E"/>
    <w:rsid w:val="008925F6"/>
    <w:rsid w:val="00892972"/>
    <w:rsid w:val="0089338C"/>
    <w:rsid w:val="00893DE3"/>
    <w:rsid w:val="008A0880"/>
    <w:rsid w:val="008A1689"/>
    <w:rsid w:val="008A2DCA"/>
    <w:rsid w:val="008A5715"/>
    <w:rsid w:val="008A5A6F"/>
    <w:rsid w:val="008A5AF3"/>
    <w:rsid w:val="008A79BF"/>
    <w:rsid w:val="008B56CB"/>
    <w:rsid w:val="008B58B1"/>
    <w:rsid w:val="008B5C29"/>
    <w:rsid w:val="008B75BF"/>
    <w:rsid w:val="008B7B16"/>
    <w:rsid w:val="008C155A"/>
    <w:rsid w:val="008C2331"/>
    <w:rsid w:val="008C5EC1"/>
    <w:rsid w:val="008C7DB5"/>
    <w:rsid w:val="008D11FD"/>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0447"/>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4194"/>
    <w:rsid w:val="009863A1"/>
    <w:rsid w:val="00992BF6"/>
    <w:rsid w:val="00993B18"/>
    <w:rsid w:val="009949C9"/>
    <w:rsid w:val="009958B4"/>
    <w:rsid w:val="00996DBF"/>
    <w:rsid w:val="009A0C0C"/>
    <w:rsid w:val="009A1667"/>
    <w:rsid w:val="009A194A"/>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050"/>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342C"/>
    <w:rsid w:val="00AB402B"/>
    <w:rsid w:val="00AB40A8"/>
    <w:rsid w:val="00AB4F6B"/>
    <w:rsid w:val="00AB522C"/>
    <w:rsid w:val="00AB5ACF"/>
    <w:rsid w:val="00AB6946"/>
    <w:rsid w:val="00AB7B27"/>
    <w:rsid w:val="00AB7B3E"/>
    <w:rsid w:val="00AC3F23"/>
    <w:rsid w:val="00AC4D96"/>
    <w:rsid w:val="00AD0112"/>
    <w:rsid w:val="00AD2A19"/>
    <w:rsid w:val="00AD3AA5"/>
    <w:rsid w:val="00AD3E09"/>
    <w:rsid w:val="00AD49DD"/>
    <w:rsid w:val="00AE23D7"/>
    <w:rsid w:val="00AE24DB"/>
    <w:rsid w:val="00AE36E2"/>
    <w:rsid w:val="00AE590E"/>
    <w:rsid w:val="00AE5985"/>
    <w:rsid w:val="00AE6715"/>
    <w:rsid w:val="00AE6E12"/>
    <w:rsid w:val="00AF07E0"/>
    <w:rsid w:val="00AF0820"/>
    <w:rsid w:val="00AF2F9B"/>
    <w:rsid w:val="00AF3069"/>
    <w:rsid w:val="00AF50D7"/>
    <w:rsid w:val="00AF5317"/>
    <w:rsid w:val="00AF57A9"/>
    <w:rsid w:val="00AF6C57"/>
    <w:rsid w:val="00AF77DA"/>
    <w:rsid w:val="00AF7FB2"/>
    <w:rsid w:val="00B00F89"/>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50A"/>
    <w:rsid w:val="00B57651"/>
    <w:rsid w:val="00B607B8"/>
    <w:rsid w:val="00B62B06"/>
    <w:rsid w:val="00B6412F"/>
    <w:rsid w:val="00B6432E"/>
    <w:rsid w:val="00B64A3B"/>
    <w:rsid w:val="00B654F1"/>
    <w:rsid w:val="00B66A18"/>
    <w:rsid w:val="00B72431"/>
    <w:rsid w:val="00B73F85"/>
    <w:rsid w:val="00B74CD2"/>
    <w:rsid w:val="00B774C6"/>
    <w:rsid w:val="00B80287"/>
    <w:rsid w:val="00B802C4"/>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FD7"/>
    <w:rsid w:val="00BF2B19"/>
    <w:rsid w:val="00BF4412"/>
    <w:rsid w:val="00BF4EA5"/>
    <w:rsid w:val="00BF6D02"/>
    <w:rsid w:val="00BF7FE4"/>
    <w:rsid w:val="00C03D65"/>
    <w:rsid w:val="00C03F74"/>
    <w:rsid w:val="00C040EC"/>
    <w:rsid w:val="00C05451"/>
    <w:rsid w:val="00C057C0"/>
    <w:rsid w:val="00C05991"/>
    <w:rsid w:val="00C10DD3"/>
    <w:rsid w:val="00C12D40"/>
    <w:rsid w:val="00C12E51"/>
    <w:rsid w:val="00C14C00"/>
    <w:rsid w:val="00C151BA"/>
    <w:rsid w:val="00C15ABC"/>
    <w:rsid w:val="00C21522"/>
    <w:rsid w:val="00C22846"/>
    <w:rsid w:val="00C233E7"/>
    <w:rsid w:val="00C24D89"/>
    <w:rsid w:val="00C311AD"/>
    <w:rsid w:val="00C331F6"/>
    <w:rsid w:val="00C3510B"/>
    <w:rsid w:val="00C35E78"/>
    <w:rsid w:val="00C43055"/>
    <w:rsid w:val="00C44A2A"/>
    <w:rsid w:val="00C453AA"/>
    <w:rsid w:val="00C51212"/>
    <w:rsid w:val="00C52FB1"/>
    <w:rsid w:val="00C55593"/>
    <w:rsid w:val="00C56949"/>
    <w:rsid w:val="00C60F4A"/>
    <w:rsid w:val="00C63FC7"/>
    <w:rsid w:val="00C647A5"/>
    <w:rsid w:val="00C66096"/>
    <w:rsid w:val="00C7371C"/>
    <w:rsid w:val="00C7412E"/>
    <w:rsid w:val="00C76FBE"/>
    <w:rsid w:val="00C81050"/>
    <w:rsid w:val="00C81804"/>
    <w:rsid w:val="00C8417E"/>
    <w:rsid w:val="00C84EB3"/>
    <w:rsid w:val="00C861DB"/>
    <w:rsid w:val="00C872F6"/>
    <w:rsid w:val="00C9012C"/>
    <w:rsid w:val="00C95671"/>
    <w:rsid w:val="00C956BC"/>
    <w:rsid w:val="00C95743"/>
    <w:rsid w:val="00C9589A"/>
    <w:rsid w:val="00C96F07"/>
    <w:rsid w:val="00C97FCB"/>
    <w:rsid w:val="00CA3E93"/>
    <w:rsid w:val="00CA55B3"/>
    <w:rsid w:val="00CA708E"/>
    <w:rsid w:val="00CB171E"/>
    <w:rsid w:val="00CB231D"/>
    <w:rsid w:val="00CB3223"/>
    <w:rsid w:val="00CB7218"/>
    <w:rsid w:val="00CB78FF"/>
    <w:rsid w:val="00CC06D6"/>
    <w:rsid w:val="00CC2280"/>
    <w:rsid w:val="00CC482E"/>
    <w:rsid w:val="00CC4A9C"/>
    <w:rsid w:val="00CC54C9"/>
    <w:rsid w:val="00CD134F"/>
    <w:rsid w:val="00CD2567"/>
    <w:rsid w:val="00CD3BF4"/>
    <w:rsid w:val="00CD43FF"/>
    <w:rsid w:val="00CD660A"/>
    <w:rsid w:val="00CE1B28"/>
    <w:rsid w:val="00CE29E5"/>
    <w:rsid w:val="00CE6A78"/>
    <w:rsid w:val="00CE7350"/>
    <w:rsid w:val="00CF0D93"/>
    <w:rsid w:val="00CF2523"/>
    <w:rsid w:val="00CF3E71"/>
    <w:rsid w:val="00CF6EBB"/>
    <w:rsid w:val="00CF7D66"/>
    <w:rsid w:val="00D037ED"/>
    <w:rsid w:val="00D049AF"/>
    <w:rsid w:val="00D062C6"/>
    <w:rsid w:val="00D0680B"/>
    <w:rsid w:val="00D10F84"/>
    <w:rsid w:val="00D11359"/>
    <w:rsid w:val="00D114FC"/>
    <w:rsid w:val="00D13AE6"/>
    <w:rsid w:val="00D1423A"/>
    <w:rsid w:val="00D14BE6"/>
    <w:rsid w:val="00D1637C"/>
    <w:rsid w:val="00D16412"/>
    <w:rsid w:val="00D20027"/>
    <w:rsid w:val="00D21AE1"/>
    <w:rsid w:val="00D220B6"/>
    <w:rsid w:val="00D22D97"/>
    <w:rsid w:val="00D236CB"/>
    <w:rsid w:val="00D23BBE"/>
    <w:rsid w:val="00D269B6"/>
    <w:rsid w:val="00D30FED"/>
    <w:rsid w:val="00D32A8F"/>
    <w:rsid w:val="00D337DB"/>
    <w:rsid w:val="00D345B6"/>
    <w:rsid w:val="00D35C35"/>
    <w:rsid w:val="00D36E5B"/>
    <w:rsid w:val="00D37291"/>
    <w:rsid w:val="00D415EF"/>
    <w:rsid w:val="00D41D39"/>
    <w:rsid w:val="00D42F87"/>
    <w:rsid w:val="00D43D66"/>
    <w:rsid w:val="00D463D2"/>
    <w:rsid w:val="00D46A4A"/>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247D"/>
    <w:rsid w:val="00D934A9"/>
    <w:rsid w:val="00DA097C"/>
    <w:rsid w:val="00DA1170"/>
    <w:rsid w:val="00DA1FB8"/>
    <w:rsid w:val="00DA4994"/>
    <w:rsid w:val="00DA61DC"/>
    <w:rsid w:val="00DA72B6"/>
    <w:rsid w:val="00DA72E2"/>
    <w:rsid w:val="00DA75CC"/>
    <w:rsid w:val="00DC1AAC"/>
    <w:rsid w:val="00DC1E09"/>
    <w:rsid w:val="00DC2C8E"/>
    <w:rsid w:val="00DC3B93"/>
    <w:rsid w:val="00DC55E1"/>
    <w:rsid w:val="00DC64C5"/>
    <w:rsid w:val="00DD0620"/>
    <w:rsid w:val="00DD06C4"/>
    <w:rsid w:val="00DD32D4"/>
    <w:rsid w:val="00DD65FF"/>
    <w:rsid w:val="00DD678C"/>
    <w:rsid w:val="00DD67A9"/>
    <w:rsid w:val="00DE1F5A"/>
    <w:rsid w:val="00DE28DF"/>
    <w:rsid w:val="00DE3453"/>
    <w:rsid w:val="00DE44CA"/>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7FB2"/>
    <w:rsid w:val="00EA302A"/>
    <w:rsid w:val="00EA3F12"/>
    <w:rsid w:val="00EA5180"/>
    <w:rsid w:val="00EA747B"/>
    <w:rsid w:val="00EB02DF"/>
    <w:rsid w:val="00EB1169"/>
    <w:rsid w:val="00EB1E3E"/>
    <w:rsid w:val="00EB5564"/>
    <w:rsid w:val="00EB624D"/>
    <w:rsid w:val="00EB7035"/>
    <w:rsid w:val="00EC062C"/>
    <w:rsid w:val="00EC186E"/>
    <w:rsid w:val="00EC2EFF"/>
    <w:rsid w:val="00EC3750"/>
    <w:rsid w:val="00EC54BA"/>
    <w:rsid w:val="00EC6330"/>
    <w:rsid w:val="00ED1072"/>
    <w:rsid w:val="00ED1F1A"/>
    <w:rsid w:val="00ED43A7"/>
    <w:rsid w:val="00ED5EEA"/>
    <w:rsid w:val="00ED7133"/>
    <w:rsid w:val="00ED73D6"/>
    <w:rsid w:val="00ED76E9"/>
    <w:rsid w:val="00EE1B0A"/>
    <w:rsid w:val="00EE5638"/>
    <w:rsid w:val="00EE5B55"/>
    <w:rsid w:val="00EF384E"/>
    <w:rsid w:val="00EF7CA6"/>
    <w:rsid w:val="00F0011D"/>
    <w:rsid w:val="00F00299"/>
    <w:rsid w:val="00F053C9"/>
    <w:rsid w:val="00F0639F"/>
    <w:rsid w:val="00F0665F"/>
    <w:rsid w:val="00F071A7"/>
    <w:rsid w:val="00F07781"/>
    <w:rsid w:val="00F13186"/>
    <w:rsid w:val="00F16A29"/>
    <w:rsid w:val="00F16CFD"/>
    <w:rsid w:val="00F17979"/>
    <w:rsid w:val="00F20E42"/>
    <w:rsid w:val="00F24CE5"/>
    <w:rsid w:val="00F24EAA"/>
    <w:rsid w:val="00F258CF"/>
    <w:rsid w:val="00F353E2"/>
    <w:rsid w:val="00F37DCC"/>
    <w:rsid w:val="00F403F6"/>
    <w:rsid w:val="00F40BB5"/>
    <w:rsid w:val="00F41020"/>
    <w:rsid w:val="00F415AD"/>
    <w:rsid w:val="00F419FC"/>
    <w:rsid w:val="00F41C26"/>
    <w:rsid w:val="00F435DF"/>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310"/>
    <w:rsid w:val="00F6476E"/>
    <w:rsid w:val="00F64F1B"/>
    <w:rsid w:val="00F713B2"/>
    <w:rsid w:val="00F7288E"/>
    <w:rsid w:val="00F744C3"/>
    <w:rsid w:val="00F75E75"/>
    <w:rsid w:val="00F76412"/>
    <w:rsid w:val="00F767CD"/>
    <w:rsid w:val="00F84D05"/>
    <w:rsid w:val="00F84E62"/>
    <w:rsid w:val="00F862DE"/>
    <w:rsid w:val="00F869DA"/>
    <w:rsid w:val="00F90A1B"/>
    <w:rsid w:val="00F90EA8"/>
    <w:rsid w:val="00F9217C"/>
    <w:rsid w:val="00F94569"/>
    <w:rsid w:val="00F9495D"/>
    <w:rsid w:val="00F94B0B"/>
    <w:rsid w:val="00F95A25"/>
    <w:rsid w:val="00FA4EF7"/>
    <w:rsid w:val="00FA6D40"/>
    <w:rsid w:val="00FA75A6"/>
    <w:rsid w:val="00FB4B23"/>
    <w:rsid w:val="00FB5AC8"/>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5C53"/>
    <w:rsid w:val="00FE5C6D"/>
    <w:rsid w:val="00FE6861"/>
    <w:rsid w:val="00FE6F48"/>
    <w:rsid w:val="00FF043A"/>
    <w:rsid w:val="00FF333D"/>
    <w:rsid w:val="00FF7D6C"/>
    <w:rsid w:val="011A6A19"/>
    <w:rsid w:val="01EB413C"/>
    <w:rsid w:val="02965E3B"/>
    <w:rsid w:val="06287E88"/>
    <w:rsid w:val="0EBA0855"/>
    <w:rsid w:val="10542B98"/>
    <w:rsid w:val="1070776A"/>
    <w:rsid w:val="114A321B"/>
    <w:rsid w:val="115E2D71"/>
    <w:rsid w:val="130D2DB9"/>
    <w:rsid w:val="13252340"/>
    <w:rsid w:val="15783C20"/>
    <w:rsid w:val="17691CD2"/>
    <w:rsid w:val="18A74CF9"/>
    <w:rsid w:val="18AE6902"/>
    <w:rsid w:val="18B0107D"/>
    <w:rsid w:val="1954405E"/>
    <w:rsid w:val="1A5A5594"/>
    <w:rsid w:val="1B742AD4"/>
    <w:rsid w:val="1E077665"/>
    <w:rsid w:val="1F053662"/>
    <w:rsid w:val="1F8262F1"/>
    <w:rsid w:val="1F984024"/>
    <w:rsid w:val="214C00FA"/>
    <w:rsid w:val="21AE0714"/>
    <w:rsid w:val="228C7DBD"/>
    <w:rsid w:val="2532076C"/>
    <w:rsid w:val="26430FB2"/>
    <w:rsid w:val="26D44EEC"/>
    <w:rsid w:val="2702648C"/>
    <w:rsid w:val="2A2777A6"/>
    <w:rsid w:val="2A660F1C"/>
    <w:rsid w:val="2AB550F8"/>
    <w:rsid w:val="2C2069C9"/>
    <w:rsid w:val="2C234E07"/>
    <w:rsid w:val="2E2C3B97"/>
    <w:rsid w:val="2E8304E0"/>
    <w:rsid w:val="305135C1"/>
    <w:rsid w:val="35045F86"/>
    <w:rsid w:val="35A117B5"/>
    <w:rsid w:val="35B4596C"/>
    <w:rsid w:val="38F23440"/>
    <w:rsid w:val="3A270945"/>
    <w:rsid w:val="3D0174D7"/>
    <w:rsid w:val="3D552FC9"/>
    <w:rsid w:val="3D7514D9"/>
    <w:rsid w:val="3DA962B7"/>
    <w:rsid w:val="3FF31095"/>
    <w:rsid w:val="40840F0D"/>
    <w:rsid w:val="409B088B"/>
    <w:rsid w:val="42D00689"/>
    <w:rsid w:val="45274701"/>
    <w:rsid w:val="45AC22C5"/>
    <w:rsid w:val="48667F04"/>
    <w:rsid w:val="48D17AA5"/>
    <w:rsid w:val="4A453BD0"/>
    <w:rsid w:val="4A930919"/>
    <w:rsid w:val="4B283A52"/>
    <w:rsid w:val="4FC155E1"/>
    <w:rsid w:val="505B4ACE"/>
    <w:rsid w:val="51CA4C27"/>
    <w:rsid w:val="52D01641"/>
    <w:rsid w:val="530B5BE3"/>
    <w:rsid w:val="530B6AC9"/>
    <w:rsid w:val="53C94BEB"/>
    <w:rsid w:val="566A0555"/>
    <w:rsid w:val="58925A11"/>
    <w:rsid w:val="5A407A4A"/>
    <w:rsid w:val="5A4C4AC6"/>
    <w:rsid w:val="5C413CAE"/>
    <w:rsid w:val="5C8174F4"/>
    <w:rsid w:val="5FDF45FF"/>
    <w:rsid w:val="61440790"/>
    <w:rsid w:val="614E7A33"/>
    <w:rsid w:val="6336629F"/>
    <w:rsid w:val="67F90E90"/>
    <w:rsid w:val="6AD536C3"/>
    <w:rsid w:val="6BBB30C2"/>
    <w:rsid w:val="6EC24D4E"/>
    <w:rsid w:val="6F1218C9"/>
    <w:rsid w:val="6FC23D79"/>
    <w:rsid w:val="700E617D"/>
    <w:rsid w:val="709E51FA"/>
    <w:rsid w:val="7454559C"/>
    <w:rsid w:val="74976277"/>
    <w:rsid w:val="78526E6F"/>
    <w:rsid w:val="78E563D2"/>
    <w:rsid w:val="7A804DD2"/>
    <w:rsid w:val="7BFA5853"/>
    <w:rsid w:val="7E745D91"/>
    <w:rsid w:val="7EDB3942"/>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autoRedefine/>
    <w:qFormat/>
    <w:uiPriority w:val="0"/>
    <w:pPr>
      <w:keepNext/>
      <w:snapToGrid w:val="0"/>
      <w:spacing w:line="360" w:lineRule="atLeast"/>
      <w:outlineLvl w:val="0"/>
    </w:p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7">
    <w:name w:val="toc 7"/>
    <w:basedOn w:val="1"/>
    <w:next w:val="1"/>
    <w:autoRedefine/>
    <w:semiHidden/>
    <w:qFormat/>
    <w:uiPriority w:val="0"/>
    <w:pPr>
      <w:ind w:left="1680"/>
    </w:pPr>
    <w:rPr>
      <w:rFonts w:ascii="等线" w:eastAsia="等线"/>
      <w:sz w:val="20"/>
    </w:rPr>
  </w:style>
  <w:style w:type="paragraph" w:styleId="8">
    <w:name w:val="index 8"/>
    <w:basedOn w:val="1"/>
    <w:next w:val="1"/>
    <w:autoRedefine/>
    <w:semiHidden/>
    <w:qFormat/>
    <w:uiPriority w:val="0"/>
    <w:pPr>
      <w:ind w:left="1400" w:leftChars="1400"/>
    </w:pPr>
  </w:style>
  <w:style w:type="paragraph" w:styleId="9">
    <w:name w:val="index 5"/>
    <w:basedOn w:val="1"/>
    <w:next w:val="1"/>
    <w:autoRedefine/>
    <w:semiHidden/>
    <w:qFormat/>
    <w:uiPriority w:val="0"/>
    <w:pPr>
      <w:ind w:left="800" w:leftChars="800"/>
    </w:pPr>
  </w:style>
  <w:style w:type="paragraph" w:styleId="10">
    <w:name w:val="annotation text"/>
    <w:basedOn w:val="1"/>
    <w:autoRedefine/>
    <w:qFormat/>
    <w:uiPriority w:val="0"/>
  </w:style>
  <w:style w:type="paragraph" w:styleId="11">
    <w:name w:val="index 6"/>
    <w:basedOn w:val="1"/>
    <w:next w:val="1"/>
    <w:autoRedefine/>
    <w:semiHidden/>
    <w:qFormat/>
    <w:uiPriority w:val="0"/>
    <w:pPr>
      <w:ind w:left="1000" w:leftChars="1000"/>
    </w:pPr>
  </w:style>
  <w:style w:type="paragraph" w:styleId="12">
    <w:name w:val="Body Text"/>
    <w:basedOn w:val="1"/>
    <w:next w:val="1"/>
    <w:autoRedefine/>
    <w:qFormat/>
    <w:uiPriority w:val="0"/>
  </w:style>
  <w:style w:type="paragraph" w:styleId="13">
    <w:name w:val="Body Text Indent"/>
    <w:basedOn w:val="1"/>
    <w:autoRedefine/>
    <w:qFormat/>
    <w:uiPriority w:val="0"/>
    <w:pPr>
      <w:spacing w:line="700" w:lineRule="exact"/>
      <w:ind w:left="960"/>
    </w:pPr>
    <w:rPr>
      <w:sz w:val="44"/>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120"/>
    </w:pPr>
    <w:rPr>
      <w:rFonts w:ascii="等线" w:eastAsia="等线"/>
      <w:sz w:val="20"/>
    </w:rPr>
  </w:style>
  <w:style w:type="paragraph" w:styleId="16">
    <w:name w:val="toc 3"/>
    <w:basedOn w:val="1"/>
    <w:next w:val="1"/>
    <w:autoRedefine/>
    <w:qFormat/>
    <w:uiPriority w:val="39"/>
    <w:pPr>
      <w:ind w:left="560"/>
    </w:pPr>
    <w:rPr>
      <w:rFonts w:ascii="等线" w:eastAsia="等线"/>
      <w:sz w:val="20"/>
    </w:rPr>
  </w:style>
  <w:style w:type="paragraph" w:styleId="17">
    <w:name w:val="toc 8"/>
    <w:basedOn w:val="1"/>
    <w:next w:val="1"/>
    <w:autoRedefine/>
    <w:semiHidden/>
    <w:qFormat/>
    <w:uiPriority w:val="0"/>
    <w:pPr>
      <w:ind w:left="1960"/>
    </w:pPr>
    <w:rPr>
      <w:rFonts w:ascii="等线" w:eastAsia="等线"/>
      <w:sz w:val="20"/>
    </w:rPr>
  </w:style>
  <w:style w:type="paragraph" w:styleId="18">
    <w:name w:val="index 3"/>
    <w:basedOn w:val="1"/>
    <w:next w:val="1"/>
    <w:autoRedefine/>
    <w:semiHidden/>
    <w:qFormat/>
    <w:uiPriority w:val="0"/>
    <w:pPr>
      <w:ind w:left="400" w:leftChars="400"/>
    </w:p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spacing w:before="120"/>
    </w:pPr>
    <w:rPr>
      <w:rFonts w:ascii="等线" w:eastAsia="等线"/>
      <w:b/>
      <w:bCs/>
      <w:i/>
      <w:iCs/>
    </w:rPr>
  </w:style>
  <w:style w:type="paragraph" w:styleId="25">
    <w:name w:val="toc 4"/>
    <w:basedOn w:val="1"/>
    <w:next w:val="1"/>
    <w:autoRedefine/>
    <w:semiHidden/>
    <w:qFormat/>
    <w:uiPriority w:val="0"/>
    <w:pPr>
      <w:ind w:left="840"/>
    </w:pPr>
    <w:rPr>
      <w:rFonts w:ascii="等线" w:eastAsia="等线"/>
      <w:sz w:val="20"/>
    </w:rPr>
  </w:style>
  <w:style w:type="paragraph" w:styleId="26">
    <w:name w:val="index heading"/>
    <w:basedOn w:val="1"/>
    <w:next w:val="27"/>
    <w:autoRedefine/>
    <w:semiHidden/>
    <w:qFormat/>
    <w:uiPriority w:val="0"/>
  </w:style>
  <w:style w:type="paragraph" w:styleId="27">
    <w:name w:val="index 1"/>
    <w:basedOn w:val="1"/>
    <w:next w:val="1"/>
    <w:autoRedefine/>
    <w:semiHidden/>
    <w:qFormat/>
    <w:uiPriority w:val="0"/>
  </w:style>
  <w:style w:type="paragraph" w:styleId="28">
    <w:name w:val="toc 6"/>
    <w:basedOn w:val="1"/>
    <w:next w:val="1"/>
    <w:autoRedefine/>
    <w:semiHidden/>
    <w:qFormat/>
    <w:uiPriority w:val="0"/>
    <w:pPr>
      <w:ind w:left="1400"/>
    </w:pPr>
    <w:rPr>
      <w:rFonts w:ascii="等线" w:eastAsia="等线"/>
      <w:sz w:val="20"/>
    </w:rPr>
  </w:style>
  <w:style w:type="paragraph" w:styleId="29">
    <w:name w:val="Body Text Indent 3"/>
    <w:basedOn w:val="1"/>
    <w:autoRedefine/>
    <w:qFormat/>
    <w:uiPriority w:val="0"/>
    <w:pPr>
      <w:spacing w:after="120"/>
      <w:ind w:left="420" w:leftChars="200"/>
    </w:pPr>
    <w:rPr>
      <w:sz w:val="16"/>
      <w:szCs w:val="16"/>
    </w:rPr>
  </w:style>
  <w:style w:type="paragraph" w:styleId="30">
    <w:name w:val="index 7"/>
    <w:basedOn w:val="1"/>
    <w:next w:val="1"/>
    <w:autoRedefine/>
    <w:semiHidden/>
    <w:qFormat/>
    <w:uiPriority w:val="0"/>
    <w:pPr>
      <w:ind w:left="1200" w:leftChars="1200"/>
    </w:pPr>
  </w:style>
  <w:style w:type="paragraph" w:styleId="31">
    <w:name w:val="index 9"/>
    <w:basedOn w:val="1"/>
    <w:next w:val="1"/>
    <w:autoRedefine/>
    <w:semiHidden/>
    <w:qFormat/>
    <w:uiPriority w:val="0"/>
    <w:pPr>
      <w:ind w:left="1600" w:leftChars="1600"/>
    </w:pPr>
  </w:style>
  <w:style w:type="paragraph" w:styleId="32">
    <w:name w:val="toc 2"/>
    <w:basedOn w:val="1"/>
    <w:next w:val="1"/>
    <w:autoRedefine/>
    <w:qFormat/>
    <w:uiPriority w:val="39"/>
    <w:pPr>
      <w:spacing w:before="120"/>
      <w:ind w:left="280"/>
    </w:pPr>
    <w:rPr>
      <w:rFonts w:ascii="等线" w:eastAsia="等线"/>
      <w:b/>
      <w:bCs/>
      <w:sz w:val="22"/>
      <w:szCs w:val="22"/>
    </w:rPr>
  </w:style>
  <w:style w:type="paragraph" w:styleId="33">
    <w:name w:val="toc 9"/>
    <w:basedOn w:val="1"/>
    <w:next w:val="1"/>
    <w:autoRedefine/>
    <w:semiHidden/>
    <w:qFormat/>
    <w:uiPriority w:val="0"/>
    <w:pPr>
      <w:ind w:left="2240"/>
    </w:pPr>
    <w:rPr>
      <w:rFonts w:ascii="等线" w:eastAsia="等线"/>
      <w:sz w:val="20"/>
    </w:rPr>
  </w:style>
  <w:style w:type="paragraph" w:styleId="34">
    <w:name w:val="HTML Preformatted"/>
    <w:basedOn w:val="1"/>
    <w:link w:val="45"/>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5">
    <w:name w:val="Normal (Web)"/>
    <w:basedOn w:val="1"/>
    <w:autoRedefine/>
    <w:qFormat/>
    <w:uiPriority w:val="0"/>
    <w:pPr>
      <w:widowControl/>
      <w:autoSpaceDE/>
      <w:autoSpaceDN/>
      <w:adjustRightInd/>
      <w:snapToGrid/>
      <w:spacing w:before="100" w:beforeAutospacing="1" w:after="100" w:afterAutospacing="1" w:line="240" w:lineRule="auto"/>
      <w:ind w:firstLine="0" w:firstLineChars="0"/>
      <w:jc w:val="left"/>
    </w:pPr>
    <w:rPr>
      <w:rFonts w:ascii="Times New Roman" w:hAnsi="Times New Roman" w:cs="Times New Roman" w:eastAsiaTheme="minorEastAsia"/>
      <w:kern w:val="0"/>
      <w:sz w:val="24"/>
      <w:szCs w:val="20"/>
    </w:rPr>
  </w:style>
  <w:style w:type="paragraph" w:styleId="36">
    <w:name w:val="index 2"/>
    <w:basedOn w:val="1"/>
    <w:next w:val="1"/>
    <w:autoRedefine/>
    <w:semiHidden/>
    <w:qFormat/>
    <w:uiPriority w:val="0"/>
    <w:pPr>
      <w:ind w:left="200" w:leftChars="200"/>
    </w:pPr>
  </w:style>
  <w:style w:type="paragraph" w:styleId="3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5">
    <w:name w:val="HTML 预设格式 字符"/>
    <w:link w:val="34"/>
    <w:autoRedefine/>
    <w:qFormat/>
    <w:uiPriority w:val="0"/>
    <w:rPr>
      <w:rFonts w:ascii="黑体" w:hAnsi="Courier New" w:eastAsia="黑体" w:cs="Courier New"/>
      <w:color w:val="000000"/>
    </w:rPr>
  </w:style>
  <w:style w:type="character" w:customStyle="1" w:styleId="46">
    <w:name w:val="HTML 预设格式 字符1"/>
    <w:autoRedefine/>
    <w:qFormat/>
    <w:uiPriority w:val="0"/>
    <w:rPr>
      <w:rFonts w:ascii="Courier New" w:hAnsi="Courier New" w:cs="Courier New"/>
      <w:kern w:val="2"/>
    </w:rPr>
  </w:style>
  <w:style w:type="character" w:customStyle="1" w:styleId="47">
    <w:name w:val="表格 Char Char"/>
    <w:link w:val="48"/>
    <w:autoRedefine/>
    <w:qFormat/>
    <w:uiPriority w:val="0"/>
    <w:rPr>
      <w:rFonts w:ascii="宋体" w:hAnsi="宋体"/>
    </w:rPr>
  </w:style>
  <w:style w:type="paragraph" w:customStyle="1" w:styleId="48">
    <w:name w:val="表格"/>
    <w:basedOn w:val="1"/>
    <w:link w:val="47"/>
    <w:autoRedefine/>
    <w:qFormat/>
    <w:uiPriority w:val="0"/>
    <w:pPr>
      <w:snapToGrid w:val="0"/>
    </w:pPr>
    <w:rPr>
      <w:sz w:val="20"/>
    </w:rPr>
  </w:style>
  <w:style w:type="paragraph" w:customStyle="1" w:styleId="49">
    <w:name w:val="TOC Heading"/>
    <w:basedOn w:val="3"/>
    <w:next w:val="1"/>
    <w:autoRedefine/>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50">
    <w:name w:val="列表内容"/>
    <w:basedOn w:val="1"/>
    <w:autoRedefine/>
    <w:qFormat/>
    <w:uiPriority w:val="0"/>
    <w:pPr>
      <w:spacing w:beforeLines="15" w:afterLines="15" w:line="260" w:lineRule="exact"/>
      <w:ind w:left="251"/>
    </w:pPr>
    <w:rPr>
      <w:sz w:val="18"/>
      <w:szCs w:val="21"/>
    </w:rPr>
  </w:style>
  <w:style w:type="paragraph" w:customStyle="1" w:styleId="51">
    <w:name w:val="a2"/>
    <w:basedOn w:val="1"/>
    <w:autoRedefine/>
    <w:qFormat/>
    <w:uiPriority w:val="0"/>
    <w:pPr>
      <w:spacing w:before="100" w:beforeAutospacing="1" w:after="100" w:afterAutospacing="1"/>
    </w:pPr>
  </w:style>
  <w:style w:type="paragraph" w:customStyle="1" w:styleId="52">
    <w:name w:val="Char1 Char Char Char"/>
    <w:basedOn w:val="1"/>
    <w:autoRedefine/>
    <w:qFormat/>
    <w:uiPriority w:val="0"/>
    <w:rPr>
      <w:rFonts w:ascii="Tahoma" w:hAnsi="Tahoma"/>
      <w:sz w:val="30"/>
      <w:szCs w:val="30"/>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Normal_0"/>
    <w:autoRedefine/>
    <w:qFormat/>
    <w:uiPriority w:val="0"/>
    <w:pPr>
      <w:widowControl w:val="0"/>
      <w:jc w:val="both"/>
    </w:pPr>
    <w:rPr>
      <w:rFonts w:ascii="Calibri" w:hAnsi="Calibri" w:eastAsia="宋体" w:cs="Times New Roman"/>
      <w:lang w:val="en-US" w:eastAsia="zh-CN" w:bidi="ar-SA"/>
    </w:rPr>
  </w:style>
  <w:style w:type="paragraph" w:customStyle="1" w:styleId="56">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57">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58">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59">
    <w:name w:val="合同一级标题"/>
    <w:basedOn w:val="37"/>
    <w:next w:val="1"/>
    <w:autoRedefine/>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60">
    <w:name w:val="合同二级标题"/>
    <w:basedOn w:val="1"/>
    <w:next w:val="1"/>
    <w:autoRedefine/>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61">
    <w:name w:val="合同三级标题"/>
    <w:basedOn w:val="1"/>
    <w:next w:val="58"/>
    <w:autoRedefine/>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62">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1667</Words>
  <Characters>1812</Characters>
  <Lines>79</Lines>
  <Paragraphs>22</Paragraphs>
  <TotalTime>1</TotalTime>
  <ScaleCrop>false</ScaleCrop>
  <LinksUpToDate>false</LinksUpToDate>
  <CharactersWithSpaces>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user</dc:creator>
  <cp:lastModifiedBy>llhhyy</cp:lastModifiedBy>
  <cp:lastPrinted>2020-06-17T07:58:00Z</cp:lastPrinted>
  <dcterms:modified xsi:type="dcterms:W3CDTF">2025-08-05T07:45:24Z</dcterms:modified>
  <dc:title>重庆市公检法系统公务用车议标项目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5170850EDE7B4BEE802CBB6226D3B787_13</vt:lpwstr>
  </property>
  <property fmtid="{D5CDD505-2E9C-101B-9397-08002B2CF9AE}" pid="4" name="KSOTemplateDocerSaveRecord">
    <vt:lpwstr>eyJoZGlkIjoiMzI1ZGFkZDZlYzVkZjViZGY5ZWJlMjhjZjVhOGZkMGQiLCJ1c2VySWQiOiIxNjE5MDYxNTAxIn0=</vt:lpwstr>
  </property>
</Properties>
</file>