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43F14">
      <w:pPr>
        <w:tabs>
          <w:tab w:val="left" w:pos="378"/>
        </w:tabs>
        <w:snapToGrid w:val="0"/>
        <w:spacing w:line="360" w:lineRule="auto"/>
        <w:ind w:firstLine="640" w:firstLineChars="200"/>
        <w:jc w:val="center"/>
        <w:rPr>
          <w:rFonts w:hint="default" w:ascii="仿宋" w:hAnsi="仿宋" w:eastAsia="黑体" w:cs="仿宋"/>
          <w:lang w:val="en-US" w:eastAsia="zh-CN"/>
        </w:rPr>
      </w:pPr>
      <w:r>
        <w:rPr>
          <w:rFonts w:hint="eastAsia" w:eastAsia="黑体"/>
          <w:sz w:val="32"/>
          <w:szCs w:val="32"/>
        </w:rPr>
        <w:t>局方视频会议主机采购</w:t>
      </w:r>
      <w:r>
        <w:rPr>
          <w:rFonts w:eastAsia="黑体"/>
          <w:sz w:val="32"/>
          <w:szCs w:val="32"/>
        </w:rPr>
        <w:t>项目</w:t>
      </w:r>
      <w:r>
        <w:rPr>
          <w:rFonts w:hint="eastAsia" w:ascii="宋体" w:hAnsi="Calibri" w:eastAsia="宋体" w:cs="仿宋"/>
          <w:b/>
          <w:bCs/>
          <w:kern w:val="44"/>
          <w:sz w:val="32"/>
          <w:szCs w:val="32"/>
          <w:u w:val="none"/>
          <w:lang w:val="en-US" w:eastAsia="zh-CN" w:bidi="ar-SA"/>
        </w:rPr>
        <w:t>询价</w:t>
      </w:r>
      <w:r>
        <w:rPr>
          <w:rFonts w:hint="eastAsia" w:eastAsia="黑体"/>
          <w:sz w:val="32"/>
          <w:szCs w:val="32"/>
          <w:lang w:val="en-US" w:eastAsia="zh-CN"/>
        </w:rPr>
        <w:t>公告</w:t>
      </w:r>
    </w:p>
    <w:p w14:paraId="0F00D460">
      <w:pPr>
        <w:spacing w:line="360" w:lineRule="auto"/>
        <w:ind w:firstLine="480" w:firstLineChars="200"/>
      </w:pPr>
      <w:r>
        <w:rPr>
          <w:rFonts w:hint="eastAsia"/>
          <w:lang w:val="en-US" w:eastAsia="zh-CN"/>
        </w:rPr>
        <w:t>武汉天河机场有限责任公司</w:t>
      </w:r>
      <w:r>
        <w:rPr>
          <w:rFonts w:hint="eastAsia"/>
        </w:rPr>
        <w:t>对</w:t>
      </w:r>
      <w:bookmarkStart w:id="0" w:name="OLE_LINK4"/>
      <w:r>
        <w:rPr>
          <w:rFonts w:hint="eastAsia"/>
          <w:u w:val="single"/>
        </w:rPr>
        <w:t>局方视频会议主机</w:t>
      </w:r>
      <w:bookmarkEnd w:id="0"/>
      <w:r>
        <w:rPr>
          <w:rFonts w:hint="eastAsia"/>
        </w:rPr>
        <w:t>进行询价，湖北机场集团信息科技有限公司负责经办，所有询价采购事宜由湖北机场集团信息科技有限公司负责联系。</w:t>
      </w:r>
    </w:p>
    <w:p w14:paraId="20A0D002">
      <w:pPr>
        <w:pStyle w:val="3"/>
        <w:numPr>
          <w:ilvl w:val="0"/>
          <w:numId w:val="1"/>
        </w:numPr>
        <w:spacing w:line="360" w:lineRule="auto"/>
        <w:rPr>
          <w:sz w:val="30"/>
        </w:rPr>
      </w:pPr>
      <w:bookmarkStart w:id="1" w:name="_Toc7671"/>
      <w:bookmarkStart w:id="2" w:name="_Toc25725119"/>
      <w:bookmarkStart w:id="3" w:name="_Toc11641051"/>
      <w:r>
        <w:rPr>
          <w:rFonts w:hint="eastAsia"/>
          <w:sz w:val="30"/>
        </w:rPr>
        <w:t>询价内容：</w:t>
      </w:r>
      <w:bookmarkEnd w:id="1"/>
    </w:p>
    <w:tbl>
      <w:tblPr>
        <w:tblStyle w:val="4"/>
        <w:tblW w:w="4998" w:type="pct"/>
        <w:tblInd w:w="0" w:type="dxa"/>
        <w:tblLayout w:type="autofit"/>
        <w:tblCellMar>
          <w:top w:w="0" w:type="dxa"/>
          <w:left w:w="108" w:type="dxa"/>
          <w:bottom w:w="0" w:type="dxa"/>
          <w:right w:w="108" w:type="dxa"/>
        </w:tblCellMar>
      </w:tblPr>
      <w:tblGrid>
        <w:gridCol w:w="574"/>
        <w:gridCol w:w="683"/>
        <w:gridCol w:w="1212"/>
        <w:gridCol w:w="5374"/>
        <w:gridCol w:w="676"/>
      </w:tblGrid>
      <w:tr w14:paraId="4382EDC0">
        <w:tblPrEx>
          <w:tblCellMar>
            <w:top w:w="0" w:type="dxa"/>
            <w:left w:w="108" w:type="dxa"/>
            <w:bottom w:w="0" w:type="dxa"/>
            <w:right w:w="108" w:type="dxa"/>
          </w:tblCellMar>
        </w:tblPrEx>
        <w:trPr>
          <w:trHeight w:val="283" w:hRule="atLeast"/>
        </w:trPr>
        <w:tc>
          <w:tcPr>
            <w:tcW w:w="337" w:type="pct"/>
            <w:tcBorders>
              <w:top w:val="single" w:color="000000" w:sz="8" w:space="0"/>
              <w:left w:val="single" w:color="000000" w:sz="8" w:space="0"/>
              <w:bottom w:val="single" w:color="000000" w:sz="8" w:space="0"/>
              <w:right w:val="single" w:color="000000" w:sz="8" w:space="0"/>
            </w:tcBorders>
            <w:noWrap w:val="0"/>
            <w:vAlign w:val="center"/>
          </w:tcPr>
          <w:p w14:paraId="0C80708B">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序号</w:t>
            </w:r>
          </w:p>
        </w:tc>
        <w:tc>
          <w:tcPr>
            <w:tcW w:w="401" w:type="pct"/>
            <w:tcBorders>
              <w:top w:val="single" w:color="000000" w:sz="8" w:space="0"/>
              <w:left w:val="nil"/>
              <w:bottom w:val="single" w:color="000000" w:sz="8" w:space="0"/>
              <w:right w:val="single" w:color="000000" w:sz="8" w:space="0"/>
            </w:tcBorders>
            <w:noWrap w:val="0"/>
            <w:vAlign w:val="center"/>
          </w:tcPr>
          <w:p w14:paraId="24F733C4">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名称</w:t>
            </w:r>
          </w:p>
        </w:tc>
        <w:tc>
          <w:tcPr>
            <w:tcW w:w="3864" w:type="pct"/>
            <w:gridSpan w:val="2"/>
            <w:tcBorders>
              <w:top w:val="single" w:color="000000" w:sz="8" w:space="0"/>
              <w:left w:val="nil"/>
              <w:bottom w:val="single" w:color="000000" w:sz="8" w:space="0"/>
              <w:right w:val="single" w:color="000000" w:sz="8" w:space="0"/>
            </w:tcBorders>
            <w:noWrap w:val="0"/>
            <w:vAlign w:val="center"/>
          </w:tcPr>
          <w:p w14:paraId="258ACA25">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主要参数</w:t>
            </w:r>
          </w:p>
        </w:tc>
        <w:tc>
          <w:tcPr>
            <w:tcW w:w="396" w:type="pct"/>
            <w:tcBorders>
              <w:top w:val="single" w:color="000000" w:sz="8" w:space="0"/>
              <w:left w:val="nil"/>
              <w:bottom w:val="single" w:color="000000" w:sz="8" w:space="0"/>
              <w:right w:val="single" w:color="000000" w:sz="8" w:space="0"/>
            </w:tcBorders>
            <w:noWrap w:val="0"/>
            <w:vAlign w:val="center"/>
          </w:tcPr>
          <w:p w14:paraId="7B79D875">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b/>
                <w:bCs/>
                <w:color w:val="000000"/>
                <w:kern w:val="0"/>
                <w:sz w:val="18"/>
                <w:szCs w:val="18"/>
              </w:rPr>
            </w:pPr>
            <w:r>
              <w:rPr>
                <w:rFonts w:hint="eastAsia" w:ascii="仿宋" w:hAnsi="仿宋" w:eastAsia="仿宋" w:cs="宋体"/>
                <w:b/>
                <w:bCs/>
                <w:color w:val="000000"/>
                <w:kern w:val="0"/>
                <w:sz w:val="18"/>
                <w:szCs w:val="18"/>
              </w:rPr>
              <w:t>数量(台)</w:t>
            </w:r>
          </w:p>
        </w:tc>
      </w:tr>
      <w:tr w14:paraId="296C1C66">
        <w:tblPrEx>
          <w:tblCellMar>
            <w:top w:w="0" w:type="dxa"/>
            <w:left w:w="108" w:type="dxa"/>
            <w:bottom w:w="0" w:type="dxa"/>
            <w:right w:w="108" w:type="dxa"/>
          </w:tblCellMar>
        </w:tblPrEx>
        <w:trPr>
          <w:trHeight w:val="991" w:hRule="atLeast"/>
        </w:trPr>
        <w:tc>
          <w:tcPr>
            <w:tcW w:w="337" w:type="pct"/>
            <w:vMerge w:val="restart"/>
            <w:tcBorders>
              <w:top w:val="nil"/>
              <w:left w:val="single" w:color="000000" w:sz="8" w:space="0"/>
              <w:bottom w:val="single" w:color="000000" w:sz="8" w:space="0"/>
              <w:right w:val="single" w:color="000000" w:sz="8" w:space="0"/>
            </w:tcBorders>
            <w:noWrap w:val="0"/>
            <w:vAlign w:val="center"/>
          </w:tcPr>
          <w:p w14:paraId="0E8EECA1">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401" w:type="pct"/>
            <w:vMerge w:val="restart"/>
            <w:tcBorders>
              <w:top w:val="nil"/>
              <w:left w:val="nil"/>
              <w:bottom w:val="single" w:color="000000" w:sz="8" w:space="0"/>
              <w:right w:val="single" w:color="000000" w:sz="8" w:space="0"/>
            </w:tcBorders>
            <w:noWrap w:val="0"/>
            <w:vAlign w:val="center"/>
          </w:tcPr>
          <w:p w14:paraId="7EE53AF8">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高清分体式视频会议终端</w:t>
            </w:r>
          </w:p>
        </w:tc>
        <w:tc>
          <w:tcPr>
            <w:tcW w:w="711" w:type="pct"/>
            <w:tcBorders>
              <w:top w:val="single" w:color="000000" w:sz="8" w:space="0"/>
              <w:left w:val="single" w:color="000000" w:sz="8" w:space="0"/>
              <w:bottom w:val="single" w:color="000000" w:sz="8" w:space="0"/>
              <w:right w:val="single" w:color="000000" w:sz="8" w:space="0"/>
            </w:tcBorders>
            <w:noWrap w:val="0"/>
            <w:vAlign w:val="center"/>
          </w:tcPr>
          <w:p w14:paraId="48828047">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总体要求</w:t>
            </w:r>
          </w:p>
        </w:tc>
        <w:tc>
          <w:tcPr>
            <w:tcW w:w="3153" w:type="pct"/>
            <w:tcBorders>
              <w:top w:val="single" w:color="000000" w:sz="8" w:space="0"/>
              <w:left w:val="nil"/>
              <w:bottom w:val="single" w:color="000000" w:sz="8" w:space="0"/>
              <w:right w:val="single" w:color="000000" w:sz="8" w:space="0"/>
            </w:tcBorders>
            <w:noWrap w:val="0"/>
            <w:vAlign w:val="center"/>
          </w:tcPr>
          <w:p w14:paraId="2D1BC75A">
            <w:pPr>
              <w:keepNext w:val="0"/>
              <w:keepLines w:val="0"/>
              <w:pageBreakBefore w:val="0"/>
              <w:widowControl/>
              <w:numPr>
                <w:ilvl w:val="0"/>
                <w:numId w:val="2"/>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采用嵌入式（非 Windows）操作系统，避免病毒感染</w:t>
            </w:r>
          </w:p>
          <w:p w14:paraId="45FBA0AA">
            <w:pPr>
              <w:keepNext w:val="0"/>
              <w:keepLines w:val="0"/>
              <w:pageBreakBefore w:val="0"/>
              <w:widowControl/>
              <w:numPr>
                <w:ilvl w:val="0"/>
                <w:numId w:val="2"/>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采用标准机架式分体式（非PC架构）结构设计</w:t>
            </w:r>
          </w:p>
          <w:p w14:paraId="32141E20">
            <w:pPr>
              <w:keepNext w:val="0"/>
              <w:keepLines w:val="0"/>
              <w:pageBreakBefore w:val="0"/>
              <w:widowControl/>
              <w:numPr>
                <w:ilvl w:val="0"/>
                <w:numId w:val="2"/>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摄像头与主机分离部署，支持12倍光学变焦云台摄像头视频图像采集，最大清晰度支持4k/30fps</w:t>
            </w:r>
            <w:r>
              <w:rPr>
                <w:rFonts w:hint="eastAsia" w:ascii="仿宋" w:hAnsi="仿宋" w:eastAsia="仿宋" w:cs="仿宋"/>
                <w:color w:val="000000"/>
                <w:kern w:val="0"/>
                <w:sz w:val="18"/>
                <w:szCs w:val="18"/>
                <w:lang w:eastAsia="zh-CN"/>
              </w:rPr>
              <w:t>。</w:t>
            </w:r>
            <w:r>
              <w:rPr>
                <w:rFonts w:hint="eastAsia" w:ascii="仿宋" w:hAnsi="仿宋" w:eastAsia="仿宋" w:cs="仿宋"/>
                <w:b/>
                <w:bCs/>
                <w:sz w:val="18"/>
                <w:szCs w:val="18"/>
              </w:rPr>
              <w:t>须提供第三方权威检测报告并加盖原厂公章</w:t>
            </w:r>
            <w:r>
              <w:rPr>
                <w:rFonts w:hint="eastAsia" w:ascii="仿宋" w:hAnsi="仿宋" w:eastAsia="仿宋" w:cs="仿宋"/>
                <w:b/>
                <w:bCs/>
                <w:sz w:val="18"/>
                <w:szCs w:val="18"/>
                <w:lang w:val="en-US" w:eastAsia="zh-CN"/>
              </w:rPr>
              <w:t>(检测机构需具备CNAS认证)。</w:t>
            </w:r>
          </w:p>
        </w:tc>
        <w:tc>
          <w:tcPr>
            <w:tcW w:w="396" w:type="pct"/>
            <w:vMerge w:val="restart"/>
            <w:tcBorders>
              <w:top w:val="nil"/>
              <w:left w:val="nil"/>
              <w:bottom w:val="single" w:color="000000" w:sz="8" w:space="0"/>
              <w:right w:val="single" w:color="000000" w:sz="8" w:space="0"/>
            </w:tcBorders>
            <w:noWrap w:val="0"/>
            <w:vAlign w:val="center"/>
          </w:tcPr>
          <w:p w14:paraId="6952B185">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r>
      <w:tr w14:paraId="4B43B07A">
        <w:tblPrEx>
          <w:tblCellMar>
            <w:top w:w="0" w:type="dxa"/>
            <w:left w:w="108" w:type="dxa"/>
            <w:bottom w:w="0" w:type="dxa"/>
            <w:right w:w="108" w:type="dxa"/>
          </w:tblCellMar>
        </w:tblPrEx>
        <w:trPr>
          <w:trHeight w:val="303"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0B0E849A">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6DC326A8">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single" w:color="000000" w:sz="8" w:space="0"/>
              <w:bottom w:val="single" w:color="000000" w:sz="8" w:space="0"/>
              <w:right w:val="single" w:color="000000" w:sz="8" w:space="0"/>
            </w:tcBorders>
            <w:noWrap w:val="0"/>
            <w:vAlign w:val="center"/>
          </w:tcPr>
          <w:p w14:paraId="2070994D">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国产化要求</w:t>
            </w:r>
          </w:p>
        </w:tc>
        <w:tc>
          <w:tcPr>
            <w:tcW w:w="3153" w:type="pct"/>
            <w:tcBorders>
              <w:top w:val="nil"/>
              <w:left w:val="nil"/>
              <w:bottom w:val="single" w:color="000000" w:sz="8" w:space="0"/>
              <w:right w:val="single" w:color="000000" w:sz="8" w:space="0"/>
            </w:tcBorders>
            <w:noWrap w:val="0"/>
            <w:vAlign w:val="center"/>
          </w:tcPr>
          <w:p w14:paraId="0F2E63F5">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产品符合国产化要求，芯片及操作系统等核心部件均实现国产化。</w:t>
            </w:r>
          </w:p>
        </w:tc>
        <w:tc>
          <w:tcPr>
            <w:tcW w:w="396" w:type="pct"/>
            <w:vMerge w:val="continue"/>
            <w:tcBorders>
              <w:top w:val="nil"/>
              <w:left w:val="nil"/>
              <w:bottom w:val="single" w:color="000000" w:sz="8" w:space="0"/>
              <w:right w:val="single" w:color="000000" w:sz="8" w:space="0"/>
            </w:tcBorders>
            <w:noWrap w:val="0"/>
            <w:vAlign w:val="center"/>
          </w:tcPr>
          <w:p w14:paraId="3E864113">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r w14:paraId="5C96685A">
        <w:tblPrEx>
          <w:tblCellMar>
            <w:top w:w="0" w:type="dxa"/>
            <w:left w:w="108" w:type="dxa"/>
            <w:bottom w:w="0" w:type="dxa"/>
            <w:right w:w="108" w:type="dxa"/>
          </w:tblCellMar>
        </w:tblPrEx>
        <w:trPr>
          <w:trHeight w:val="789"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3159B51D">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1E3EB7DE">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single" w:color="000000" w:sz="8" w:space="0"/>
              <w:bottom w:val="single" w:color="000000" w:sz="8" w:space="0"/>
              <w:right w:val="single" w:color="000000" w:sz="8" w:space="0"/>
            </w:tcBorders>
            <w:noWrap w:val="0"/>
            <w:vAlign w:val="center"/>
          </w:tcPr>
          <w:p w14:paraId="1D43C688">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协议、清晰度要求</w:t>
            </w:r>
          </w:p>
        </w:tc>
        <w:tc>
          <w:tcPr>
            <w:tcW w:w="3153" w:type="pct"/>
            <w:tcBorders>
              <w:top w:val="nil"/>
              <w:left w:val="nil"/>
              <w:bottom w:val="single" w:color="000000" w:sz="8" w:space="0"/>
              <w:right w:val="single" w:color="000000" w:sz="8" w:space="0"/>
            </w:tcBorders>
            <w:noWrap w:val="0"/>
            <w:vAlign w:val="center"/>
          </w:tcPr>
          <w:p w14:paraId="385D4F64">
            <w:pPr>
              <w:keepNext w:val="0"/>
              <w:keepLines w:val="0"/>
              <w:pageBreakBefore w:val="0"/>
              <w:widowControl/>
              <w:numPr>
                <w:ilvl w:val="0"/>
                <w:numId w:val="3"/>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符合ITU H.323以及IETF SIP标准通讯协议</w:t>
            </w:r>
            <w:r>
              <w:rPr>
                <w:rFonts w:hint="eastAsia" w:ascii="仿宋" w:hAnsi="仿宋" w:eastAsia="仿宋" w:cs="仿宋"/>
                <w:color w:val="000000"/>
                <w:kern w:val="0"/>
                <w:sz w:val="18"/>
                <w:szCs w:val="18"/>
                <w:lang w:eastAsia="zh-CN"/>
              </w:rPr>
              <w:t>。</w:t>
            </w:r>
            <w:r>
              <w:rPr>
                <w:rFonts w:hint="eastAsia" w:ascii="仿宋" w:hAnsi="仿宋" w:eastAsia="仿宋" w:cs="仿宋"/>
                <w:b/>
                <w:bCs/>
                <w:sz w:val="18"/>
                <w:szCs w:val="18"/>
              </w:rPr>
              <w:t>须提供第三方权威检测报告并加盖原厂公章</w:t>
            </w:r>
            <w:r>
              <w:rPr>
                <w:rFonts w:hint="eastAsia" w:ascii="仿宋" w:hAnsi="仿宋" w:eastAsia="仿宋" w:cs="仿宋"/>
                <w:b/>
                <w:bCs/>
                <w:sz w:val="18"/>
                <w:szCs w:val="18"/>
                <w:lang w:val="en-US" w:eastAsia="zh-CN"/>
              </w:rPr>
              <w:t>(检测机构需具备CNAS认证)。</w:t>
            </w:r>
          </w:p>
          <w:p w14:paraId="33A38595">
            <w:pPr>
              <w:keepNext w:val="0"/>
              <w:keepLines w:val="0"/>
              <w:pageBreakBefore w:val="0"/>
              <w:widowControl/>
              <w:numPr>
                <w:ilvl w:val="0"/>
                <w:numId w:val="3"/>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支持H.239和BFCP双流协议</w:t>
            </w:r>
          </w:p>
          <w:p w14:paraId="30E79BD3">
            <w:pPr>
              <w:keepNext w:val="0"/>
              <w:keepLines w:val="0"/>
              <w:pageBreakBefore w:val="0"/>
              <w:widowControl/>
              <w:numPr>
                <w:ilvl w:val="0"/>
                <w:numId w:val="3"/>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主流和辅流编码最高可达4k/30fps，并向下兼容1080P 50/60fps</w:t>
            </w:r>
          </w:p>
        </w:tc>
        <w:tc>
          <w:tcPr>
            <w:tcW w:w="396" w:type="pct"/>
            <w:vMerge w:val="continue"/>
            <w:tcBorders>
              <w:top w:val="nil"/>
              <w:left w:val="nil"/>
              <w:bottom w:val="single" w:color="000000" w:sz="8" w:space="0"/>
              <w:right w:val="single" w:color="000000" w:sz="8" w:space="0"/>
            </w:tcBorders>
            <w:noWrap w:val="0"/>
            <w:vAlign w:val="center"/>
          </w:tcPr>
          <w:p w14:paraId="2E6FEE51">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r w14:paraId="13CDF148">
        <w:tblPrEx>
          <w:tblCellMar>
            <w:top w:w="0" w:type="dxa"/>
            <w:left w:w="108" w:type="dxa"/>
            <w:bottom w:w="0" w:type="dxa"/>
            <w:right w:w="108" w:type="dxa"/>
          </w:tblCellMar>
        </w:tblPrEx>
        <w:trPr>
          <w:trHeight w:val="820"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7F5C31BD">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75DF31F8">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single" w:color="000000" w:sz="8" w:space="0"/>
              <w:bottom w:val="single" w:color="000000" w:sz="8" w:space="0"/>
              <w:right w:val="single" w:color="000000" w:sz="8" w:space="0"/>
            </w:tcBorders>
            <w:noWrap w:val="0"/>
            <w:vAlign w:val="center"/>
          </w:tcPr>
          <w:p w14:paraId="4959E222">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音视频要求</w:t>
            </w:r>
          </w:p>
        </w:tc>
        <w:tc>
          <w:tcPr>
            <w:tcW w:w="3153" w:type="pct"/>
            <w:tcBorders>
              <w:top w:val="nil"/>
              <w:left w:val="nil"/>
              <w:bottom w:val="single" w:color="000000" w:sz="8" w:space="0"/>
              <w:right w:val="single" w:color="000000" w:sz="8" w:space="0"/>
            </w:tcBorders>
            <w:noWrap w:val="0"/>
            <w:vAlign w:val="center"/>
          </w:tcPr>
          <w:p w14:paraId="4C40055C">
            <w:pPr>
              <w:keepNext w:val="0"/>
              <w:keepLines w:val="0"/>
              <w:pageBreakBefore w:val="0"/>
              <w:widowControl/>
              <w:numPr>
                <w:ilvl w:val="0"/>
                <w:numId w:val="4"/>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支持高清宽带频率不低于20KHz，最大支持采样率不低于48K</w:t>
            </w:r>
            <w:r>
              <w:rPr>
                <w:rFonts w:hint="eastAsia" w:ascii="仿宋" w:hAnsi="仿宋" w:eastAsia="仿宋" w:cs="仿宋"/>
                <w:color w:val="000000"/>
                <w:kern w:val="0"/>
                <w:sz w:val="18"/>
                <w:szCs w:val="18"/>
                <w:lang w:eastAsia="zh-CN"/>
              </w:rPr>
              <w:t>。</w:t>
            </w:r>
          </w:p>
          <w:p w14:paraId="7C529076">
            <w:pPr>
              <w:keepNext w:val="0"/>
              <w:keepLines w:val="0"/>
              <w:pageBreakBefore w:val="0"/>
              <w:widowControl/>
              <w:numPr>
                <w:ilvl w:val="0"/>
                <w:numId w:val="4"/>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支持G.711、G.722、G.722.1、G.722.1 C、G.728音频编码协议</w:t>
            </w:r>
            <w:r>
              <w:rPr>
                <w:rFonts w:hint="eastAsia" w:ascii="仿宋" w:hAnsi="仿宋" w:eastAsia="仿宋" w:cs="仿宋"/>
                <w:color w:val="000000"/>
                <w:kern w:val="0"/>
                <w:sz w:val="18"/>
                <w:szCs w:val="18"/>
                <w:lang w:eastAsia="zh-CN"/>
              </w:rPr>
              <w:t>。</w:t>
            </w:r>
          </w:p>
          <w:p w14:paraId="65BE1CBE">
            <w:pPr>
              <w:keepNext w:val="0"/>
              <w:keepLines w:val="0"/>
              <w:pageBreakBefore w:val="0"/>
              <w:widowControl/>
              <w:numPr>
                <w:ilvl w:val="0"/>
                <w:numId w:val="4"/>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支持屏蔽固定频率的非人声</w:t>
            </w:r>
            <w:r>
              <w:rPr>
                <w:rFonts w:hint="eastAsia" w:ascii="仿宋" w:hAnsi="仿宋" w:eastAsia="仿宋" w:cs="仿宋"/>
                <w:color w:val="000000"/>
                <w:kern w:val="0"/>
                <w:sz w:val="18"/>
                <w:szCs w:val="18"/>
                <w:lang w:eastAsia="zh-CN"/>
              </w:rPr>
              <w:t>。</w:t>
            </w:r>
            <w:r>
              <w:rPr>
                <w:rFonts w:hint="eastAsia" w:ascii="仿宋" w:hAnsi="仿宋" w:eastAsia="仿宋" w:cs="仿宋"/>
                <w:b/>
                <w:bCs/>
                <w:sz w:val="18"/>
                <w:szCs w:val="18"/>
              </w:rPr>
              <w:t>须提供第三方权威检测报告并加盖原厂公章</w:t>
            </w:r>
            <w:r>
              <w:rPr>
                <w:rFonts w:hint="eastAsia" w:ascii="仿宋" w:hAnsi="仿宋" w:eastAsia="仿宋" w:cs="仿宋"/>
                <w:b/>
                <w:bCs/>
                <w:sz w:val="18"/>
                <w:szCs w:val="18"/>
                <w:lang w:val="en-US" w:eastAsia="zh-CN"/>
              </w:rPr>
              <w:t>(检测机构需具备CNAS认证)。</w:t>
            </w:r>
          </w:p>
        </w:tc>
        <w:tc>
          <w:tcPr>
            <w:tcW w:w="396" w:type="pct"/>
            <w:vMerge w:val="continue"/>
            <w:tcBorders>
              <w:top w:val="nil"/>
              <w:left w:val="nil"/>
              <w:bottom w:val="single" w:color="000000" w:sz="8" w:space="0"/>
              <w:right w:val="single" w:color="000000" w:sz="8" w:space="0"/>
            </w:tcBorders>
            <w:noWrap w:val="0"/>
            <w:vAlign w:val="center"/>
          </w:tcPr>
          <w:p w14:paraId="1355668F">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r w14:paraId="7E96A527">
        <w:tblPrEx>
          <w:tblCellMar>
            <w:top w:w="0" w:type="dxa"/>
            <w:left w:w="108" w:type="dxa"/>
            <w:bottom w:w="0" w:type="dxa"/>
            <w:right w:w="108" w:type="dxa"/>
          </w:tblCellMar>
        </w:tblPrEx>
        <w:trPr>
          <w:trHeight w:val="563"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0E813B11">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0A26B864">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single" w:color="000000" w:sz="8" w:space="0"/>
              <w:bottom w:val="single" w:color="000000" w:sz="8" w:space="0"/>
              <w:right w:val="single" w:color="000000" w:sz="8" w:space="0"/>
            </w:tcBorders>
            <w:noWrap w:val="0"/>
            <w:vAlign w:val="center"/>
          </w:tcPr>
          <w:p w14:paraId="41AFCBE7">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网络适应性</w:t>
            </w:r>
          </w:p>
        </w:tc>
        <w:tc>
          <w:tcPr>
            <w:tcW w:w="3153" w:type="pct"/>
            <w:tcBorders>
              <w:top w:val="nil"/>
              <w:left w:val="nil"/>
              <w:bottom w:val="single" w:color="000000" w:sz="8" w:space="0"/>
              <w:right w:val="single" w:color="000000" w:sz="8" w:space="0"/>
            </w:tcBorders>
            <w:noWrap w:val="0"/>
            <w:vAlign w:val="center"/>
          </w:tcPr>
          <w:p w14:paraId="5AB1D965">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kern w:val="2"/>
                <w:sz w:val="18"/>
                <w:szCs w:val="18"/>
              </w:rPr>
            </w:pPr>
            <w:r>
              <w:rPr>
                <w:rFonts w:hint="eastAsia" w:ascii="仿宋" w:hAnsi="仿宋" w:eastAsia="仿宋" w:cs="仿宋"/>
                <w:kern w:val="2"/>
                <w:sz w:val="18"/>
                <w:szCs w:val="18"/>
              </w:rPr>
              <w:t>支持在50%网络丢包的环境下，音频清晰连贯，视频图像清晰流畅</w:t>
            </w:r>
          </w:p>
          <w:p w14:paraId="48516424">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b/>
                <w:bCs/>
                <w:kern w:val="2"/>
                <w:sz w:val="18"/>
                <w:szCs w:val="18"/>
              </w:rPr>
            </w:pPr>
            <w:r>
              <w:rPr>
                <w:rFonts w:hint="eastAsia" w:ascii="仿宋" w:hAnsi="仿宋" w:eastAsia="仿宋" w:cs="仿宋"/>
                <w:kern w:val="2"/>
                <w:sz w:val="18"/>
                <w:szCs w:val="18"/>
              </w:rPr>
              <w:t>支持在80%网络丢包的环境下，音频清晰连贯。</w:t>
            </w:r>
          </w:p>
        </w:tc>
        <w:tc>
          <w:tcPr>
            <w:tcW w:w="396" w:type="pct"/>
            <w:vMerge w:val="continue"/>
            <w:tcBorders>
              <w:top w:val="nil"/>
              <w:left w:val="nil"/>
              <w:bottom w:val="single" w:color="000000" w:sz="8" w:space="0"/>
              <w:right w:val="single" w:color="000000" w:sz="8" w:space="0"/>
            </w:tcBorders>
            <w:noWrap w:val="0"/>
            <w:vAlign w:val="center"/>
          </w:tcPr>
          <w:p w14:paraId="0361147F">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r w14:paraId="431FBB5B">
        <w:tblPrEx>
          <w:tblCellMar>
            <w:top w:w="0" w:type="dxa"/>
            <w:left w:w="108" w:type="dxa"/>
            <w:bottom w:w="0" w:type="dxa"/>
            <w:right w:w="108" w:type="dxa"/>
          </w:tblCellMar>
        </w:tblPrEx>
        <w:trPr>
          <w:trHeight w:val="574"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62CB504D">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715B59EC">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single" w:color="000000" w:sz="8" w:space="0"/>
              <w:bottom w:val="single" w:color="000000" w:sz="8" w:space="0"/>
              <w:right w:val="single" w:color="000000" w:sz="8" w:space="0"/>
            </w:tcBorders>
            <w:noWrap w:val="0"/>
            <w:vAlign w:val="center"/>
          </w:tcPr>
          <w:p w14:paraId="42906696">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麦克风</w:t>
            </w:r>
          </w:p>
        </w:tc>
        <w:tc>
          <w:tcPr>
            <w:tcW w:w="3153" w:type="pct"/>
            <w:tcBorders>
              <w:top w:val="nil"/>
              <w:left w:val="nil"/>
              <w:bottom w:val="single" w:color="000000" w:sz="8" w:space="0"/>
              <w:right w:val="single" w:color="000000" w:sz="8" w:space="0"/>
            </w:tcBorders>
            <w:noWrap w:val="0"/>
            <w:vAlign w:val="center"/>
          </w:tcPr>
          <w:p w14:paraId="2A15482C">
            <w:pPr>
              <w:keepNext w:val="0"/>
              <w:keepLines w:val="0"/>
              <w:pageBreakBefore w:val="0"/>
              <w:widowControl w:val="0"/>
              <w:kinsoku/>
              <w:wordWrap/>
              <w:overflowPunct/>
              <w:topLinePunct w:val="0"/>
              <w:autoSpaceDE/>
              <w:autoSpaceDN/>
              <w:bidi w:val="0"/>
              <w:adjustRightInd/>
              <w:snapToGrid/>
              <w:spacing w:line="228" w:lineRule="auto"/>
              <w:jc w:val="left"/>
              <w:textAlignment w:val="auto"/>
              <w:rPr>
                <w:rFonts w:hint="eastAsia" w:ascii="仿宋" w:hAnsi="仿宋" w:eastAsia="仿宋" w:cs="仿宋"/>
                <w:kern w:val="2"/>
                <w:sz w:val="18"/>
                <w:szCs w:val="18"/>
              </w:rPr>
            </w:pPr>
            <w:r>
              <w:rPr>
                <w:rFonts w:hint="eastAsia" w:ascii="仿宋" w:hAnsi="仿宋" w:eastAsia="仿宋" w:cs="仿宋"/>
                <w:kern w:val="2"/>
                <w:sz w:val="18"/>
                <w:szCs w:val="18"/>
              </w:rPr>
              <w:t>支持全向麦克风，最大拾音距离≥10米。</w:t>
            </w:r>
            <w:r>
              <w:rPr>
                <w:rFonts w:hint="eastAsia" w:ascii="仿宋" w:hAnsi="仿宋" w:eastAsia="仿宋" w:cs="仿宋"/>
                <w:b/>
                <w:bCs/>
                <w:sz w:val="18"/>
                <w:szCs w:val="18"/>
              </w:rPr>
              <w:t>须提供第三方权威检测报告并加盖原厂公章</w:t>
            </w:r>
            <w:r>
              <w:rPr>
                <w:rFonts w:hint="eastAsia" w:ascii="仿宋" w:hAnsi="仿宋" w:eastAsia="仿宋" w:cs="仿宋"/>
                <w:b/>
                <w:bCs/>
                <w:sz w:val="18"/>
                <w:szCs w:val="18"/>
                <w:lang w:val="en-US" w:eastAsia="zh-CN"/>
              </w:rPr>
              <w:t>(检测机构需具备CNAS认证)。</w:t>
            </w:r>
          </w:p>
        </w:tc>
        <w:tc>
          <w:tcPr>
            <w:tcW w:w="396" w:type="pct"/>
            <w:vMerge w:val="continue"/>
            <w:tcBorders>
              <w:top w:val="nil"/>
              <w:left w:val="nil"/>
              <w:bottom w:val="single" w:color="000000" w:sz="8" w:space="0"/>
              <w:right w:val="single" w:color="000000" w:sz="8" w:space="0"/>
            </w:tcBorders>
            <w:noWrap w:val="0"/>
            <w:vAlign w:val="center"/>
          </w:tcPr>
          <w:p w14:paraId="410FC8BC">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r w14:paraId="75522762">
        <w:tblPrEx>
          <w:tblCellMar>
            <w:top w:w="0" w:type="dxa"/>
            <w:left w:w="108" w:type="dxa"/>
            <w:bottom w:w="0" w:type="dxa"/>
            <w:right w:w="108" w:type="dxa"/>
          </w:tblCellMar>
        </w:tblPrEx>
        <w:trPr>
          <w:trHeight w:val="350"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3DEA99AD">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0C1BFD35">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single" w:color="000000" w:sz="8" w:space="0"/>
              <w:bottom w:val="single" w:color="000000" w:sz="8" w:space="0"/>
              <w:right w:val="single" w:color="000000" w:sz="8" w:space="0"/>
            </w:tcBorders>
            <w:noWrap w:val="0"/>
            <w:vAlign w:val="center"/>
          </w:tcPr>
          <w:p w14:paraId="58820B25">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kern w:val="2"/>
                <w:sz w:val="18"/>
                <w:szCs w:val="18"/>
              </w:rPr>
              <w:t>显示模式</w:t>
            </w:r>
          </w:p>
        </w:tc>
        <w:tc>
          <w:tcPr>
            <w:tcW w:w="3153" w:type="pct"/>
            <w:tcBorders>
              <w:top w:val="nil"/>
              <w:left w:val="nil"/>
              <w:bottom w:val="single" w:color="000000" w:sz="8" w:space="0"/>
              <w:right w:val="single" w:color="000000" w:sz="8" w:space="0"/>
            </w:tcBorders>
            <w:noWrap w:val="0"/>
            <w:vAlign w:val="center"/>
          </w:tcPr>
          <w:p w14:paraId="313EAF16">
            <w:pPr>
              <w:keepNext w:val="0"/>
              <w:keepLines w:val="0"/>
              <w:pageBreakBefore w:val="0"/>
              <w:widowControl w:val="0"/>
              <w:kinsoku/>
              <w:wordWrap/>
              <w:overflowPunct/>
              <w:topLinePunct w:val="0"/>
              <w:autoSpaceDE/>
              <w:autoSpaceDN/>
              <w:bidi w:val="0"/>
              <w:adjustRightInd/>
              <w:snapToGrid/>
              <w:spacing w:line="228" w:lineRule="auto"/>
              <w:jc w:val="left"/>
              <w:textAlignment w:val="auto"/>
              <w:rPr>
                <w:rFonts w:hint="eastAsia" w:ascii="仿宋" w:hAnsi="仿宋" w:eastAsia="仿宋" w:cs="仿宋"/>
                <w:b/>
                <w:bCs/>
                <w:kern w:val="2"/>
                <w:sz w:val="18"/>
                <w:szCs w:val="18"/>
              </w:rPr>
            </w:pPr>
            <w:r>
              <w:rPr>
                <w:rFonts w:hint="eastAsia" w:ascii="仿宋" w:hAnsi="仿宋" w:eastAsia="仿宋" w:cs="仿宋"/>
                <w:kern w:val="2"/>
                <w:sz w:val="18"/>
                <w:szCs w:val="18"/>
              </w:rPr>
              <w:t>支持双屏双显和三屏三显等自定义输出模式</w:t>
            </w:r>
            <w:r>
              <w:rPr>
                <w:rFonts w:hint="eastAsia" w:ascii="仿宋" w:hAnsi="仿宋" w:eastAsia="仿宋" w:cs="仿宋"/>
                <w:b/>
                <w:bCs/>
                <w:kern w:val="2"/>
                <w:sz w:val="18"/>
                <w:szCs w:val="18"/>
              </w:rPr>
              <w:t>。</w:t>
            </w:r>
            <w:r>
              <w:rPr>
                <w:rFonts w:hint="eastAsia" w:ascii="仿宋" w:hAnsi="仿宋" w:eastAsia="仿宋" w:cs="仿宋"/>
                <w:b/>
                <w:bCs/>
                <w:sz w:val="18"/>
                <w:szCs w:val="18"/>
              </w:rPr>
              <w:t>须提供第三方权威检测报告并加盖原厂公章</w:t>
            </w:r>
            <w:r>
              <w:rPr>
                <w:rFonts w:hint="eastAsia" w:ascii="仿宋" w:hAnsi="仿宋" w:eastAsia="仿宋" w:cs="仿宋"/>
                <w:b/>
                <w:bCs/>
                <w:sz w:val="18"/>
                <w:szCs w:val="18"/>
                <w:lang w:val="en-US" w:eastAsia="zh-CN"/>
              </w:rPr>
              <w:t>(检测机构需具备CNAS认证)</w:t>
            </w:r>
            <w:r>
              <w:rPr>
                <w:rFonts w:hint="eastAsia" w:ascii="仿宋" w:hAnsi="仿宋" w:eastAsia="仿宋" w:cs="仿宋"/>
                <w:b/>
                <w:bCs/>
                <w:sz w:val="18"/>
                <w:szCs w:val="18"/>
              </w:rPr>
              <w:t>。</w:t>
            </w:r>
          </w:p>
        </w:tc>
        <w:tc>
          <w:tcPr>
            <w:tcW w:w="396" w:type="pct"/>
            <w:vMerge w:val="continue"/>
            <w:tcBorders>
              <w:top w:val="nil"/>
              <w:left w:val="nil"/>
              <w:bottom w:val="single" w:color="000000" w:sz="8" w:space="0"/>
              <w:right w:val="single" w:color="000000" w:sz="8" w:space="0"/>
            </w:tcBorders>
            <w:noWrap w:val="0"/>
            <w:vAlign w:val="center"/>
          </w:tcPr>
          <w:p w14:paraId="0DBB20C7">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r w14:paraId="0A270A70">
        <w:tblPrEx>
          <w:tblCellMar>
            <w:top w:w="0" w:type="dxa"/>
            <w:left w:w="108" w:type="dxa"/>
            <w:bottom w:w="0" w:type="dxa"/>
            <w:right w:w="108" w:type="dxa"/>
          </w:tblCellMar>
        </w:tblPrEx>
        <w:trPr>
          <w:trHeight w:val="1412"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692E9C8C">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1935C890">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single" w:color="000000" w:sz="8" w:space="0"/>
              <w:bottom w:val="single" w:color="000000" w:sz="8" w:space="0"/>
              <w:right w:val="single" w:color="000000" w:sz="8" w:space="0"/>
            </w:tcBorders>
            <w:noWrap w:val="0"/>
            <w:vAlign w:val="center"/>
          </w:tcPr>
          <w:p w14:paraId="0724498C">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音视频接口</w:t>
            </w:r>
          </w:p>
        </w:tc>
        <w:tc>
          <w:tcPr>
            <w:tcW w:w="3153" w:type="pct"/>
            <w:tcBorders>
              <w:top w:val="nil"/>
              <w:left w:val="nil"/>
              <w:bottom w:val="single" w:color="000000" w:sz="8" w:space="0"/>
              <w:right w:val="single" w:color="000000" w:sz="8" w:space="0"/>
            </w:tcBorders>
            <w:noWrap w:val="0"/>
            <w:vAlign w:val="center"/>
          </w:tcPr>
          <w:p w14:paraId="27A5C90F">
            <w:pPr>
              <w:keepNext w:val="0"/>
              <w:keepLines w:val="0"/>
              <w:pageBreakBefore w:val="0"/>
              <w:widowControl/>
              <w:numPr>
                <w:ilvl w:val="0"/>
                <w:numId w:val="5"/>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须原生支持多种音频接口类型可供选择，须至少包含外置麦克、HDMI、RCA、6.25mm和卡农（XLR）音频接入类型，支持XLR卡农馈电</w:t>
            </w:r>
          </w:p>
          <w:p w14:paraId="6AAA68A3">
            <w:pPr>
              <w:keepNext w:val="0"/>
              <w:keepLines w:val="0"/>
              <w:pageBreakBefore w:val="0"/>
              <w:widowControl/>
              <w:numPr>
                <w:ilvl w:val="0"/>
                <w:numId w:val="5"/>
              </w:numPr>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须原生支持不少于3路高清视频输出接口，4路高清视频输入接口，视频输出接口至少须包含HDMI和DVI接口，视屏输入接口须至少须包含HDMI、SDI、VGA视频接口类型。</w:t>
            </w:r>
            <w:r>
              <w:rPr>
                <w:rFonts w:hint="eastAsia" w:ascii="仿宋" w:hAnsi="仿宋" w:eastAsia="仿宋" w:cs="仿宋"/>
                <w:b/>
                <w:bCs/>
                <w:kern w:val="2"/>
                <w:sz w:val="18"/>
                <w:szCs w:val="18"/>
              </w:rPr>
              <w:t>须提供所投产品的后面板接口照片，并加盖原厂公章。使用外置接口转换设备被视为不满足</w:t>
            </w:r>
            <w:r>
              <w:rPr>
                <w:rFonts w:hint="eastAsia" w:ascii="仿宋" w:hAnsi="仿宋" w:eastAsia="仿宋" w:cs="仿宋"/>
                <w:b/>
                <w:bCs/>
                <w:kern w:val="2"/>
                <w:sz w:val="18"/>
                <w:szCs w:val="18"/>
                <w:lang w:eastAsia="zh-CN"/>
              </w:rPr>
              <w:t>。</w:t>
            </w:r>
          </w:p>
        </w:tc>
        <w:tc>
          <w:tcPr>
            <w:tcW w:w="396" w:type="pct"/>
            <w:vMerge w:val="continue"/>
            <w:tcBorders>
              <w:top w:val="nil"/>
              <w:left w:val="nil"/>
              <w:bottom w:val="single" w:color="000000" w:sz="8" w:space="0"/>
              <w:right w:val="single" w:color="000000" w:sz="8" w:space="0"/>
            </w:tcBorders>
            <w:noWrap w:val="0"/>
            <w:vAlign w:val="center"/>
          </w:tcPr>
          <w:p w14:paraId="74E414F5">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r w14:paraId="5FD82FDC">
        <w:tblPrEx>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noWrap w:val="0"/>
            <w:vAlign w:val="center"/>
          </w:tcPr>
          <w:p w14:paraId="20EA1F1B">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401" w:type="pct"/>
            <w:vMerge w:val="continue"/>
            <w:tcBorders>
              <w:top w:val="nil"/>
              <w:left w:val="nil"/>
              <w:bottom w:val="single" w:color="000000" w:sz="8" w:space="0"/>
              <w:right w:val="single" w:color="000000" w:sz="8" w:space="0"/>
            </w:tcBorders>
            <w:noWrap w:val="0"/>
            <w:vAlign w:val="center"/>
          </w:tcPr>
          <w:p w14:paraId="368C8D2F">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c>
          <w:tcPr>
            <w:tcW w:w="711" w:type="pct"/>
            <w:tcBorders>
              <w:top w:val="nil"/>
              <w:left w:val="nil"/>
              <w:bottom w:val="single" w:color="000000" w:sz="8" w:space="0"/>
              <w:right w:val="single" w:color="000000" w:sz="8" w:space="0"/>
            </w:tcBorders>
            <w:noWrap w:val="0"/>
            <w:vAlign w:val="center"/>
          </w:tcPr>
          <w:p w14:paraId="772F7F99">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质保期</w:t>
            </w:r>
          </w:p>
        </w:tc>
        <w:tc>
          <w:tcPr>
            <w:tcW w:w="3153" w:type="pct"/>
            <w:tcBorders>
              <w:top w:val="nil"/>
              <w:left w:val="nil"/>
              <w:bottom w:val="single" w:color="000000" w:sz="8" w:space="0"/>
              <w:right w:val="single" w:color="000000" w:sz="8" w:space="0"/>
            </w:tcBorders>
            <w:noWrap w:val="0"/>
            <w:vAlign w:val="center"/>
          </w:tcPr>
          <w:p w14:paraId="5B30B8BD">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3年</w:t>
            </w:r>
          </w:p>
        </w:tc>
        <w:tc>
          <w:tcPr>
            <w:tcW w:w="396" w:type="pct"/>
            <w:vMerge w:val="continue"/>
            <w:tcBorders>
              <w:top w:val="nil"/>
              <w:left w:val="nil"/>
              <w:bottom w:val="single" w:color="000000" w:sz="8" w:space="0"/>
              <w:right w:val="single" w:color="000000" w:sz="8" w:space="0"/>
            </w:tcBorders>
            <w:noWrap w:val="0"/>
            <w:vAlign w:val="center"/>
          </w:tcPr>
          <w:p w14:paraId="0C3C043A">
            <w:pPr>
              <w:keepNext w:val="0"/>
              <w:keepLines w:val="0"/>
              <w:pageBreakBefore w:val="0"/>
              <w:widowControl/>
              <w:kinsoku/>
              <w:wordWrap/>
              <w:overflowPunct/>
              <w:topLinePunct w:val="0"/>
              <w:autoSpaceDE/>
              <w:autoSpaceDN/>
              <w:bidi w:val="0"/>
              <w:adjustRightInd/>
              <w:snapToGrid/>
              <w:spacing w:line="228" w:lineRule="auto"/>
              <w:jc w:val="left"/>
              <w:textAlignment w:val="auto"/>
              <w:rPr>
                <w:rFonts w:hint="eastAsia" w:ascii="仿宋" w:hAnsi="仿宋" w:eastAsia="仿宋" w:cs="仿宋"/>
                <w:color w:val="000000"/>
                <w:kern w:val="0"/>
                <w:sz w:val="18"/>
                <w:szCs w:val="18"/>
              </w:rPr>
            </w:pPr>
          </w:p>
        </w:tc>
      </w:tr>
    </w:tbl>
    <w:p w14:paraId="4F9B29DD">
      <w:pPr>
        <w:spacing w:line="360" w:lineRule="auto"/>
        <w:ind w:firstLine="480" w:firstLineChars="200"/>
        <w:rPr>
          <w:rFonts w:hint="eastAsia"/>
        </w:rPr>
      </w:pPr>
      <w:r>
        <w:rPr>
          <w:rFonts w:hint="eastAsia"/>
        </w:rPr>
        <w:t>采购预算：</w:t>
      </w:r>
      <w:r>
        <w:rPr>
          <w:rFonts w:hint="eastAsia"/>
          <w:u w:val="single"/>
        </w:rPr>
        <w:t>人民币陆</w:t>
      </w:r>
      <w:r>
        <w:rPr>
          <w:rFonts w:hint="eastAsia"/>
          <w:u w:val="single"/>
          <w:lang w:val="en-US" w:eastAsia="zh-CN"/>
        </w:rPr>
        <w:t>万</w:t>
      </w:r>
      <w:r>
        <w:rPr>
          <w:rFonts w:hint="eastAsia"/>
          <w:u w:val="single"/>
        </w:rPr>
        <w:t>整（￥</w:t>
      </w:r>
      <w:r>
        <w:rPr>
          <w:rFonts w:hint="eastAsia"/>
          <w:u w:val="single"/>
          <w:lang w:val="en-US" w:eastAsia="zh-CN"/>
        </w:rPr>
        <w:t>60</w:t>
      </w:r>
      <w:r>
        <w:rPr>
          <w:u w:val="single"/>
        </w:rPr>
        <w:t>,</w:t>
      </w:r>
      <w:r>
        <w:rPr>
          <w:rFonts w:hint="eastAsia"/>
          <w:u w:val="single"/>
          <w:lang w:val="en-US" w:eastAsia="zh-CN"/>
        </w:rPr>
        <w:t>00</w:t>
      </w:r>
      <w:r>
        <w:rPr>
          <w:u w:val="single"/>
        </w:rPr>
        <w:t>0.00）</w:t>
      </w:r>
      <w:r>
        <w:rPr>
          <w:rFonts w:hint="eastAsia"/>
        </w:rPr>
        <w:t>，响应总报价超过采购预算金额的，其报价无效。总报价应包括本次采购所有设备的运输、卸货、保险、质保期售后服务、利润、保修等合同义务所有款项，并包含税金等全部费用，是按合同交货期交货的最终结算价，不受任何调价因素的影响，在整个履行合同期间有效。</w:t>
      </w:r>
    </w:p>
    <w:p w14:paraId="7686AC48">
      <w:pPr>
        <w:pStyle w:val="3"/>
        <w:spacing w:line="360" w:lineRule="auto"/>
        <w:ind w:firstLine="527"/>
        <w:rPr>
          <w:rFonts w:hint="eastAsia"/>
          <w:sz w:val="30"/>
        </w:rPr>
      </w:pPr>
      <w:bookmarkStart w:id="4" w:name="_Toc14158"/>
      <w:r>
        <w:rPr>
          <w:rFonts w:hint="eastAsia"/>
          <w:sz w:val="30"/>
        </w:rPr>
        <w:t>二、询价采购时间、地点</w:t>
      </w:r>
      <w:bookmarkEnd w:id="2"/>
      <w:bookmarkEnd w:id="3"/>
      <w:bookmarkEnd w:id="4"/>
    </w:p>
    <w:p w14:paraId="1E2B3BA0">
      <w:pPr>
        <w:tabs>
          <w:tab w:val="left" w:pos="378"/>
        </w:tabs>
        <w:snapToGrid w:val="0"/>
        <w:spacing w:line="360" w:lineRule="auto"/>
        <w:ind w:left="142"/>
      </w:pPr>
      <w:r>
        <w:rPr>
          <w:rFonts w:hint="eastAsia"/>
        </w:rPr>
        <w:t>1、询价采购文件获取</w:t>
      </w:r>
      <w:bookmarkStart w:id="5" w:name="_Hlk485112949"/>
    </w:p>
    <w:p w14:paraId="77DFDC3F">
      <w:pPr>
        <w:tabs>
          <w:tab w:val="left" w:pos="378"/>
        </w:tabs>
        <w:snapToGrid w:val="0"/>
        <w:spacing w:line="360" w:lineRule="auto"/>
        <w:ind w:firstLine="480" w:firstLineChars="200"/>
        <w:rPr>
          <w:rFonts w:hint="eastAsia"/>
        </w:rPr>
      </w:pPr>
      <w:r>
        <w:rPr>
          <w:rFonts w:hint="eastAsia" w:ascii="仿宋" w:hAnsi="仿宋" w:eastAsia="仿宋" w:cs="仿宋"/>
        </w:rPr>
        <w:t>（1）</w:t>
      </w:r>
      <w:r>
        <w:rPr>
          <w:rFonts w:hint="eastAsia"/>
        </w:rPr>
        <w:t>时间：202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日至202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26</w:t>
      </w:r>
      <w:r>
        <w:rPr>
          <w:rFonts w:hint="eastAsia"/>
        </w:rPr>
        <w:t>日（北京时间每天上午9:30～11:30、下午14:00～16:00，法定节假日除外）。</w:t>
      </w:r>
    </w:p>
    <w:p w14:paraId="2C6EA372">
      <w:pPr>
        <w:snapToGrid w:val="0"/>
        <w:spacing w:line="360" w:lineRule="auto"/>
        <w:ind w:firstLine="480" w:firstLineChars="200"/>
        <w:rPr>
          <w:rFonts w:hint="eastAsia"/>
        </w:rPr>
      </w:pPr>
      <w:r>
        <w:rPr>
          <w:rFonts w:hint="eastAsia"/>
        </w:rPr>
        <w:t>（2）地点：湖北机场集团公司综合楼C326。</w:t>
      </w:r>
    </w:p>
    <w:p w14:paraId="687A73BC">
      <w:pPr>
        <w:snapToGrid w:val="0"/>
        <w:spacing w:line="360" w:lineRule="auto"/>
        <w:ind w:firstLine="480" w:firstLineChars="200"/>
      </w:pPr>
      <w:r>
        <w:rPr>
          <w:rFonts w:hint="eastAsia"/>
        </w:rPr>
        <w:t>（3）获取方式：法定代表人自己领取的，凭法定代表人身份证明书及法定代表人二代身份证原件和以及营业执照加盖公章的复印件领取；法定代表人委托他人领取的，凭法定代表人授权书及受托人二代身份证原件和营业执照加盖公章的复印件领取；原件查看后当场退还，复印件留存，资料齐全的提供询价文件。</w:t>
      </w:r>
    </w:p>
    <w:p w14:paraId="1B2AD422">
      <w:pPr>
        <w:snapToGrid w:val="0"/>
        <w:spacing w:line="360" w:lineRule="auto"/>
        <w:ind w:left="142" w:leftChars="59"/>
        <w:rPr>
          <w:rFonts w:hint="eastAsia"/>
        </w:rPr>
      </w:pPr>
      <w:r>
        <w:rPr>
          <w:rFonts w:hint="eastAsia"/>
        </w:rPr>
        <w:t>2、投递报价文件地点：</w:t>
      </w:r>
    </w:p>
    <w:p w14:paraId="0BD4AA02">
      <w:pPr>
        <w:snapToGrid w:val="0"/>
        <w:spacing w:line="360" w:lineRule="auto"/>
        <w:ind w:firstLine="360" w:firstLineChars="150"/>
      </w:pPr>
      <w:r>
        <w:rPr>
          <w:rFonts w:hint="eastAsia"/>
        </w:rPr>
        <w:t xml:space="preserve"> 湖北机场集团公司综合楼C326</w:t>
      </w:r>
      <w:bookmarkStart w:id="18" w:name="_GoBack"/>
      <w:bookmarkEnd w:id="18"/>
    </w:p>
    <w:p w14:paraId="5DD0A7E8">
      <w:pPr>
        <w:tabs>
          <w:tab w:val="left" w:pos="426"/>
          <w:tab w:val="left" w:pos="993"/>
        </w:tabs>
        <w:snapToGrid w:val="0"/>
        <w:spacing w:line="360" w:lineRule="auto"/>
        <w:ind w:left="142" w:leftChars="59"/>
        <w:rPr>
          <w:rFonts w:hint="eastAsia"/>
        </w:rPr>
      </w:pPr>
      <w:r>
        <w:rPr>
          <w:rFonts w:hint="eastAsia"/>
        </w:rPr>
        <w:t>3、投递报价文件截止时间：202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w:t>
      </w:r>
      <w:r>
        <w:rPr>
          <w:rFonts w:hint="eastAsia"/>
          <w:lang w:val="en-US" w:eastAsia="zh-CN"/>
        </w:rPr>
        <w:t>9</w:t>
      </w:r>
      <w:r>
        <w:rPr>
          <w:rFonts w:hint="eastAsia"/>
        </w:rPr>
        <w:t>时</w:t>
      </w:r>
    </w:p>
    <w:p w14:paraId="3547CBBE">
      <w:pPr>
        <w:tabs>
          <w:tab w:val="left" w:pos="993"/>
        </w:tabs>
        <w:snapToGrid w:val="0"/>
        <w:spacing w:line="360" w:lineRule="auto"/>
        <w:ind w:left="139" w:leftChars="58" w:firstLine="1"/>
        <w:rPr>
          <w:rFonts w:hint="eastAsia"/>
        </w:rPr>
      </w:pPr>
      <w:r>
        <w:rPr>
          <w:rFonts w:hint="eastAsia"/>
        </w:rPr>
        <w:t>4、询价采购评审时间：202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w:t>
      </w:r>
      <w:r>
        <w:rPr>
          <w:rFonts w:hint="eastAsia"/>
          <w:lang w:val="en-US" w:eastAsia="zh-CN"/>
        </w:rPr>
        <w:t>9</w:t>
      </w:r>
      <w:r>
        <w:rPr>
          <w:rFonts w:hint="eastAsia"/>
        </w:rPr>
        <w:t>点30（遇情况依次顺延）</w:t>
      </w:r>
    </w:p>
    <w:p w14:paraId="6CF0AC43">
      <w:pPr>
        <w:tabs>
          <w:tab w:val="left" w:pos="378"/>
          <w:tab w:val="left" w:pos="993"/>
        </w:tabs>
        <w:snapToGrid w:val="0"/>
        <w:spacing w:line="360" w:lineRule="auto"/>
        <w:ind w:left="142" w:leftChars="59"/>
        <w:rPr>
          <w:rFonts w:hint="default" w:eastAsia="宋体"/>
          <w:lang w:val="en-US" w:eastAsia="zh-CN"/>
        </w:rPr>
      </w:pPr>
      <w:r>
        <w:rPr>
          <w:rFonts w:hint="eastAsia"/>
        </w:rPr>
        <w:t>5、联系方式：韩硕027-85818211、</w:t>
      </w:r>
      <w:r>
        <w:rPr>
          <w:rFonts w:hint="eastAsia"/>
          <w:lang w:val="en-US" w:eastAsia="zh-CN"/>
        </w:rPr>
        <w:t>陈俊13657110962</w:t>
      </w:r>
    </w:p>
    <w:p w14:paraId="767ED25B">
      <w:pPr>
        <w:pStyle w:val="3"/>
        <w:spacing w:line="360" w:lineRule="auto"/>
        <w:ind w:firstLine="527"/>
        <w:rPr>
          <w:rFonts w:hint="eastAsia"/>
          <w:sz w:val="30"/>
        </w:rPr>
      </w:pPr>
      <w:bookmarkStart w:id="6" w:name="_Toc29447"/>
      <w:bookmarkStart w:id="7" w:name="_Toc11641053"/>
      <w:bookmarkStart w:id="8" w:name="_Toc25725120"/>
      <w:r>
        <w:rPr>
          <w:rFonts w:hint="eastAsia"/>
          <w:sz w:val="30"/>
        </w:rPr>
        <w:t>三、供应商资质要求：</w:t>
      </w:r>
      <w:bookmarkEnd w:id="6"/>
    </w:p>
    <w:p w14:paraId="7AA7FCEA">
      <w:pPr>
        <w:snapToGrid w:val="0"/>
        <w:spacing w:line="360" w:lineRule="auto"/>
        <w:ind w:firstLine="480" w:firstLineChars="200"/>
        <w:rPr>
          <w:rFonts w:hint="eastAsia"/>
          <w:szCs w:val="28"/>
        </w:rPr>
      </w:pPr>
      <w:r>
        <w:rPr>
          <w:rFonts w:hint="eastAsia"/>
          <w:szCs w:val="28"/>
        </w:rPr>
        <w:t>（1）供应商应具有在中华人民共和国境内注册登记并取得有效营业执照。</w:t>
      </w:r>
    </w:p>
    <w:p w14:paraId="73269BF1">
      <w:pPr>
        <w:snapToGrid w:val="0"/>
        <w:spacing w:line="360" w:lineRule="auto"/>
        <w:ind w:firstLine="480" w:firstLineChars="200"/>
        <w:rPr>
          <w:rFonts w:hint="eastAsia"/>
          <w:szCs w:val="28"/>
        </w:rPr>
      </w:pPr>
      <w:r>
        <w:rPr>
          <w:rFonts w:hint="eastAsia"/>
          <w:szCs w:val="28"/>
        </w:rPr>
        <w:t>（</w:t>
      </w:r>
      <w:r>
        <w:rPr>
          <w:szCs w:val="28"/>
        </w:rPr>
        <w:t>2</w:t>
      </w:r>
      <w:r>
        <w:rPr>
          <w:rFonts w:hint="eastAsia"/>
          <w:szCs w:val="28"/>
        </w:rPr>
        <w:t>）供应商未被列入“信用中国”网站(www.creditchina.gov.cn)或中国执行信息公开网（http://zxgk.court.gov.cn)失信被执行人名单。(提供网站查询截图）</w:t>
      </w:r>
    </w:p>
    <w:p w14:paraId="3BE8FA18">
      <w:pPr>
        <w:snapToGrid w:val="0"/>
        <w:spacing w:line="360" w:lineRule="auto"/>
        <w:ind w:firstLine="480" w:firstLineChars="200"/>
        <w:rPr>
          <w:rFonts w:hint="eastAsia"/>
          <w:szCs w:val="28"/>
        </w:rPr>
      </w:pPr>
      <w:r>
        <w:rPr>
          <w:rFonts w:hint="eastAsia"/>
          <w:szCs w:val="28"/>
        </w:rPr>
        <w:t>（</w:t>
      </w:r>
      <w:r>
        <w:rPr>
          <w:szCs w:val="28"/>
        </w:rPr>
        <w:t>3</w:t>
      </w:r>
      <w:r>
        <w:rPr>
          <w:rFonts w:hint="eastAsia"/>
          <w:szCs w:val="28"/>
        </w:rPr>
        <w:t>）供应商须对关于《湖北机场集团“投标人不良行为”管理办法》在“询价采购报价文件格式”“承诺书”中做出承诺，格式详见采购文件格式。</w:t>
      </w:r>
    </w:p>
    <w:p w14:paraId="3A685DA6">
      <w:pPr>
        <w:snapToGrid w:val="0"/>
        <w:spacing w:line="360" w:lineRule="auto"/>
        <w:ind w:firstLine="480" w:firstLineChars="200"/>
        <w:rPr>
          <w:rFonts w:hint="eastAsia"/>
          <w:szCs w:val="28"/>
        </w:rPr>
      </w:pPr>
      <w:r>
        <w:rPr>
          <w:rFonts w:hint="eastAsia"/>
          <w:szCs w:val="28"/>
        </w:rPr>
        <w:t>（</w:t>
      </w:r>
      <w:r>
        <w:rPr>
          <w:szCs w:val="28"/>
        </w:rPr>
        <w:t>4</w:t>
      </w:r>
      <w:r>
        <w:rPr>
          <w:rFonts w:hint="eastAsia"/>
          <w:szCs w:val="28"/>
        </w:rPr>
        <w:t>）本项目不接受联合体响应。</w:t>
      </w:r>
    </w:p>
    <w:p w14:paraId="5FB5EE63">
      <w:pPr>
        <w:pStyle w:val="6"/>
        <w:spacing w:line="360" w:lineRule="auto"/>
        <w:jc w:val="both"/>
        <w:rPr>
          <w:rFonts w:hint="eastAsia"/>
          <w:szCs w:val="21"/>
        </w:rPr>
      </w:pPr>
      <w:r>
        <w:rPr>
          <w:rFonts w:hint="eastAsia"/>
          <w:szCs w:val="28"/>
        </w:rPr>
        <w:t>以上资格要求为本次响应供应商应具备的基本条件，参加响应的供应商必须满足资格要求中的所有条款，并按照相关规定递交资格证明文件。</w:t>
      </w:r>
    </w:p>
    <w:p w14:paraId="07761F70">
      <w:pPr>
        <w:snapToGrid w:val="0"/>
        <w:spacing w:line="360" w:lineRule="auto"/>
        <w:ind w:firstLine="600"/>
        <w:rPr>
          <w:rFonts w:hint="eastAsia"/>
          <w:b/>
          <w:bCs/>
          <w:sz w:val="30"/>
        </w:rPr>
      </w:pPr>
      <w:r>
        <w:rPr>
          <w:rFonts w:hint="eastAsia"/>
          <w:b/>
          <w:bCs/>
          <w:sz w:val="30"/>
        </w:rPr>
        <w:t>四、</w:t>
      </w:r>
      <w:bookmarkEnd w:id="7"/>
      <w:bookmarkEnd w:id="8"/>
      <w:r>
        <w:rPr>
          <w:rFonts w:hint="eastAsia"/>
          <w:b/>
          <w:bCs/>
          <w:sz w:val="30"/>
        </w:rPr>
        <w:t>询价采购须知</w:t>
      </w:r>
    </w:p>
    <w:p w14:paraId="5ACEC14A">
      <w:pPr>
        <w:snapToGrid w:val="0"/>
        <w:spacing w:line="360" w:lineRule="auto"/>
        <w:ind w:firstLine="573"/>
        <w:rPr>
          <w:rFonts w:hint="eastAsia"/>
        </w:rPr>
      </w:pPr>
      <w:r>
        <w:rPr>
          <w:rFonts w:hint="eastAsia"/>
        </w:rPr>
        <w:t>1、报价文件须</w:t>
      </w:r>
      <w:r>
        <w:rPr>
          <w:rFonts w:hint="eastAsia"/>
          <w:color w:val="auto"/>
        </w:rPr>
        <w:t>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w:t>
      </w:r>
      <w:r>
        <w:rPr>
          <w:rFonts w:hint="eastAsia"/>
        </w:rPr>
        <w:t>询价采购项目名称、供应商名称、地址以及“不准提前启封”字样。信封所有有口、有缝的部位都要贴封条并加盖供应商公章。</w:t>
      </w:r>
    </w:p>
    <w:p w14:paraId="1009A553">
      <w:pPr>
        <w:snapToGrid w:val="0"/>
        <w:spacing w:line="360" w:lineRule="auto"/>
        <w:ind w:firstLine="573"/>
        <w:rPr>
          <w:rFonts w:hint="eastAsia"/>
        </w:rPr>
      </w:pPr>
      <w:r>
        <w:rPr>
          <w:rFonts w:hint="eastAsia"/>
        </w:rPr>
        <w:t>2、报价文件必须按规定的时间及地点送达投递地点，并按要求交纳询价采购保证金，否则报价无效。</w:t>
      </w:r>
    </w:p>
    <w:p w14:paraId="1E914EE7">
      <w:pPr>
        <w:snapToGrid w:val="0"/>
        <w:spacing w:line="360" w:lineRule="auto"/>
        <w:ind w:firstLine="573"/>
        <w:rPr>
          <w:rFonts w:hint="eastAsia"/>
          <w:b/>
        </w:rPr>
      </w:pPr>
      <w:r>
        <w:rPr>
          <w:rFonts w:hint="eastAsia"/>
        </w:rPr>
        <w:t>3、报价文件的报价为</w:t>
      </w:r>
      <w:r>
        <w:rPr>
          <w:rFonts w:hint="eastAsia"/>
          <w:b/>
        </w:rPr>
        <w:t>闭口价，并且供应商只能提供一个报价。</w:t>
      </w:r>
    </w:p>
    <w:p w14:paraId="31EF90F6">
      <w:pPr>
        <w:snapToGrid w:val="0"/>
        <w:spacing w:line="360" w:lineRule="auto"/>
        <w:ind w:firstLine="573"/>
        <w:rPr>
          <w:rFonts w:hint="eastAsia"/>
        </w:rPr>
      </w:pPr>
      <w:r>
        <w:rPr>
          <w:rFonts w:hint="eastAsia"/>
        </w:rPr>
        <w:t>4、成交原则：本项目评审采用最低竞标标价进行评审。</w:t>
      </w:r>
    </w:p>
    <w:p w14:paraId="7DBD310B">
      <w:pPr>
        <w:snapToGrid w:val="0"/>
        <w:spacing w:line="360" w:lineRule="auto"/>
        <w:ind w:firstLine="573"/>
        <w:rPr>
          <w:rFonts w:hint="eastAsia"/>
        </w:rPr>
      </w:pPr>
      <w:r>
        <w:rPr>
          <w:rFonts w:hint="eastAsia"/>
        </w:rPr>
        <w:t>不允许竞标人竞标方案对采购方案有任何负偏离，否则按无效竞标处理。</w:t>
      </w:r>
    </w:p>
    <w:bookmarkEnd w:id="5"/>
    <w:p w14:paraId="317AAE0E">
      <w:pPr>
        <w:snapToGrid w:val="0"/>
        <w:spacing w:line="360" w:lineRule="auto"/>
        <w:ind w:firstLine="573"/>
        <w:rPr>
          <w:rFonts w:hint="eastAsia"/>
        </w:rPr>
      </w:pPr>
      <w:r>
        <w:rPr>
          <w:rFonts w:hint="eastAsia"/>
        </w:rPr>
        <w:t>询价采购评审小组在完全满足采购的技术、质量、商务和服务的竞标方案中选择</w:t>
      </w:r>
      <w:r>
        <w:rPr>
          <w:rFonts w:hint="eastAsia"/>
          <w:b/>
        </w:rPr>
        <w:t>竞标报价最低单位为成交供应商</w:t>
      </w:r>
      <w:r>
        <w:rPr>
          <w:rFonts w:hint="eastAsia"/>
        </w:rPr>
        <w:t>。</w:t>
      </w:r>
    </w:p>
    <w:p w14:paraId="31B6DA89">
      <w:pPr>
        <w:snapToGrid w:val="0"/>
        <w:spacing w:line="360" w:lineRule="auto"/>
        <w:ind w:firstLine="573"/>
        <w:rPr>
          <w:rFonts w:hint="eastAsia"/>
        </w:rPr>
      </w:pPr>
      <w:r>
        <w:rPr>
          <w:rFonts w:hint="eastAsia"/>
        </w:rPr>
        <w:t>竞标价格相同的情况下询价小组确定服务承诺、优惠条件较优的单位为成交供应商。</w:t>
      </w:r>
    </w:p>
    <w:p w14:paraId="5342DE46">
      <w:pPr>
        <w:snapToGrid w:val="0"/>
        <w:spacing w:line="360" w:lineRule="auto"/>
        <w:ind w:firstLine="573"/>
        <w:rPr>
          <w:rFonts w:hint="eastAsia"/>
        </w:rPr>
      </w:pPr>
      <w:r>
        <w:rPr>
          <w:rFonts w:hint="eastAsia"/>
        </w:rPr>
        <w:t>5、</w:t>
      </w:r>
      <w:r>
        <w:rPr>
          <w:rFonts w:hint="eastAsia"/>
          <w:color w:val="auto"/>
        </w:rPr>
        <w:t>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rPr>
        <w:t>。</w:t>
      </w:r>
    </w:p>
    <w:p w14:paraId="1C496A2F">
      <w:pPr>
        <w:snapToGrid w:val="0"/>
        <w:spacing w:line="360" w:lineRule="auto"/>
        <w:ind w:firstLine="573"/>
      </w:pPr>
      <w:bookmarkStart w:id="9" w:name="_Toc122840226"/>
      <w:bookmarkStart w:id="10" w:name="_Toc12789055"/>
      <w:r>
        <w:rPr>
          <w:rFonts w:hint="eastAsia"/>
        </w:rPr>
        <w:t>6、文件无效</w:t>
      </w:r>
    </w:p>
    <w:p w14:paraId="051049D3">
      <w:pPr>
        <w:snapToGrid w:val="0"/>
        <w:spacing w:line="360" w:lineRule="auto"/>
        <w:ind w:firstLine="573"/>
      </w:pPr>
      <w:r>
        <w:rPr>
          <w:rFonts w:hint="eastAsia"/>
        </w:rPr>
        <w:t>竞标人发生以下条款情况之一者，其竞标文件将被拒绝：</w:t>
      </w:r>
    </w:p>
    <w:p w14:paraId="71764116">
      <w:pPr>
        <w:snapToGrid w:val="0"/>
        <w:spacing w:line="360" w:lineRule="auto"/>
        <w:ind w:firstLine="573"/>
      </w:pPr>
      <w:r>
        <w:rPr>
          <w:rFonts w:hint="eastAsia"/>
        </w:rPr>
        <w:t>（1）竞标文件不按规定的格式、内容填写；</w:t>
      </w:r>
    </w:p>
    <w:p w14:paraId="50B86271">
      <w:pPr>
        <w:snapToGrid w:val="0"/>
        <w:spacing w:line="360" w:lineRule="auto"/>
        <w:ind w:firstLine="573"/>
        <w:rPr>
          <w:rFonts w:hint="eastAsia"/>
        </w:rPr>
      </w:pPr>
      <w:r>
        <w:rPr>
          <w:rFonts w:hint="eastAsia"/>
        </w:rPr>
        <w:t>（2）超出营业范围的报价；</w:t>
      </w:r>
    </w:p>
    <w:p w14:paraId="1BA7D746">
      <w:pPr>
        <w:snapToGrid w:val="0"/>
        <w:spacing w:line="360" w:lineRule="auto"/>
        <w:ind w:firstLine="573"/>
        <w:rPr>
          <w:rFonts w:hint="eastAsia"/>
        </w:rPr>
      </w:pPr>
      <w:r>
        <w:rPr>
          <w:rFonts w:hint="eastAsia"/>
        </w:rPr>
        <w:t>（3）报价高于询价采购文件的最高限价；</w:t>
      </w:r>
    </w:p>
    <w:p w14:paraId="5AE72DC4">
      <w:pPr>
        <w:snapToGrid w:val="0"/>
        <w:spacing w:line="360" w:lineRule="auto"/>
        <w:ind w:firstLine="573"/>
        <w:rPr>
          <w:rFonts w:hint="eastAsia"/>
        </w:rPr>
      </w:pPr>
      <w:r>
        <w:rPr>
          <w:rFonts w:hint="eastAsia"/>
        </w:rPr>
        <w:t>（4）竞标人的竞标文件的技术方案内容与采购项目实质性技术要求有严重背离；</w:t>
      </w:r>
    </w:p>
    <w:p w14:paraId="7DA5C800">
      <w:pPr>
        <w:snapToGrid w:val="0"/>
        <w:spacing w:line="360" w:lineRule="auto"/>
        <w:ind w:firstLine="573"/>
        <w:rPr>
          <w:rFonts w:hint="eastAsia"/>
        </w:rPr>
      </w:pPr>
      <w:r>
        <w:rPr>
          <w:rFonts w:hint="eastAsia"/>
        </w:rPr>
        <w:t>（5）竞标人的资质不符合采购文件资质要求的内容。</w:t>
      </w:r>
    </w:p>
    <w:p w14:paraId="20B8C0ED">
      <w:pPr>
        <w:numPr>
          <w:ilvl w:val="0"/>
          <w:numId w:val="6"/>
        </w:numPr>
        <w:snapToGrid w:val="0"/>
        <w:spacing w:line="360" w:lineRule="auto"/>
        <w:rPr>
          <w:rFonts w:hint="eastAsia"/>
        </w:rPr>
      </w:pPr>
      <w:r>
        <w:rPr>
          <w:rFonts w:hint="eastAsia"/>
        </w:rPr>
        <w:t>竞标文件未按要求密封、未按时送到准确地点。</w:t>
      </w:r>
    </w:p>
    <w:p w14:paraId="42740F7B">
      <w:pPr>
        <w:snapToGrid w:val="0"/>
        <w:spacing w:line="360" w:lineRule="auto"/>
        <w:ind w:firstLine="566" w:firstLineChars="236"/>
        <w:rPr>
          <w:rFonts w:hint="eastAsia"/>
        </w:rPr>
      </w:pPr>
      <w:r>
        <w:rPr>
          <w:rFonts w:hint="eastAsia"/>
        </w:rPr>
        <w:t>7、出现以下情况之一的，应予废标，重新组织采购。</w:t>
      </w:r>
    </w:p>
    <w:p w14:paraId="72A8AA15">
      <w:pPr>
        <w:snapToGrid w:val="0"/>
        <w:spacing w:line="360" w:lineRule="auto"/>
        <w:ind w:firstLine="480" w:firstLineChars="200"/>
        <w:rPr>
          <w:rFonts w:hint="eastAsia"/>
        </w:rPr>
      </w:pPr>
      <w:r>
        <w:rPr>
          <w:rFonts w:hint="eastAsia"/>
        </w:rPr>
        <w:t>（1）出现影响采购公正的违法、违规行为的；</w:t>
      </w:r>
    </w:p>
    <w:p w14:paraId="774EE4C6">
      <w:pPr>
        <w:snapToGrid w:val="0"/>
        <w:spacing w:line="360" w:lineRule="auto"/>
        <w:ind w:firstLine="480" w:firstLineChars="200"/>
        <w:rPr>
          <w:rFonts w:hint="eastAsia"/>
        </w:rPr>
      </w:pPr>
      <w:r>
        <w:rPr>
          <w:rFonts w:hint="eastAsia"/>
        </w:rPr>
        <w:t>（2）竞标人的报价均超过了采购预算，采购人不能支付的；</w:t>
      </w:r>
    </w:p>
    <w:p w14:paraId="2B3ECA8A">
      <w:pPr>
        <w:snapToGrid w:val="0"/>
        <w:spacing w:line="360" w:lineRule="auto"/>
        <w:ind w:firstLine="480" w:firstLineChars="200"/>
        <w:rPr>
          <w:rFonts w:hint="eastAsia"/>
        </w:rPr>
      </w:pPr>
      <w:r>
        <w:rPr>
          <w:rFonts w:hint="eastAsia"/>
        </w:rPr>
        <w:t>（3）因重大变故，采购任务取消的；</w:t>
      </w:r>
    </w:p>
    <w:p w14:paraId="17D60E85">
      <w:pPr>
        <w:pStyle w:val="3"/>
        <w:spacing w:line="360" w:lineRule="auto"/>
        <w:ind w:firstLine="539" w:firstLineChars="179"/>
        <w:rPr>
          <w:rFonts w:hint="eastAsia"/>
          <w:sz w:val="30"/>
        </w:rPr>
      </w:pPr>
      <w:bookmarkStart w:id="11" w:name="_Toc23758"/>
      <w:r>
        <w:rPr>
          <w:rFonts w:hint="eastAsia"/>
          <w:sz w:val="30"/>
        </w:rPr>
        <w:t>五、询价保证金</w:t>
      </w:r>
      <w:bookmarkEnd w:id="9"/>
      <w:bookmarkEnd w:id="10"/>
      <w:bookmarkEnd w:id="11"/>
    </w:p>
    <w:p w14:paraId="281FA37A">
      <w:pPr>
        <w:snapToGrid w:val="0"/>
        <w:spacing w:line="360" w:lineRule="auto"/>
        <w:ind w:firstLine="573"/>
        <w:rPr>
          <w:rFonts w:hint="eastAsia"/>
        </w:rPr>
      </w:pPr>
      <w:r>
        <w:rPr>
          <w:rFonts w:hint="eastAsia"/>
        </w:rPr>
        <w:t>本项目无询价保证金要求。</w:t>
      </w:r>
    </w:p>
    <w:p w14:paraId="0CBCFF49">
      <w:pPr>
        <w:pStyle w:val="3"/>
        <w:spacing w:line="360" w:lineRule="auto"/>
        <w:ind w:firstLine="539" w:firstLineChars="179"/>
        <w:rPr>
          <w:sz w:val="30"/>
        </w:rPr>
      </w:pPr>
      <w:bookmarkStart w:id="12" w:name="_Toc27666"/>
      <w:bookmarkStart w:id="13" w:name="_Toc102227321"/>
      <w:bookmarkStart w:id="14" w:name="_Toc233445126"/>
      <w:r>
        <w:rPr>
          <w:rFonts w:hint="eastAsia"/>
          <w:sz w:val="30"/>
        </w:rPr>
        <w:t>六、成交通知</w:t>
      </w:r>
      <w:bookmarkEnd w:id="12"/>
      <w:bookmarkEnd w:id="13"/>
      <w:bookmarkEnd w:id="14"/>
    </w:p>
    <w:p w14:paraId="153276C6">
      <w:pPr>
        <w:snapToGrid w:val="0"/>
        <w:spacing w:line="360" w:lineRule="auto"/>
        <w:ind w:firstLine="480" w:firstLineChars="200"/>
        <w:rPr>
          <w:szCs w:val="28"/>
        </w:rPr>
      </w:pPr>
      <w:bookmarkStart w:id="15" w:name="_Toc102227322"/>
      <w:bookmarkStart w:id="16" w:name="_Toc233445127"/>
      <w:r>
        <w:rPr>
          <w:rFonts w:hint="eastAsia"/>
          <w:szCs w:val="28"/>
        </w:rPr>
        <w:t>成交公示期结束3个工作日内，我部将通知中标单位，进入合同签订流程。</w:t>
      </w:r>
    </w:p>
    <w:p w14:paraId="5786E35C">
      <w:pPr>
        <w:pStyle w:val="3"/>
        <w:spacing w:line="360" w:lineRule="auto"/>
        <w:ind w:firstLine="539" w:firstLineChars="179"/>
        <w:rPr>
          <w:sz w:val="30"/>
        </w:rPr>
      </w:pPr>
      <w:bookmarkStart w:id="17" w:name="_Toc11817"/>
      <w:r>
        <w:rPr>
          <w:rFonts w:hint="eastAsia"/>
          <w:sz w:val="30"/>
        </w:rPr>
        <w:t>七、签订</w:t>
      </w:r>
      <w:bookmarkEnd w:id="15"/>
      <w:r>
        <w:rPr>
          <w:rFonts w:hint="eastAsia"/>
          <w:sz w:val="30"/>
        </w:rPr>
        <w:t>合同</w:t>
      </w:r>
      <w:bookmarkEnd w:id="16"/>
      <w:bookmarkEnd w:id="17"/>
    </w:p>
    <w:p w14:paraId="038C2B64">
      <w:pPr>
        <w:snapToGrid w:val="0"/>
        <w:spacing w:line="360" w:lineRule="auto"/>
        <w:ind w:firstLine="573"/>
        <w:rPr>
          <w:szCs w:val="28"/>
        </w:rPr>
      </w:pPr>
      <w:r>
        <w:rPr>
          <w:szCs w:val="28"/>
        </w:rPr>
        <w:t>1</w:t>
      </w:r>
      <w:r>
        <w:rPr>
          <w:rFonts w:hint="eastAsia"/>
          <w:szCs w:val="28"/>
        </w:rPr>
        <w:t>、成交供应商按成交要求指定时间、地点与采购人签订采购合同。</w:t>
      </w:r>
    </w:p>
    <w:p w14:paraId="061C1216">
      <w:pPr>
        <w:snapToGrid w:val="0"/>
        <w:spacing w:line="360" w:lineRule="auto"/>
        <w:ind w:firstLine="573"/>
        <w:rPr>
          <w:szCs w:val="28"/>
        </w:rPr>
      </w:pPr>
      <w:r>
        <w:rPr>
          <w:szCs w:val="28"/>
        </w:rPr>
        <w:t>2</w:t>
      </w:r>
      <w:r>
        <w:rPr>
          <w:rFonts w:hint="eastAsia"/>
          <w:szCs w:val="28"/>
        </w:rPr>
        <w:t>、成交供应商的竞标文件及有效承诺文件等，均为签订合同的依据。</w:t>
      </w:r>
    </w:p>
    <w:p w14:paraId="465EEAA9">
      <w:pPr>
        <w:pStyle w:val="2"/>
        <w:rPr>
          <w:rFonts w:hint="eastAsia"/>
          <w:lang w:val="en-US" w:eastAsia="zh-CN"/>
        </w:rPr>
      </w:pPr>
      <w:r>
        <w:rPr>
          <w:szCs w:val="28"/>
        </w:rPr>
        <w:t>3</w:t>
      </w:r>
      <w:r>
        <w:rPr>
          <w:rFonts w:hint="eastAsia"/>
          <w:szCs w:val="28"/>
        </w:rPr>
        <w:t>、如成交供应商放弃成交项目或在签订合同时改变成交状态，我公司将取消其成交资格。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61C18"/>
    <w:multiLevelType w:val="singleLevel"/>
    <w:tmpl w:val="98D61C18"/>
    <w:lvl w:ilvl="0" w:tentative="0">
      <w:start w:val="1"/>
      <w:numFmt w:val="decimal"/>
      <w:lvlText w:val="%1."/>
      <w:lvlJc w:val="left"/>
      <w:pPr>
        <w:tabs>
          <w:tab w:val="left" w:pos="312"/>
        </w:tabs>
      </w:pPr>
    </w:lvl>
  </w:abstractNum>
  <w:abstractNum w:abstractNumId="1">
    <w:nsid w:val="1FA78C6A"/>
    <w:multiLevelType w:val="singleLevel"/>
    <w:tmpl w:val="1FA78C6A"/>
    <w:lvl w:ilvl="0" w:tentative="0">
      <w:start w:val="1"/>
      <w:numFmt w:val="decimal"/>
      <w:lvlText w:val="%1."/>
      <w:lvlJc w:val="left"/>
      <w:pPr>
        <w:tabs>
          <w:tab w:val="left" w:pos="312"/>
        </w:tabs>
      </w:pPr>
    </w:lvl>
  </w:abstractNum>
  <w:abstractNum w:abstractNumId="2">
    <w:nsid w:val="21A35A0F"/>
    <w:multiLevelType w:val="singleLevel"/>
    <w:tmpl w:val="21A35A0F"/>
    <w:lvl w:ilvl="0" w:tentative="0">
      <w:start w:val="1"/>
      <w:numFmt w:val="decimal"/>
      <w:lvlText w:val="%1."/>
      <w:lvlJc w:val="left"/>
      <w:pPr>
        <w:tabs>
          <w:tab w:val="left" w:pos="312"/>
        </w:tabs>
      </w:pPr>
    </w:lvl>
  </w:abstractNum>
  <w:abstractNum w:abstractNumId="3">
    <w:nsid w:val="2FD240B0"/>
    <w:multiLevelType w:val="multilevel"/>
    <w:tmpl w:val="2FD240B0"/>
    <w:lvl w:ilvl="0" w:tentative="0">
      <w:start w:val="6"/>
      <w:numFmt w:val="decimal"/>
      <w:lvlText w:val="（%1）"/>
      <w:lvlJc w:val="left"/>
      <w:pPr>
        <w:ind w:left="1293" w:hanging="720"/>
      </w:pPr>
      <w:rPr>
        <w:rFonts w:hint="default"/>
      </w:rPr>
    </w:lvl>
    <w:lvl w:ilvl="1" w:tentative="0">
      <w:start w:val="1"/>
      <w:numFmt w:val="lowerLetter"/>
      <w:lvlText w:val="%2)"/>
      <w:lvlJc w:val="left"/>
      <w:pPr>
        <w:ind w:left="1413" w:hanging="420"/>
      </w:pPr>
    </w:lvl>
    <w:lvl w:ilvl="2" w:tentative="0">
      <w:start w:val="1"/>
      <w:numFmt w:val="lowerRoman"/>
      <w:lvlText w:val="%3."/>
      <w:lvlJc w:val="right"/>
      <w:pPr>
        <w:ind w:left="1833" w:hanging="420"/>
      </w:pPr>
    </w:lvl>
    <w:lvl w:ilvl="3" w:tentative="0">
      <w:start w:val="1"/>
      <w:numFmt w:val="decimal"/>
      <w:lvlText w:val="%4."/>
      <w:lvlJc w:val="left"/>
      <w:pPr>
        <w:ind w:left="2253" w:hanging="420"/>
      </w:pPr>
    </w:lvl>
    <w:lvl w:ilvl="4" w:tentative="0">
      <w:start w:val="1"/>
      <w:numFmt w:val="lowerLetter"/>
      <w:lvlText w:val="%5)"/>
      <w:lvlJc w:val="left"/>
      <w:pPr>
        <w:ind w:left="2673" w:hanging="420"/>
      </w:pPr>
    </w:lvl>
    <w:lvl w:ilvl="5" w:tentative="0">
      <w:start w:val="1"/>
      <w:numFmt w:val="lowerRoman"/>
      <w:lvlText w:val="%6."/>
      <w:lvlJc w:val="right"/>
      <w:pPr>
        <w:ind w:left="3093" w:hanging="420"/>
      </w:pPr>
    </w:lvl>
    <w:lvl w:ilvl="6" w:tentative="0">
      <w:start w:val="1"/>
      <w:numFmt w:val="decimal"/>
      <w:lvlText w:val="%7."/>
      <w:lvlJc w:val="left"/>
      <w:pPr>
        <w:ind w:left="3513" w:hanging="420"/>
      </w:pPr>
    </w:lvl>
    <w:lvl w:ilvl="7" w:tentative="0">
      <w:start w:val="1"/>
      <w:numFmt w:val="lowerLetter"/>
      <w:lvlText w:val="%8)"/>
      <w:lvlJc w:val="left"/>
      <w:pPr>
        <w:ind w:left="3933" w:hanging="420"/>
      </w:pPr>
    </w:lvl>
    <w:lvl w:ilvl="8" w:tentative="0">
      <w:start w:val="1"/>
      <w:numFmt w:val="lowerRoman"/>
      <w:lvlText w:val="%9."/>
      <w:lvlJc w:val="right"/>
      <w:pPr>
        <w:ind w:left="4353" w:hanging="420"/>
      </w:pPr>
    </w:lvl>
  </w:abstractNum>
  <w:abstractNum w:abstractNumId="4">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5">
    <w:nsid w:val="68703CCF"/>
    <w:multiLevelType w:val="singleLevel"/>
    <w:tmpl w:val="68703CCF"/>
    <w:lvl w:ilvl="0" w:tentative="0">
      <w:start w:val="1"/>
      <w:numFmt w:val="decimal"/>
      <w:lvlText w:val="%1."/>
      <w:lvlJc w:val="left"/>
      <w:pPr>
        <w:tabs>
          <w:tab w:val="left" w:pos="312"/>
        </w:tabs>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B472A"/>
    <w:rsid w:val="14583795"/>
    <w:rsid w:val="16BF0110"/>
    <w:rsid w:val="187F3A5E"/>
    <w:rsid w:val="30F61F4B"/>
    <w:rsid w:val="36F54FB9"/>
    <w:rsid w:val="3E0B50C2"/>
    <w:rsid w:val="4AAC764D"/>
    <w:rsid w:val="5E5D6023"/>
    <w:rsid w:val="672D6CEF"/>
    <w:rsid w:val="794177E9"/>
    <w:rsid w:val="797F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6">
    <w:name w:val="正文_1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2252</Words>
  <Characters>2495</Characters>
  <Lines>0</Lines>
  <Paragraphs>0</Paragraphs>
  <TotalTime>286</TotalTime>
  <ScaleCrop>false</ScaleCrop>
  <LinksUpToDate>false</LinksUpToDate>
  <CharactersWithSpaces>2502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2025-06-16T04:44:00Z</dcterms:created>
  <dc:creator>chen</dc:creator>
  <cp:lastModifiedBy>llhhyy</cp:lastModifiedBy>
  <dcterms:modified xsi:type="dcterms:W3CDTF">2025-06-23T08:49:14Z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eyJoZGlkIjoiMzI1ZGFkZDZlYzVkZjViZGY5ZWJlMjhjZjVhOGZkMGQiLCJ1c2VySWQiOiIxNjE5MDYxNTAxIn0=</vt:lpwstr>
  </property>
  <property fmtid="{D5CDD505-2E9C-101B-9397-08002B2CF9AE}" pid="4" name="ICV">
    <vt:lpwstr>7BBBCA827A4344FEACE2454EEF7A78EC_13</vt:lpwstr>
  </property>
</Properties>
</file>