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tabs>
          <w:tab w:val="left" w:pos="0"/>
        </w:tabs>
        <w:kinsoku/>
        <w:wordWrap/>
        <w:overflowPunct/>
        <w:topLinePunct w:val="0"/>
        <w:autoSpaceDE w:val="0"/>
        <w:autoSpaceDN w:val="0"/>
        <w:bidi w:val="0"/>
        <w:adjustRightInd w:val="0"/>
        <w:snapToGrid/>
        <w:spacing w:before="0" w:after="0" w:line="560" w:lineRule="exact"/>
        <w:jc w:val="center"/>
        <w:textAlignment w:val="auto"/>
        <w:rPr>
          <w:rFonts w:hint="eastAsia" w:ascii="华文中宋" w:hAnsi="华文中宋" w:eastAsia="华文中宋"/>
          <w:lang w:val="en-US" w:eastAsia="zh-CN"/>
        </w:rPr>
      </w:pPr>
      <w:bookmarkStart w:id="0" w:name="_GoBack"/>
      <w:r>
        <w:rPr>
          <w:rFonts w:hint="eastAsia" w:ascii="华文中宋" w:hAnsi="华文中宋" w:eastAsia="华文中宋"/>
          <w:lang w:val="en-US" w:eastAsia="zh-CN"/>
        </w:rPr>
        <w:t>武汉天河国际机场、鄂州花湖国际机场临空产业及土地利用规划课题采购项目</w:t>
      </w:r>
      <w:bookmarkEnd w:id="0"/>
    </w:p>
    <w:p>
      <w:pPr>
        <w:pStyle w:val="3"/>
        <w:keepNext/>
        <w:keepLines/>
        <w:pageBreakBefore w:val="0"/>
        <w:widowControl w:val="0"/>
        <w:tabs>
          <w:tab w:val="left" w:pos="0"/>
        </w:tabs>
        <w:kinsoku/>
        <w:wordWrap/>
        <w:overflowPunct/>
        <w:topLinePunct w:val="0"/>
        <w:autoSpaceDE w:val="0"/>
        <w:autoSpaceDN w:val="0"/>
        <w:bidi w:val="0"/>
        <w:adjustRightInd w:val="0"/>
        <w:snapToGrid/>
        <w:spacing w:before="0" w:after="0" w:line="560" w:lineRule="exact"/>
        <w:jc w:val="center"/>
        <w:textAlignment w:val="auto"/>
        <w:rPr>
          <w:rFonts w:hint="eastAsia" w:ascii="华文中宋" w:hAnsi="华文中宋" w:eastAsia="华文中宋"/>
          <w:lang w:eastAsia="zh-CN"/>
        </w:rPr>
      </w:pPr>
      <w:r>
        <w:rPr>
          <w:rFonts w:hint="eastAsia" w:ascii="华文中宋" w:hAnsi="华文中宋" w:eastAsia="华文中宋"/>
        </w:rPr>
        <w:t>成交结果</w:t>
      </w:r>
      <w:r>
        <w:rPr>
          <w:rFonts w:hint="eastAsia" w:ascii="华文中宋" w:hAnsi="华文中宋" w:eastAsia="华文中宋"/>
          <w:lang w:val="en-US" w:eastAsia="zh-CN"/>
        </w:rPr>
        <w:t>公示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color w:val="333333"/>
          <w:sz w:val="24"/>
          <w:szCs w:val="24"/>
          <w:lang w:val="en-US" w:eastAsia="zh-CN"/>
        </w:rPr>
      </w:pPr>
      <w:r>
        <w:rPr>
          <w:rFonts w:hint="eastAsia" w:ascii="黑体" w:hAnsi="黑体" w:eastAsia="黑体" w:cs="黑体"/>
          <w:color w:val="333333"/>
          <w:sz w:val="24"/>
          <w:szCs w:val="24"/>
          <w:lang w:val="en-US" w:eastAsia="zh-CN"/>
        </w:rPr>
        <w:t>一、中标人信息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项目名称：武汉天河国际机场、鄂州花湖国际机场临空产业及土地利用规划课题采购项目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中标人：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01包:中国城市规划设计研究院、旭鹏设计咨询（上海）有限公司联合体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02包:中国中元国际工程有限公司、天津艾维森商务咨询有限公司联合体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中标金额：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01包：2,900,000.00（元）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02包：1,700,000.00(元）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color w:val="333333"/>
          <w:sz w:val="24"/>
          <w:szCs w:val="24"/>
          <w:lang w:val="en-US" w:eastAsia="zh-CN"/>
        </w:rPr>
      </w:pPr>
      <w:r>
        <w:rPr>
          <w:rFonts w:hint="eastAsia" w:ascii="黑体" w:hAnsi="黑体" w:eastAsia="黑体" w:cs="黑体"/>
          <w:color w:val="333333"/>
          <w:sz w:val="24"/>
          <w:szCs w:val="24"/>
          <w:lang w:val="en-US" w:eastAsia="zh-CN"/>
        </w:rPr>
        <w:t>二、其他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详见附件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Calibri" w:hAnsi="Calibri" w:cs="Calibri"/>
          <w:sz w:val="24"/>
          <w:szCs w:val="24"/>
        </w:rPr>
      </w:pPr>
      <w:r>
        <w:rPr>
          <w:rFonts w:hint="eastAsia" w:ascii="黑体" w:hAnsi="黑体" w:eastAsia="黑体" w:cs="黑体"/>
          <w:color w:val="333333"/>
          <w:sz w:val="24"/>
          <w:szCs w:val="24"/>
          <w:lang w:val="en-US" w:eastAsia="zh-CN"/>
        </w:rPr>
        <w:t>三、</w:t>
      </w:r>
      <w:r>
        <w:rPr>
          <w:rFonts w:hint="eastAsia" w:ascii="黑体" w:hAnsi="黑体" w:eastAsia="黑体" w:cs="黑体"/>
          <w:b/>
          <w:bCs/>
          <w:color w:val="333333"/>
          <w:sz w:val="24"/>
          <w:szCs w:val="24"/>
        </w:rPr>
        <w:t>公示时间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default" w:ascii="Calibri" w:hAnsi="Calibri" w:cs="Calibri"/>
          <w:sz w:val="24"/>
          <w:szCs w:val="24"/>
        </w:rPr>
      </w:pPr>
      <w:r>
        <w:rPr>
          <w:rFonts w:hint="eastAsia" w:ascii="仿宋" w:hAnsi="仿宋" w:eastAsia="仿宋" w:cs="仿宋"/>
          <w:color w:val="333333"/>
          <w:sz w:val="24"/>
          <w:szCs w:val="24"/>
        </w:rPr>
        <w:t>公示期为</w:t>
      </w:r>
      <w:r>
        <w:rPr>
          <w:rFonts w:hint="eastAsia" w:ascii="仿宋" w:hAnsi="仿宋" w:eastAsia="仿宋" w:cs="仿宋"/>
          <w:color w:val="333333"/>
          <w:sz w:val="24"/>
          <w:szCs w:val="24"/>
          <w:u w:val="single"/>
        </w:rPr>
        <w:t>  </w:t>
      </w:r>
      <w:r>
        <w:rPr>
          <w:rFonts w:hint="eastAsia" w:ascii="仿宋" w:hAnsi="仿宋" w:eastAsia="仿宋" w:cs="仿宋"/>
          <w:color w:val="333333"/>
          <w:sz w:val="24"/>
          <w:szCs w:val="24"/>
          <w:u w:val="single"/>
          <w:lang w:val="en-US" w:eastAsia="zh-CN"/>
        </w:rPr>
        <w:t>2024</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w:t>
      </w:r>
      <w:r>
        <w:rPr>
          <w:rFonts w:hint="eastAsia" w:ascii="仿宋" w:hAnsi="仿宋" w:eastAsia="仿宋" w:cs="仿宋"/>
          <w:color w:val="333333"/>
          <w:sz w:val="24"/>
          <w:szCs w:val="24"/>
          <w:u w:val="single"/>
          <w:lang w:val="en-US" w:eastAsia="zh-CN"/>
        </w:rPr>
        <w:t>12</w:t>
      </w:r>
      <w:r>
        <w:rPr>
          <w:rFonts w:hint="eastAsia" w:ascii="仿宋" w:hAnsi="仿宋" w:eastAsia="仿宋" w:cs="仿宋"/>
          <w:color w:val="333333"/>
          <w:sz w:val="24"/>
          <w:szCs w:val="24"/>
          <w:u w:val="single"/>
        </w:rPr>
        <w:t> </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rPr>
        <w:t> </w:t>
      </w:r>
      <w:r>
        <w:rPr>
          <w:rFonts w:hint="eastAsia" w:ascii="仿宋" w:hAnsi="仿宋" w:eastAsia="仿宋" w:cs="仿宋"/>
          <w:color w:val="333333"/>
          <w:sz w:val="24"/>
          <w:szCs w:val="24"/>
          <w:u w:val="single"/>
          <w:lang w:val="en-US" w:eastAsia="zh-CN"/>
        </w:rPr>
        <w:t>13</w:t>
      </w:r>
      <w:r>
        <w:rPr>
          <w:rFonts w:hint="eastAsia" w:ascii="仿宋" w:hAnsi="仿宋" w:eastAsia="仿宋" w:cs="仿宋"/>
          <w:color w:val="333333"/>
          <w:sz w:val="24"/>
          <w:szCs w:val="24"/>
        </w:rPr>
        <w:t>日至</w:t>
      </w:r>
      <w:r>
        <w:rPr>
          <w:rFonts w:hint="eastAsia" w:ascii="仿宋" w:hAnsi="仿宋" w:eastAsia="仿宋" w:cs="仿宋"/>
          <w:color w:val="333333"/>
          <w:sz w:val="24"/>
          <w:szCs w:val="24"/>
          <w:u w:val="single"/>
        </w:rPr>
        <w:t> </w:t>
      </w:r>
      <w:r>
        <w:rPr>
          <w:rFonts w:hint="eastAsia" w:ascii="仿宋" w:hAnsi="仿宋" w:eastAsia="仿宋" w:cs="仿宋"/>
          <w:color w:val="333333"/>
          <w:sz w:val="24"/>
          <w:szCs w:val="24"/>
          <w:u w:val="single"/>
          <w:lang w:val="en-US" w:eastAsia="zh-CN"/>
        </w:rPr>
        <w:t>2024</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rPr>
        <w:t> </w:t>
      </w:r>
      <w:r>
        <w:rPr>
          <w:rFonts w:hint="eastAsia" w:ascii="仿宋" w:hAnsi="仿宋" w:eastAsia="仿宋" w:cs="仿宋"/>
          <w:color w:val="333333"/>
          <w:sz w:val="24"/>
          <w:szCs w:val="24"/>
          <w:u w:val="single"/>
          <w:lang w:val="en-US" w:eastAsia="zh-CN"/>
        </w:rPr>
        <w:t>12</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16</w:t>
      </w:r>
      <w:r>
        <w:rPr>
          <w:rFonts w:hint="eastAsia" w:ascii="仿宋" w:hAnsi="仿宋" w:eastAsia="仿宋" w:cs="仿宋"/>
          <w:color w:val="333333"/>
          <w:sz w:val="24"/>
          <w:szCs w:val="24"/>
        </w:rPr>
        <w:t>日（北京时间）。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sz w:val="24"/>
          <w:szCs w:val="24"/>
        </w:rPr>
      </w:pPr>
      <w:r>
        <w:rPr>
          <w:rFonts w:hint="eastAsia" w:ascii="黑体" w:hAnsi="黑体" w:eastAsia="黑体" w:cs="黑体"/>
          <w:b/>
          <w:bCs/>
          <w:color w:val="333333"/>
          <w:sz w:val="24"/>
          <w:szCs w:val="24"/>
          <w:lang w:val="en-US" w:eastAsia="zh-CN"/>
        </w:rPr>
        <w:t>四</w:t>
      </w:r>
      <w:r>
        <w:rPr>
          <w:rFonts w:hint="eastAsia" w:ascii="黑体" w:hAnsi="黑体" w:eastAsia="黑体" w:cs="黑体"/>
          <w:b/>
          <w:bCs/>
          <w:color w:val="333333"/>
          <w:sz w:val="24"/>
          <w:szCs w:val="24"/>
        </w:rPr>
        <w:t>、异议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color w:val="333333"/>
          <w:sz w:val="24"/>
          <w:szCs w:val="24"/>
          <w:lang w:val="en-US" w:eastAsia="zh-CN"/>
        </w:rPr>
      </w:pPr>
      <w:r>
        <w:rPr>
          <w:rFonts w:hint="eastAsia" w:ascii="仿宋" w:hAnsi="仿宋" w:eastAsia="仿宋"/>
          <w:kern w:val="0"/>
          <w:sz w:val="24"/>
          <w:szCs w:val="24"/>
          <w:lang w:val="en-US" w:eastAsia="zh-CN"/>
        </w:rPr>
        <w:t>投标人或者其他利害关系人对评标结果有异议的，应在评标结果公示期内以书面形式向采购人提出</w:t>
      </w:r>
      <w:r>
        <w:rPr>
          <w:rFonts w:hint="eastAsia" w:ascii="仿宋" w:hAnsi="仿宋" w:eastAsia="仿宋" w:cs="仿宋"/>
          <w:color w:val="333333"/>
          <w:sz w:val="24"/>
          <w:szCs w:val="24"/>
        </w:rPr>
        <w:t>。作出答复前，将暂停</w:t>
      </w:r>
      <w:r>
        <w:rPr>
          <w:rFonts w:hint="eastAsia" w:ascii="仿宋" w:hAnsi="仿宋" w:eastAsia="仿宋" w:cs="仿宋"/>
          <w:color w:val="333333"/>
          <w:sz w:val="24"/>
          <w:szCs w:val="24"/>
          <w:lang w:val="en-US" w:eastAsia="zh-CN"/>
        </w:rPr>
        <w:t>采购</w:t>
      </w:r>
      <w:r>
        <w:rPr>
          <w:rFonts w:hint="eastAsia" w:ascii="仿宋" w:hAnsi="仿宋" w:eastAsia="仿宋" w:cs="仿宋"/>
          <w:color w:val="333333"/>
          <w:sz w:val="24"/>
          <w:szCs w:val="24"/>
        </w:rPr>
        <w:t>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color w:val="333333"/>
          <w:sz w:val="24"/>
          <w:szCs w:val="24"/>
          <w:lang w:val="en-US" w:eastAsia="zh-CN"/>
        </w:rPr>
      </w:pPr>
      <w:r>
        <w:rPr>
          <w:rFonts w:hint="eastAsia" w:ascii="黑体" w:hAnsi="黑体" w:eastAsia="黑体" w:cs="黑体"/>
          <w:color w:val="333333"/>
          <w:sz w:val="24"/>
          <w:szCs w:val="24"/>
          <w:lang w:val="en-US" w:eastAsia="zh-CN"/>
        </w:rPr>
        <w:t>五、联系方式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1．</w:t>
      </w:r>
      <w:r>
        <w:rPr>
          <w:rFonts w:hint="eastAsia" w:ascii="仿宋" w:hAnsi="仿宋" w:eastAsia="仿宋" w:cs="仿宋"/>
          <w:color w:val="333333"/>
          <w:sz w:val="24"/>
          <w:szCs w:val="24"/>
          <w:lang w:val="en-US" w:eastAsia="zh-CN"/>
        </w:rPr>
        <w:t>采购人</w:t>
      </w:r>
      <w:r>
        <w:rPr>
          <w:rFonts w:hint="eastAsia" w:ascii="仿宋" w:hAnsi="仿宋" w:eastAsia="仿宋" w:cs="仿宋"/>
          <w:color w:val="333333"/>
          <w:sz w:val="24"/>
          <w:szCs w:val="24"/>
        </w:rPr>
        <w:t>：湖北机场集团有限公司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 xml:space="preserve">单位地址：武汉市黄陂区天河镇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联 系 人：廖工、罗工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default" w:ascii="仿宋" w:hAnsi="仿宋" w:eastAsia="仿宋" w:cs="仿宋"/>
          <w:color w:val="333333"/>
          <w:sz w:val="24"/>
          <w:szCs w:val="24"/>
        </w:rPr>
      </w:pPr>
      <w:r>
        <w:rPr>
          <w:rFonts w:hint="eastAsia" w:ascii="仿宋" w:hAnsi="仿宋" w:eastAsia="仿宋" w:cs="仿宋"/>
          <w:color w:val="333333"/>
          <w:sz w:val="24"/>
          <w:szCs w:val="24"/>
        </w:rPr>
        <w:t xml:space="preserve">电    话：027-85819951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2．招标代理机构：湖北国华项目管理咨询有限公司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单位地址：武汉市武昌区中北路109号中铁1818中心10楼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联系人：吴娅、李贝、刘素芳、余轶菲、王刚、万齐威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邮政编码：430071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电    话：027-87272701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right"/>
        <w:textAlignment w:val="auto"/>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招标代理机构：</w:t>
      </w:r>
      <w:r>
        <w:rPr>
          <w:rFonts w:hint="eastAsia" w:ascii="仿宋" w:hAnsi="仿宋" w:eastAsia="仿宋" w:cs="仿宋"/>
          <w:color w:val="333333"/>
          <w:sz w:val="24"/>
          <w:szCs w:val="24"/>
        </w:rPr>
        <w:t>湖北国华项目管理咨询有限公司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jc w:val="right"/>
        <w:textAlignment w:val="auto"/>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 xml:space="preserve">    </w:t>
      </w:r>
      <w:r>
        <w:rPr>
          <w:rFonts w:hint="eastAsia" w:ascii="仿宋" w:hAnsi="仿宋" w:eastAsia="仿宋" w:cs="仿宋"/>
          <w:color w:val="333333"/>
          <w:sz w:val="24"/>
          <w:szCs w:val="24"/>
          <w:lang w:val="en-US" w:eastAsia="zh-CN"/>
        </w:rPr>
        <w:t>2024</w:t>
      </w:r>
      <w:r>
        <w:rPr>
          <w:rFonts w:hint="default" w:ascii="仿宋" w:hAnsi="仿宋" w:eastAsia="仿宋" w:cs="仿宋"/>
          <w:color w:val="333333"/>
          <w:sz w:val="24"/>
          <w:szCs w:val="24"/>
          <w:lang w:val="en-US" w:eastAsia="zh-CN"/>
        </w:rPr>
        <w:t>年</w:t>
      </w:r>
      <w:r>
        <w:rPr>
          <w:rFonts w:hint="eastAsia" w:ascii="仿宋" w:hAnsi="仿宋" w:eastAsia="仿宋" w:cs="仿宋"/>
          <w:color w:val="333333"/>
          <w:sz w:val="24"/>
          <w:szCs w:val="24"/>
          <w:lang w:val="en-US" w:eastAsia="zh-CN"/>
        </w:rPr>
        <w:t>12</w:t>
      </w:r>
      <w:r>
        <w:rPr>
          <w:rFonts w:hint="default" w:ascii="仿宋" w:hAnsi="仿宋" w:eastAsia="仿宋" w:cs="仿宋"/>
          <w:color w:val="333333"/>
          <w:sz w:val="24"/>
          <w:szCs w:val="24"/>
          <w:lang w:val="en-US" w:eastAsia="zh-CN"/>
        </w:rPr>
        <w:t>月</w:t>
      </w:r>
      <w:r>
        <w:rPr>
          <w:rFonts w:hint="eastAsia" w:ascii="仿宋" w:hAnsi="仿宋" w:eastAsia="仿宋" w:cs="仿宋"/>
          <w:color w:val="333333"/>
          <w:sz w:val="24"/>
          <w:szCs w:val="24"/>
          <w:lang w:val="en-US" w:eastAsia="zh-CN"/>
        </w:rPr>
        <w:t>12</w:t>
      </w:r>
      <w:r>
        <w:rPr>
          <w:rFonts w:hint="default" w:ascii="仿宋" w:hAnsi="仿宋" w:eastAsia="仿宋" w:cs="仿宋"/>
          <w:color w:val="333333"/>
          <w:sz w:val="24"/>
          <w:szCs w:val="24"/>
          <w:lang w:val="en-US" w:eastAsia="zh-CN"/>
        </w:rPr>
        <w:t>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b/>
          <w:bCs/>
          <w:color w:val="333333"/>
          <w:sz w:val="28"/>
          <w:szCs w:val="28"/>
        </w:rPr>
      </w:pPr>
    </w:p>
    <w:p>
      <w:pPr>
        <w:rPr>
          <w:rFonts w:hint="eastAsia" w:ascii="仿宋" w:hAnsi="仿宋" w:eastAsia="仿宋" w:cs="仿宋"/>
          <w:b/>
          <w:bCs/>
          <w:color w:val="333333"/>
          <w:sz w:val="28"/>
          <w:szCs w:val="28"/>
          <w:lang w:val="en-US" w:eastAsia="zh-CN"/>
        </w:rPr>
      </w:pPr>
      <w:r>
        <w:rPr>
          <w:rFonts w:hint="eastAsia" w:ascii="仿宋" w:hAnsi="仿宋" w:eastAsia="仿宋" w:cs="仿宋"/>
          <w:b/>
          <w:bCs/>
          <w:color w:val="333333"/>
          <w:sz w:val="28"/>
          <w:szCs w:val="28"/>
          <w:lang w:val="en-US" w:eastAsia="zh-CN"/>
        </w:rPr>
        <w:br w:type="page"/>
      </w:r>
    </w:p>
    <w:p>
      <w:pPr>
        <w:rPr>
          <w:rFonts w:hint="eastAsia" w:ascii="仿宋" w:hAnsi="仿宋" w:eastAsia="仿宋" w:cs="仿宋"/>
          <w:b/>
          <w:bCs/>
          <w:color w:val="333333"/>
          <w:sz w:val="28"/>
          <w:szCs w:val="28"/>
          <w:lang w:val="en-US" w:eastAsia="zh-CN"/>
        </w:rPr>
      </w:pPr>
      <w:r>
        <w:rPr>
          <w:rFonts w:hint="eastAsia" w:ascii="仿宋" w:hAnsi="仿宋" w:eastAsia="仿宋" w:cs="仿宋"/>
          <w:b/>
          <w:bCs/>
          <w:color w:val="333333"/>
          <w:sz w:val="28"/>
          <w:szCs w:val="28"/>
          <w:lang w:val="en-US" w:eastAsia="zh-CN"/>
        </w:rPr>
        <w:t>附件</w:t>
      </w:r>
    </w:p>
    <w:p>
      <w:pPr>
        <w:pStyle w:val="4"/>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b/>
          <w:bCs/>
          <w:color w:val="333333"/>
          <w:sz w:val="28"/>
          <w:szCs w:val="28"/>
        </w:rPr>
        <w:t>一、</w:t>
      </w:r>
      <w:r>
        <w:rPr>
          <w:rFonts w:ascii="Times New Roman" w:hAnsi="Times New Roman" w:eastAsia="仿宋" w:cs="Times New Roman"/>
          <w:b/>
          <w:bCs/>
          <w:color w:val="333333"/>
          <w:sz w:val="14"/>
          <w:szCs w:val="14"/>
        </w:rPr>
        <w:t xml:space="preserve">   </w:t>
      </w:r>
      <w:r>
        <w:rPr>
          <w:rFonts w:hint="eastAsia" w:ascii="仿宋" w:hAnsi="仿宋" w:eastAsia="仿宋" w:cs="仿宋"/>
          <w:b/>
          <w:bCs/>
          <w:color w:val="333333"/>
          <w:sz w:val="28"/>
          <w:szCs w:val="28"/>
        </w:rPr>
        <w:t>招标概况</w:t>
      </w:r>
    </w:p>
    <w:p>
      <w:pPr>
        <w:pStyle w:val="4"/>
        <w:keepNext w:val="0"/>
        <w:keepLines w:val="0"/>
        <w:widowControl/>
        <w:suppressLineNumbers w:val="0"/>
        <w:spacing w:before="0" w:beforeAutospacing="0" w:after="0" w:afterAutospacing="0" w:line="480" w:lineRule="atLeast"/>
        <w:ind w:left="0" w:right="0" w:firstLine="560"/>
        <w:jc w:val="left"/>
        <w:rPr>
          <w:rFonts w:hint="default" w:ascii="Calibri" w:hAnsi="Calibri" w:cs="Calibri"/>
          <w:sz w:val="20"/>
          <w:szCs w:val="20"/>
        </w:rPr>
      </w:pPr>
      <w:r>
        <w:rPr>
          <w:rFonts w:hint="eastAsia" w:ascii="仿宋" w:hAnsi="仿宋" w:eastAsia="仿宋" w:cs="仿宋"/>
          <w:color w:val="333333"/>
          <w:sz w:val="24"/>
          <w:szCs w:val="24"/>
          <w:u w:val="single"/>
          <w:lang w:eastAsia="zh-CN"/>
        </w:rPr>
        <w:t>武汉天河国际机场、鄂州花湖国际机场临空产业及土地利用规划课题采购项目</w:t>
      </w:r>
      <w:r>
        <w:rPr>
          <w:rFonts w:hint="eastAsia" w:ascii="仿宋" w:hAnsi="仿宋" w:eastAsia="仿宋" w:cs="仿宋"/>
          <w:color w:val="333333"/>
          <w:sz w:val="24"/>
          <w:szCs w:val="24"/>
        </w:rPr>
        <w:t>招标于</w:t>
      </w:r>
      <w:r>
        <w:rPr>
          <w:rFonts w:hint="eastAsia" w:ascii="仿宋" w:hAnsi="仿宋" w:eastAsia="仿宋" w:cs="仿宋"/>
          <w:color w:val="333333"/>
          <w:sz w:val="24"/>
          <w:szCs w:val="24"/>
          <w:u w:val="single"/>
          <w:lang w:val="en-US" w:eastAsia="zh-CN"/>
        </w:rPr>
        <w:t>2024</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11</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29</w:t>
      </w:r>
      <w:r>
        <w:rPr>
          <w:rFonts w:hint="eastAsia" w:ascii="仿宋" w:hAnsi="仿宋" w:eastAsia="仿宋" w:cs="仿宋"/>
          <w:color w:val="333333"/>
          <w:sz w:val="24"/>
          <w:szCs w:val="24"/>
        </w:rPr>
        <w:t>日在</w:t>
      </w:r>
      <w:r>
        <w:rPr>
          <w:rFonts w:hint="eastAsia" w:ascii="仿宋" w:hAnsi="仿宋" w:eastAsia="仿宋" w:cs="仿宋"/>
          <w:color w:val="333333"/>
          <w:sz w:val="24"/>
          <w:szCs w:val="24"/>
          <w:u w:val="single"/>
        </w:rPr>
        <w:t>中国招标投标公共服务平台发布</w:t>
      </w:r>
      <w:r>
        <w:rPr>
          <w:rFonts w:hint="eastAsia" w:ascii="仿宋" w:hAnsi="仿宋" w:eastAsia="仿宋" w:cs="仿宋"/>
          <w:color w:val="333333"/>
          <w:sz w:val="24"/>
          <w:szCs w:val="24"/>
          <w:u w:val="single"/>
          <w:lang w:val="en-US" w:eastAsia="zh-CN"/>
        </w:rPr>
        <w:t>采购项目</w:t>
      </w:r>
      <w:r>
        <w:rPr>
          <w:rFonts w:hint="eastAsia" w:ascii="仿宋" w:hAnsi="仿宋" w:eastAsia="仿宋" w:cs="仿宋"/>
          <w:color w:val="333333"/>
          <w:sz w:val="24"/>
          <w:szCs w:val="24"/>
          <w:u w:val="single"/>
        </w:rPr>
        <w:t>公告</w:t>
      </w:r>
      <w:r>
        <w:rPr>
          <w:rFonts w:hint="eastAsia" w:ascii="仿宋" w:hAnsi="仿宋" w:eastAsia="仿宋" w:cs="仿宋"/>
          <w:color w:val="333333"/>
          <w:sz w:val="24"/>
          <w:szCs w:val="24"/>
        </w:rPr>
        <w:t>，</w:t>
      </w:r>
      <w:r>
        <w:rPr>
          <w:rFonts w:hint="eastAsia" w:ascii="仿宋" w:hAnsi="仿宋" w:eastAsia="仿宋" w:cs="仿宋"/>
          <w:color w:val="333333"/>
          <w:sz w:val="24"/>
          <w:szCs w:val="24"/>
          <w:u w:val="single"/>
          <w:lang w:val="en-US" w:eastAsia="zh-CN"/>
        </w:rPr>
        <w:t>2024</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12</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11</w:t>
      </w:r>
      <w:r>
        <w:rPr>
          <w:rFonts w:hint="eastAsia" w:ascii="仿宋" w:hAnsi="仿宋" w:eastAsia="仿宋" w:cs="仿宋"/>
          <w:color w:val="333333"/>
          <w:sz w:val="24"/>
          <w:szCs w:val="24"/>
        </w:rPr>
        <w:t>日在</w:t>
      </w:r>
      <w:r>
        <w:rPr>
          <w:rFonts w:hint="eastAsia" w:ascii="仿宋" w:hAnsi="仿宋" w:eastAsia="仿宋" w:cs="仿宋"/>
          <w:color w:val="333333"/>
          <w:sz w:val="24"/>
          <w:szCs w:val="24"/>
          <w:u w:val="single"/>
          <w:lang w:val="en-US" w:eastAsia="zh-CN"/>
        </w:rPr>
        <w:t>湖北国华项目管理咨询有限公司8号电子评标室</w:t>
      </w:r>
      <w:r>
        <w:rPr>
          <w:rFonts w:hint="eastAsia" w:ascii="仿宋" w:hAnsi="仿宋" w:eastAsia="仿宋" w:cs="仿宋"/>
          <w:color w:val="333333"/>
          <w:sz w:val="24"/>
          <w:szCs w:val="24"/>
          <w:u w:val="single"/>
        </w:rPr>
        <w:t>（</w:t>
      </w:r>
      <w:r>
        <w:rPr>
          <w:rFonts w:hint="eastAsia" w:ascii="仿宋" w:hAnsi="仿宋" w:eastAsia="仿宋" w:cs="仿宋"/>
          <w:color w:val="333333"/>
          <w:sz w:val="24"/>
          <w:szCs w:val="24"/>
          <w:u w:val="single"/>
          <w:lang w:val="en-US" w:eastAsia="zh-CN"/>
        </w:rPr>
        <w:t>武汉市</w:t>
      </w:r>
      <w:r>
        <w:rPr>
          <w:rFonts w:hint="eastAsia" w:ascii="仿宋" w:hAnsi="仿宋" w:eastAsia="仿宋" w:cs="仿宋"/>
          <w:color w:val="333333"/>
          <w:sz w:val="24"/>
          <w:szCs w:val="24"/>
          <w:u w:val="single"/>
        </w:rPr>
        <w:t>武昌区中北路109号中铁1818中心10楼）</w:t>
      </w:r>
      <w:r>
        <w:rPr>
          <w:rFonts w:hint="eastAsia" w:ascii="仿宋" w:hAnsi="仿宋" w:eastAsia="仿宋" w:cs="仿宋"/>
          <w:color w:val="333333"/>
          <w:sz w:val="24"/>
          <w:szCs w:val="24"/>
        </w:rPr>
        <w:t>开标，并于</w:t>
      </w:r>
      <w:r>
        <w:rPr>
          <w:rFonts w:hint="eastAsia" w:ascii="仿宋" w:hAnsi="仿宋" w:eastAsia="仿宋" w:cs="仿宋"/>
          <w:color w:val="333333"/>
          <w:sz w:val="24"/>
          <w:szCs w:val="24"/>
          <w:u w:val="single"/>
          <w:lang w:val="en-US" w:eastAsia="zh-CN"/>
        </w:rPr>
        <w:t>2024</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12</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11</w:t>
      </w:r>
      <w:r>
        <w:rPr>
          <w:rFonts w:hint="eastAsia" w:ascii="仿宋" w:hAnsi="仿宋" w:eastAsia="仿宋" w:cs="仿宋"/>
          <w:color w:val="333333"/>
          <w:sz w:val="24"/>
          <w:szCs w:val="24"/>
        </w:rPr>
        <w:t>日完成</w:t>
      </w:r>
      <w:r>
        <w:rPr>
          <w:rFonts w:hint="eastAsia" w:ascii="仿宋" w:hAnsi="仿宋" w:eastAsia="仿宋" w:cs="仿宋"/>
          <w:color w:val="333333"/>
          <w:sz w:val="24"/>
          <w:szCs w:val="24"/>
          <w:lang w:val="en-US" w:eastAsia="zh-CN"/>
        </w:rPr>
        <w:t>评审</w:t>
      </w:r>
      <w:r>
        <w:rPr>
          <w:rFonts w:hint="eastAsia" w:ascii="仿宋" w:hAnsi="仿宋" w:eastAsia="仿宋" w:cs="仿宋"/>
          <w:color w:val="333333"/>
          <w:sz w:val="24"/>
          <w:szCs w:val="24"/>
        </w:rPr>
        <w:t>工作。根据</w:t>
      </w:r>
      <w:r>
        <w:rPr>
          <w:rFonts w:hint="eastAsia" w:ascii="仿宋" w:hAnsi="仿宋" w:eastAsia="仿宋" w:cs="仿宋"/>
          <w:color w:val="333333"/>
          <w:sz w:val="24"/>
          <w:szCs w:val="24"/>
          <w:lang w:val="en-US" w:eastAsia="zh-CN"/>
        </w:rPr>
        <w:t>评审小组</w:t>
      </w:r>
      <w:r>
        <w:rPr>
          <w:rFonts w:hint="eastAsia" w:ascii="仿宋" w:hAnsi="仿宋" w:eastAsia="仿宋" w:cs="仿宋"/>
          <w:color w:val="333333"/>
          <w:sz w:val="24"/>
          <w:szCs w:val="24"/>
        </w:rPr>
        <w:t>提交的评标报告，</w:t>
      </w:r>
      <w:r>
        <w:rPr>
          <w:rFonts w:hint="eastAsia" w:ascii="仿宋" w:hAnsi="仿宋" w:eastAsia="仿宋" w:cs="仿宋"/>
          <w:color w:val="333333"/>
          <w:sz w:val="24"/>
          <w:szCs w:val="24"/>
          <w:lang w:val="en-US" w:eastAsia="zh-CN"/>
        </w:rPr>
        <w:t>采购人</w:t>
      </w:r>
      <w:r>
        <w:rPr>
          <w:rFonts w:hint="eastAsia" w:ascii="仿宋" w:hAnsi="仿宋" w:eastAsia="仿宋" w:cs="仿宋"/>
          <w:color w:val="333333"/>
          <w:sz w:val="24"/>
          <w:szCs w:val="24"/>
        </w:rPr>
        <w:t>已经确认评标结果，现将本次</w:t>
      </w:r>
      <w:r>
        <w:rPr>
          <w:rFonts w:hint="eastAsia" w:ascii="仿宋" w:hAnsi="仿宋" w:eastAsia="仿宋" w:cs="仿宋"/>
          <w:color w:val="333333"/>
          <w:sz w:val="24"/>
          <w:szCs w:val="24"/>
          <w:lang w:val="en-US" w:eastAsia="zh-CN"/>
        </w:rPr>
        <w:t>采购</w:t>
      </w:r>
      <w:r>
        <w:rPr>
          <w:rFonts w:hint="eastAsia" w:ascii="仿宋" w:hAnsi="仿宋" w:eastAsia="仿宋" w:cs="仿宋"/>
          <w:color w:val="333333"/>
          <w:sz w:val="24"/>
          <w:szCs w:val="24"/>
        </w:rPr>
        <w:t>的</w:t>
      </w:r>
      <w:r>
        <w:rPr>
          <w:rFonts w:hint="eastAsia" w:ascii="仿宋" w:hAnsi="仿宋" w:eastAsia="仿宋" w:cs="仿宋"/>
          <w:color w:val="333333"/>
          <w:sz w:val="24"/>
          <w:szCs w:val="24"/>
          <w:lang w:val="en-US" w:eastAsia="zh-CN"/>
        </w:rPr>
        <w:t>评审</w:t>
      </w:r>
      <w:r>
        <w:rPr>
          <w:rFonts w:hint="eastAsia" w:ascii="仿宋" w:hAnsi="仿宋" w:eastAsia="仿宋" w:cs="仿宋"/>
          <w:color w:val="333333"/>
          <w:sz w:val="24"/>
          <w:szCs w:val="24"/>
        </w:rPr>
        <w:t>结果予以公示。</w:t>
      </w:r>
    </w:p>
    <w:p>
      <w:pPr>
        <w:pStyle w:val="4"/>
        <w:keepNext w:val="0"/>
        <w:keepLines w:val="0"/>
        <w:widowControl/>
        <w:numPr>
          <w:ilvl w:val="0"/>
          <w:numId w:val="1"/>
        </w:numPr>
        <w:suppressLineNumbers w:val="0"/>
        <w:spacing w:before="0" w:beforeAutospacing="0" w:after="0" w:afterAutospacing="0" w:line="480" w:lineRule="atLeast"/>
        <w:ind w:left="0" w:right="0"/>
        <w:jc w:val="left"/>
        <w:rPr>
          <w:rFonts w:hint="eastAsia" w:ascii="仿宋" w:hAnsi="仿宋" w:eastAsia="仿宋" w:cs="仿宋"/>
          <w:b/>
          <w:bCs/>
          <w:color w:val="333333"/>
          <w:sz w:val="28"/>
          <w:szCs w:val="28"/>
        </w:rPr>
      </w:pPr>
      <w:r>
        <w:rPr>
          <w:rFonts w:hint="eastAsia" w:ascii="仿宋" w:hAnsi="仿宋" w:eastAsia="仿宋" w:cs="仿宋"/>
          <w:b/>
          <w:bCs/>
          <w:color w:val="333333"/>
          <w:sz w:val="28"/>
          <w:szCs w:val="28"/>
          <w:lang w:val="en-US" w:eastAsia="zh-CN"/>
        </w:rPr>
        <w:t>评审</w:t>
      </w:r>
      <w:r>
        <w:rPr>
          <w:rFonts w:hint="eastAsia" w:ascii="仿宋" w:hAnsi="仿宋" w:eastAsia="仿宋" w:cs="仿宋"/>
          <w:b/>
          <w:bCs/>
          <w:color w:val="333333"/>
          <w:sz w:val="28"/>
          <w:szCs w:val="28"/>
        </w:rPr>
        <w:t>结果</w:t>
      </w:r>
    </w:p>
    <w:p>
      <w:pPr>
        <w:pStyle w:val="4"/>
        <w:keepNext w:val="0"/>
        <w:keepLines w:val="0"/>
        <w:widowControl/>
        <w:numPr>
          <w:ilvl w:val="0"/>
          <w:numId w:val="0"/>
        </w:numPr>
        <w:suppressLineNumbers w:val="0"/>
        <w:spacing w:before="0" w:beforeAutospacing="0" w:after="0" w:afterAutospacing="0" w:line="480" w:lineRule="atLeast"/>
        <w:ind w:right="0" w:rightChars="0"/>
        <w:jc w:val="left"/>
        <w:rPr>
          <w:rFonts w:hint="default" w:ascii="仿宋" w:hAnsi="仿宋" w:eastAsia="仿宋" w:cs="仿宋"/>
          <w:b/>
          <w:bCs/>
          <w:color w:val="333333"/>
          <w:sz w:val="28"/>
          <w:szCs w:val="28"/>
          <w:lang w:val="en-US" w:eastAsia="zh-CN"/>
        </w:rPr>
      </w:pPr>
      <w:r>
        <w:rPr>
          <w:rFonts w:hint="eastAsia" w:ascii="仿宋" w:hAnsi="仿宋" w:eastAsia="仿宋" w:cs="仿宋"/>
          <w:b/>
          <w:bCs/>
          <w:color w:val="333333"/>
          <w:sz w:val="28"/>
          <w:szCs w:val="28"/>
          <w:lang w:val="en-US" w:eastAsia="zh-CN"/>
        </w:rPr>
        <w:t>01包武汉天河机场临空产业及土地利用规划课题</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538"/>
        <w:gridCol w:w="2328"/>
        <w:gridCol w:w="2328"/>
        <w:gridCol w:w="23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2" w:hRule="atLeast"/>
        </w:trPr>
        <w:tc>
          <w:tcPr>
            <w:tcW w:w="153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名次</w:t>
            </w:r>
          </w:p>
        </w:tc>
        <w:tc>
          <w:tcPr>
            <w:tcW w:w="23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第一名</w:t>
            </w:r>
          </w:p>
        </w:tc>
        <w:tc>
          <w:tcPr>
            <w:tcW w:w="23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第二名</w:t>
            </w:r>
          </w:p>
        </w:tc>
        <w:tc>
          <w:tcPr>
            <w:tcW w:w="23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第三名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153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中标候选人名称</w:t>
            </w:r>
          </w:p>
        </w:tc>
        <w:tc>
          <w:tcPr>
            <w:tcW w:w="23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中国城市规划设计研究院</w:t>
            </w:r>
            <w:r>
              <w:rPr>
                <w:rFonts w:hint="eastAsia" w:ascii="仿宋" w:hAnsi="仿宋" w:eastAsia="仿宋" w:cs="仿宋"/>
                <w:color w:val="333333"/>
                <w:sz w:val="24"/>
                <w:szCs w:val="24"/>
                <w:lang w:val="en-US" w:eastAsia="zh-CN"/>
              </w:rPr>
              <w:t>、旭鹏设计咨询（上海）有限公司联合体</w:t>
            </w:r>
          </w:p>
          <w:p>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p>
        </w:tc>
        <w:tc>
          <w:tcPr>
            <w:tcW w:w="23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兰德隆与布朗交通技术咨询(上海)有限公司、上海同济城市规划设计研究院有限公司、哈斯康宁工程咨询(上海)有限公司</w:t>
            </w:r>
            <w:r>
              <w:rPr>
                <w:rFonts w:hint="eastAsia" w:ascii="仿宋" w:hAnsi="仿宋" w:eastAsia="仿宋" w:cs="仿宋"/>
                <w:color w:val="333333"/>
                <w:sz w:val="24"/>
                <w:szCs w:val="24"/>
                <w:lang w:val="en-US" w:eastAsia="zh-CN"/>
              </w:rPr>
              <w:t>联合体</w:t>
            </w:r>
          </w:p>
        </w:tc>
        <w:tc>
          <w:tcPr>
            <w:tcW w:w="23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中国中元国际工</w:t>
            </w:r>
          </w:p>
          <w:p>
            <w:pPr>
              <w:pStyle w:val="4"/>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程有限公司</w:t>
            </w:r>
            <w:r>
              <w:rPr>
                <w:rFonts w:hint="eastAsia" w:ascii="仿宋" w:hAnsi="仿宋" w:eastAsia="仿宋" w:cs="仿宋"/>
                <w:color w:val="333333"/>
                <w:sz w:val="24"/>
                <w:szCs w:val="24"/>
                <w:lang w:val="en-US" w:eastAsia="zh-CN"/>
              </w:rPr>
              <w:t>、</w:t>
            </w:r>
          </w:p>
          <w:p>
            <w:pPr>
              <w:pStyle w:val="4"/>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天津艾维森商务</w:t>
            </w:r>
          </w:p>
          <w:p>
            <w:pPr>
              <w:pStyle w:val="4"/>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咨询有限公司</w:t>
            </w:r>
            <w:r>
              <w:rPr>
                <w:rFonts w:hint="eastAsia" w:ascii="仿宋" w:hAnsi="仿宋" w:eastAsia="仿宋" w:cs="仿宋"/>
                <w:color w:val="333333"/>
                <w:sz w:val="24"/>
                <w:szCs w:val="24"/>
                <w:lang w:val="en-US" w:eastAsia="zh-CN"/>
              </w:rPr>
              <w:t>联合体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1" w:hRule="atLeast"/>
        </w:trPr>
        <w:tc>
          <w:tcPr>
            <w:tcW w:w="153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lang w:val="en-US" w:eastAsia="zh-CN"/>
              </w:rPr>
              <w:t>响应</w:t>
            </w:r>
            <w:r>
              <w:rPr>
                <w:rFonts w:hint="eastAsia" w:ascii="仿宋" w:hAnsi="仿宋" w:eastAsia="仿宋" w:cs="仿宋"/>
                <w:color w:val="333333"/>
                <w:sz w:val="24"/>
                <w:szCs w:val="24"/>
              </w:rPr>
              <w:t>报价</w:t>
            </w:r>
          </w:p>
        </w:tc>
        <w:tc>
          <w:tcPr>
            <w:tcW w:w="23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2900000.00</w:t>
            </w:r>
            <w:r>
              <w:rPr>
                <w:rFonts w:hint="eastAsia" w:ascii="仿宋" w:hAnsi="仿宋" w:eastAsia="仿宋" w:cs="仿宋"/>
                <w:color w:val="333333"/>
                <w:sz w:val="24"/>
                <w:szCs w:val="24"/>
                <w:lang w:val="en-US" w:eastAsia="zh-CN"/>
              </w:rPr>
              <w:t>（元）</w:t>
            </w:r>
          </w:p>
        </w:tc>
        <w:tc>
          <w:tcPr>
            <w:tcW w:w="23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3000000.00（元）</w:t>
            </w:r>
          </w:p>
        </w:tc>
        <w:tc>
          <w:tcPr>
            <w:tcW w:w="23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2750000.00（元）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7" w:hRule="atLeast"/>
        </w:trPr>
        <w:tc>
          <w:tcPr>
            <w:tcW w:w="153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质量（如有）</w:t>
            </w:r>
          </w:p>
        </w:tc>
        <w:tc>
          <w:tcPr>
            <w:tcW w:w="23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w:t>
            </w:r>
          </w:p>
        </w:tc>
        <w:tc>
          <w:tcPr>
            <w:tcW w:w="23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Calibri" w:hAnsi="Calibri" w:eastAsia="仿宋" w:cs="Calibri"/>
                <w:sz w:val="21"/>
                <w:szCs w:val="21"/>
                <w:lang w:val="en-US" w:eastAsia="zh-CN"/>
              </w:rPr>
            </w:pPr>
            <w:r>
              <w:rPr>
                <w:rFonts w:hint="eastAsia" w:ascii="Calibri" w:hAnsi="Calibri" w:eastAsia="仿宋" w:cs="Calibri"/>
                <w:sz w:val="21"/>
                <w:szCs w:val="21"/>
                <w:lang w:val="en-US" w:eastAsia="zh-CN"/>
              </w:rPr>
              <w:t>/</w:t>
            </w:r>
          </w:p>
        </w:tc>
        <w:tc>
          <w:tcPr>
            <w:tcW w:w="23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Calibri" w:hAnsi="Calibri" w:eastAsia="仿宋" w:cs="Calibri"/>
                <w:sz w:val="21"/>
                <w:szCs w:val="21"/>
                <w:lang w:val="en-US" w:eastAsia="zh-CN"/>
              </w:rPr>
            </w:pPr>
            <w:r>
              <w:rPr>
                <w:rFonts w:hint="eastAsia" w:ascii="Calibri" w:hAnsi="Calibri" w:eastAsia="仿宋" w:cs="Calibri"/>
                <w:sz w:val="21"/>
                <w:szCs w:val="21"/>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33" w:hRule="atLeast"/>
        </w:trPr>
        <w:tc>
          <w:tcPr>
            <w:tcW w:w="153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Calibri" w:hAnsi="Calibri" w:eastAsia="仿宋" w:cs="Calibri"/>
                <w:sz w:val="21"/>
                <w:szCs w:val="21"/>
                <w:lang w:val="en-US" w:eastAsia="zh-CN"/>
              </w:rPr>
            </w:pPr>
            <w:r>
              <w:rPr>
                <w:rFonts w:hint="eastAsia" w:ascii="仿宋" w:hAnsi="仿宋" w:eastAsia="仿宋" w:cs="仿宋"/>
                <w:color w:val="333333"/>
                <w:sz w:val="24"/>
                <w:szCs w:val="24"/>
                <w:lang w:val="en-US" w:eastAsia="zh-CN"/>
              </w:rPr>
              <w:t>服务期限</w:t>
            </w:r>
          </w:p>
        </w:tc>
        <w:tc>
          <w:tcPr>
            <w:tcW w:w="23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left"/>
              <w:rPr>
                <w:rFonts w:hint="eastAsia" w:ascii="Calibri" w:hAnsi="Calibri" w:eastAsia="仿宋" w:cs="Calibri"/>
                <w:sz w:val="21"/>
                <w:szCs w:val="21"/>
                <w:lang w:val="en-US" w:eastAsia="zh-CN"/>
              </w:rPr>
            </w:pPr>
            <w:r>
              <w:rPr>
                <w:rFonts w:hint="default" w:ascii="Calibri" w:hAnsi="Calibri" w:eastAsia="仿宋" w:cs="Calibri"/>
                <w:sz w:val="21"/>
                <w:szCs w:val="21"/>
                <w:lang w:val="en-US" w:eastAsia="zh-CN"/>
              </w:rPr>
              <w:t>合同签订之日起至总体规划修编报告上报及获批，其中本项目报告初稿在合同签订之日起30日历天内完成，正式报告须在总规修编报告初稿完成后30日历天内完成，并持续配合跟进，协助采购人向相关部门报告和意见征询，确保两场总体规划修编报告取得行业、政府相关主管部门审查通过，获得总规修编的行业批复意见。临空产业及土地利用规划课题应与花湖机场总体规划修编工作相互支撑、技术反馈，并通过采购人组织的评审</w:t>
            </w:r>
            <w:r>
              <w:rPr>
                <w:rFonts w:hint="eastAsia" w:ascii="Calibri" w:hAnsi="Calibri" w:eastAsia="仿宋" w:cs="Calibri"/>
                <w:sz w:val="21"/>
                <w:szCs w:val="21"/>
                <w:lang w:val="en-US" w:eastAsia="zh-CN"/>
              </w:rPr>
              <w:t>。</w:t>
            </w:r>
          </w:p>
        </w:tc>
        <w:tc>
          <w:tcPr>
            <w:tcW w:w="23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left"/>
              <w:rPr>
                <w:rFonts w:hint="default" w:ascii="Calibri" w:hAnsi="Calibri" w:cs="Calibri"/>
                <w:sz w:val="21"/>
                <w:szCs w:val="21"/>
              </w:rPr>
            </w:pPr>
            <w:r>
              <w:rPr>
                <w:rFonts w:hint="default" w:ascii="Calibri" w:hAnsi="Calibri" w:eastAsia="仿宋" w:cs="Calibri"/>
                <w:sz w:val="21"/>
                <w:szCs w:val="21"/>
                <w:lang w:val="en-US" w:eastAsia="zh-CN"/>
              </w:rPr>
              <w:t>合同签订之日起至总体规划修编报告上报及获批，其中本项目报告初稿在合同签订之日起30日历天内完成，正式报告须在总规修编报告初稿完成后30日历天内完成，并持续配合跟进，协助采购人向相关部门报告和意见征询，确保两场总体规划修编报告取得行业、政府相关主管部门审查通过，获得总规修编的行业批复意见。临空产业及土地利用规划课题应与花湖机场总体规划修编工作相互支撑、技术反馈，并通过采购人组织的评审</w:t>
            </w:r>
            <w:r>
              <w:rPr>
                <w:rFonts w:hint="eastAsia" w:ascii="Calibri" w:hAnsi="Calibri" w:eastAsia="仿宋" w:cs="Calibri"/>
                <w:sz w:val="21"/>
                <w:szCs w:val="21"/>
                <w:lang w:val="en-US" w:eastAsia="zh-CN"/>
              </w:rPr>
              <w:t>。</w:t>
            </w:r>
          </w:p>
        </w:tc>
        <w:tc>
          <w:tcPr>
            <w:tcW w:w="23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left"/>
              <w:rPr>
                <w:rFonts w:hint="default" w:ascii="Calibri" w:hAnsi="Calibri" w:eastAsia="仿宋" w:cs="Calibri"/>
                <w:sz w:val="21"/>
                <w:szCs w:val="21"/>
                <w:lang w:val="en-US" w:eastAsia="zh-CN"/>
              </w:rPr>
            </w:pPr>
            <w:r>
              <w:rPr>
                <w:rFonts w:hint="default" w:ascii="Calibri" w:hAnsi="Calibri" w:eastAsia="仿宋" w:cs="Calibri"/>
                <w:sz w:val="21"/>
                <w:szCs w:val="21"/>
                <w:lang w:val="en-US" w:eastAsia="zh-CN"/>
              </w:rPr>
              <w:t>合同签订之日起至总体规划修编报告上报及获批，其中本项目报告初稿在合同签订之日起30日历天内完成，正式报告须在总规修编报告初稿完成后30日历天内完成，并持续配合跟进，协助采购人向相关部门报告和意见征询，确保两场总体规划修编报告取得行业、政府相关主管部门审查通过，获得总规修编的行业批复意见。临空产业及土地利用规划课题应与花湖机场总体规划修编工作相互支撑、技术反馈，并通过采购人组织的评审</w:t>
            </w:r>
            <w:r>
              <w:rPr>
                <w:rFonts w:hint="eastAsia" w:ascii="Calibri" w:hAnsi="Calibri" w:eastAsia="仿宋" w:cs="Calibri"/>
                <w:sz w:val="21"/>
                <w:szCs w:val="21"/>
                <w:lang w:val="en-US" w:eastAsia="zh-CN"/>
              </w:rPr>
              <w:t>。</w:t>
            </w:r>
          </w:p>
        </w:tc>
      </w:tr>
    </w:tbl>
    <w:p>
      <w:pPr>
        <w:rPr>
          <w:rFonts w:hint="eastAsia" w:ascii="仿宋" w:hAnsi="仿宋" w:eastAsia="仿宋" w:cs="仿宋"/>
          <w:b/>
          <w:bCs/>
          <w:color w:val="333333"/>
          <w:sz w:val="28"/>
          <w:szCs w:val="28"/>
        </w:rPr>
      </w:pPr>
    </w:p>
    <w:p>
      <w:pPr>
        <w:rPr>
          <w:rFonts w:hint="eastAsia" w:ascii="仿宋" w:hAnsi="仿宋" w:eastAsia="仿宋" w:cs="仿宋"/>
          <w:b/>
          <w:bCs/>
          <w:color w:val="333333"/>
          <w:sz w:val="28"/>
          <w:szCs w:val="28"/>
        </w:rPr>
      </w:pPr>
      <w:r>
        <w:rPr>
          <w:rFonts w:hint="eastAsia" w:ascii="仿宋" w:hAnsi="仿宋" w:eastAsia="仿宋" w:cs="仿宋"/>
          <w:b/>
          <w:bCs/>
          <w:color w:val="333333"/>
          <w:sz w:val="28"/>
          <w:szCs w:val="28"/>
        </w:rPr>
        <w:t>02包为</w:t>
      </w:r>
      <w:r>
        <w:rPr>
          <w:rFonts w:hint="eastAsia" w:ascii="仿宋" w:hAnsi="仿宋" w:eastAsia="仿宋" w:cs="仿宋"/>
          <w:b/>
          <w:bCs/>
          <w:color w:val="333333"/>
          <w:sz w:val="28"/>
          <w:szCs w:val="28"/>
          <w:lang w:eastAsia="zh-CN"/>
        </w:rPr>
        <w:t>鄂州花湖机场临空产业及土地利用规划课题</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61"/>
        <w:gridCol w:w="2353"/>
        <w:gridCol w:w="2353"/>
        <w:gridCol w:w="23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146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名次</w:t>
            </w:r>
          </w:p>
        </w:tc>
        <w:tc>
          <w:tcPr>
            <w:tcW w:w="235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第一名</w:t>
            </w:r>
          </w:p>
        </w:tc>
        <w:tc>
          <w:tcPr>
            <w:tcW w:w="235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第二名</w:t>
            </w:r>
          </w:p>
        </w:tc>
        <w:tc>
          <w:tcPr>
            <w:tcW w:w="23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第三名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146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中标候选人名称</w:t>
            </w:r>
          </w:p>
        </w:tc>
        <w:tc>
          <w:tcPr>
            <w:tcW w:w="23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sz w:val="24"/>
                <w:szCs w:val="24"/>
              </w:rPr>
            </w:pPr>
            <w:r>
              <w:rPr>
                <w:rFonts w:hint="default" w:ascii="仿宋" w:hAnsi="仿宋" w:eastAsia="仿宋" w:cs="仿宋"/>
                <w:color w:val="333333"/>
                <w:sz w:val="24"/>
                <w:szCs w:val="24"/>
              </w:rPr>
              <w:t>中国中元国际工</w:t>
            </w:r>
          </w:p>
          <w:p>
            <w:pPr>
              <w:pStyle w:val="4"/>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color w:val="333333"/>
                <w:sz w:val="24"/>
                <w:szCs w:val="24"/>
                <w:lang w:val="en-US" w:eastAsia="zh-CN"/>
              </w:rPr>
            </w:pPr>
            <w:r>
              <w:rPr>
                <w:rFonts w:hint="default" w:ascii="仿宋" w:hAnsi="仿宋" w:eastAsia="仿宋" w:cs="仿宋"/>
                <w:color w:val="333333"/>
                <w:sz w:val="24"/>
                <w:szCs w:val="24"/>
              </w:rPr>
              <w:t>程有限公司</w:t>
            </w:r>
            <w:r>
              <w:rPr>
                <w:rFonts w:hint="eastAsia" w:ascii="仿宋" w:hAnsi="仿宋" w:eastAsia="仿宋" w:cs="仿宋"/>
                <w:color w:val="333333"/>
                <w:sz w:val="24"/>
                <w:szCs w:val="24"/>
                <w:lang w:eastAsia="zh-CN"/>
              </w:rPr>
              <w:t>、</w:t>
            </w:r>
            <w:r>
              <w:rPr>
                <w:rFonts w:hint="default" w:ascii="仿宋" w:hAnsi="仿宋" w:eastAsia="仿宋" w:cs="仿宋"/>
                <w:color w:val="333333"/>
                <w:sz w:val="24"/>
                <w:szCs w:val="24"/>
              </w:rPr>
              <w:t>天津艾维森商务咨询有限公司</w:t>
            </w:r>
            <w:r>
              <w:rPr>
                <w:rFonts w:hint="eastAsia" w:ascii="仿宋" w:hAnsi="仿宋" w:eastAsia="仿宋" w:cs="仿宋"/>
                <w:color w:val="333333"/>
                <w:sz w:val="24"/>
                <w:szCs w:val="24"/>
                <w:lang w:val="en-US" w:eastAsia="zh-CN"/>
              </w:rPr>
              <w:t>联合体</w:t>
            </w:r>
          </w:p>
        </w:tc>
        <w:tc>
          <w:tcPr>
            <w:tcW w:w="23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sz w:val="24"/>
                <w:szCs w:val="24"/>
              </w:rPr>
            </w:pPr>
            <w:r>
              <w:rPr>
                <w:rFonts w:hint="default" w:ascii="仿宋" w:hAnsi="仿宋" w:eastAsia="仿宋" w:cs="仿宋"/>
                <w:color w:val="333333"/>
                <w:sz w:val="24"/>
                <w:szCs w:val="24"/>
              </w:rPr>
              <w:t>武汉市规划研究院(武汉市交通发展战略研究院</w:t>
            </w:r>
            <w:r>
              <w:rPr>
                <w:rFonts w:hint="eastAsia" w:ascii="仿宋" w:hAnsi="仿宋" w:eastAsia="仿宋" w:cs="仿宋"/>
                <w:color w:val="333333"/>
                <w:sz w:val="24"/>
                <w:szCs w:val="24"/>
                <w:lang w:eastAsia="zh-CN"/>
              </w:rPr>
              <w:t>）、</w:t>
            </w:r>
            <w:r>
              <w:rPr>
                <w:rFonts w:hint="default" w:ascii="仿宋" w:hAnsi="仿宋" w:eastAsia="仿宋" w:cs="仿宋"/>
                <w:color w:val="333333"/>
                <w:sz w:val="24"/>
                <w:szCs w:val="24"/>
              </w:rPr>
              <w:t>兰德隆与布朗交通</w:t>
            </w:r>
            <w:r>
              <w:rPr>
                <w:rFonts w:hint="eastAsia" w:ascii="仿宋" w:hAnsi="仿宋" w:eastAsia="仿宋" w:cs="仿宋"/>
                <w:color w:val="333333"/>
                <w:sz w:val="24"/>
                <w:szCs w:val="24"/>
                <w:lang w:val="en-US" w:eastAsia="zh-CN"/>
              </w:rPr>
              <w:t>技术咨</w:t>
            </w:r>
            <w:r>
              <w:rPr>
                <w:rFonts w:hint="default" w:ascii="仿宋" w:hAnsi="仿宋" w:eastAsia="仿宋" w:cs="仿宋"/>
                <w:color w:val="333333"/>
                <w:sz w:val="24"/>
                <w:szCs w:val="24"/>
              </w:rPr>
              <w:t>询(上海)有限公司</w:t>
            </w: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lang w:val="en-US" w:eastAsia="zh-CN"/>
              </w:rPr>
              <w:t>哈</w:t>
            </w:r>
            <w:r>
              <w:rPr>
                <w:rFonts w:hint="default" w:ascii="仿宋" w:hAnsi="仿宋" w:eastAsia="仿宋" w:cs="仿宋"/>
                <w:color w:val="333333"/>
                <w:sz w:val="24"/>
                <w:szCs w:val="24"/>
              </w:rPr>
              <w:t>斯康宁工程咨询(上海</w:t>
            </w:r>
            <w:r>
              <w:rPr>
                <w:rFonts w:hint="eastAsia" w:ascii="仿宋" w:hAnsi="仿宋" w:eastAsia="仿宋" w:cs="仿宋"/>
                <w:color w:val="333333"/>
                <w:sz w:val="24"/>
                <w:szCs w:val="24"/>
                <w:lang w:eastAsia="zh-CN"/>
              </w:rPr>
              <w:t>）</w:t>
            </w:r>
            <w:r>
              <w:rPr>
                <w:rFonts w:hint="default" w:ascii="仿宋" w:hAnsi="仿宋" w:eastAsia="仿宋" w:cs="仿宋"/>
                <w:color w:val="333333"/>
                <w:sz w:val="24"/>
                <w:szCs w:val="24"/>
              </w:rPr>
              <w:t>有限公司联合体</w:t>
            </w:r>
          </w:p>
        </w:tc>
        <w:tc>
          <w:tcPr>
            <w:tcW w:w="23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146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lang w:val="en-US" w:eastAsia="zh-CN"/>
              </w:rPr>
              <w:t>响应</w:t>
            </w:r>
            <w:r>
              <w:rPr>
                <w:rFonts w:hint="eastAsia" w:ascii="仿宋" w:hAnsi="仿宋" w:eastAsia="仿宋" w:cs="仿宋"/>
                <w:color w:val="333333"/>
                <w:sz w:val="24"/>
                <w:szCs w:val="24"/>
              </w:rPr>
              <w:t>报价</w:t>
            </w:r>
          </w:p>
        </w:tc>
        <w:tc>
          <w:tcPr>
            <w:tcW w:w="23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1700000.00</w:t>
            </w:r>
            <w:r>
              <w:rPr>
                <w:rFonts w:hint="eastAsia" w:ascii="仿宋" w:hAnsi="仿宋" w:eastAsia="仿宋" w:cs="仿宋"/>
                <w:color w:val="333333"/>
                <w:sz w:val="24"/>
                <w:szCs w:val="24"/>
                <w:lang w:val="en-US" w:eastAsia="zh-CN"/>
              </w:rPr>
              <w:t>(元）</w:t>
            </w:r>
          </w:p>
        </w:tc>
        <w:tc>
          <w:tcPr>
            <w:tcW w:w="23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仿宋" w:hAnsi="仿宋" w:eastAsia="仿宋" w:cs="仿宋"/>
                <w:color w:val="333333"/>
                <w:sz w:val="24"/>
                <w:szCs w:val="24"/>
              </w:rPr>
            </w:pPr>
            <w:r>
              <w:rPr>
                <w:rFonts w:hint="default" w:ascii="仿宋" w:hAnsi="仿宋" w:eastAsia="仿宋" w:cs="仿宋"/>
                <w:color w:val="333333"/>
                <w:sz w:val="24"/>
                <w:szCs w:val="24"/>
                <w:lang w:val="en-US" w:eastAsia="zh-CN"/>
              </w:rPr>
              <w:t>1980000.00（元）</w:t>
            </w:r>
          </w:p>
        </w:tc>
        <w:tc>
          <w:tcPr>
            <w:tcW w:w="23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0" w:hRule="atLeast"/>
        </w:trPr>
        <w:tc>
          <w:tcPr>
            <w:tcW w:w="146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质量（如有）</w:t>
            </w:r>
          </w:p>
        </w:tc>
        <w:tc>
          <w:tcPr>
            <w:tcW w:w="23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w:t>
            </w:r>
          </w:p>
        </w:tc>
        <w:tc>
          <w:tcPr>
            <w:tcW w:w="23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Calibri" w:hAnsi="Calibri" w:eastAsia="仿宋" w:cs="Calibri"/>
                <w:sz w:val="21"/>
                <w:szCs w:val="21"/>
                <w:lang w:val="en-US" w:eastAsia="zh-CN"/>
              </w:rPr>
            </w:pPr>
            <w:r>
              <w:rPr>
                <w:rFonts w:hint="eastAsia" w:ascii="Calibri" w:hAnsi="Calibri" w:eastAsia="仿宋" w:cs="Calibri"/>
                <w:sz w:val="21"/>
                <w:szCs w:val="21"/>
                <w:lang w:val="en-US" w:eastAsia="zh-CN"/>
              </w:rPr>
              <w:t>/</w:t>
            </w:r>
          </w:p>
        </w:tc>
        <w:tc>
          <w:tcPr>
            <w:tcW w:w="23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Calibri" w:hAnsi="Calibri" w:eastAsia="仿宋" w:cs="Calibri"/>
                <w:sz w:val="21"/>
                <w:szCs w:val="21"/>
                <w:lang w:val="en-US" w:eastAsia="zh-CN"/>
              </w:rPr>
            </w:pPr>
            <w:r>
              <w:rPr>
                <w:rFonts w:hint="eastAsia" w:ascii="Calibri" w:hAnsi="Calibri" w:eastAsia="仿宋" w:cs="Calibri"/>
                <w:sz w:val="21"/>
                <w:szCs w:val="21"/>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30" w:hRule="atLeast"/>
        </w:trPr>
        <w:tc>
          <w:tcPr>
            <w:tcW w:w="146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default" w:ascii="Calibri" w:hAnsi="Calibri" w:eastAsia="仿宋" w:cs="Calibri"/>
                <w:sz w:val="21"/>
                <w:szCs w:val="21"/>
                <w:lang w:val="en-US" w:eastAsia="zh-CN"/>
              </w:rPr>
            </w:pPr>
            <w:r>
              <w:rPr>
                <w:rFonts w:hint="eastAsia" w:ascii="仿宋" w:hAnsi="仿宋" w:eastAsia="仿宋" w:cs="仿宋"/>
                <w:color w:val="333333"/>
                <w:sz w:val="24"/>
                <w:szCs w:val="24"/>
                <w:lang w:val="en-US" w:eastAsia="zh-CN"/>
              </w:rPr>
              <w:t>服务期限</w:t>
            </w:r>
          </w:p>
        </w:tc>
        <w:tc>
          <w:tcPr>
            <w:tcW w:w="23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left"/>
              <w:rPr>
                <w:rFonts w:hint="eastAsia" w:ascii="Calibri" w:hAnsi="Calibri" w:eastAsia="仿宋" w:cs="Calibri"/>
                <w:sz w:val="21"/>
                <w:szCs w:val="21"/>
                <w:lang w:val="en-US" w:eastAsia="zh-CN"/>
              </w:rPr>
            </w:pPr>
            <w:r>
              <w:rPr>
                <w:rFonts w:hint="default" w:ascii="Calibri" w:hAnsi="Calibri" w:eastAsia="仿宋" w:cs="Calibri"/>
                <w:sz w:val="21"/>
                <w:szCs w:val="21"/>
                <w:lang w:val="en-US" w:eastAsia="zh-CN"/>
              </w:rPr>
              <w:t>合同签订之日起至总体规划修编报告上报及获批，其中本项目报告初稿在合同签订之日起30日历天内完成，正式报告须在总规修编报告初稿完成后30日历天内完成，并持续配合跟进，协助采购人向相关部门报告和意见征询，确保两场总体规划修编报告取得行业、政府相关主管部门审查通过，获得总规修编的行业批复意见。临空产业及土地利用规划课题应与花湖机场总体规划修编工作相互支撑、技术反馈，并通过采购人组织的评审</w:t>
            </w:r>
            <w:r>
              <w:rPr>
                <w:rFonts w:hint="eastAsia" w:ascii="Calibri" w:hAnsi="Calibri" w:eastAsia="仿宋" w:cs="Calibri"/>
                <w:sz w:val="21"/>
                <w:szCs w:val="21"/>
                <w:lang w:val="en-US" w:eastAsia="zh-CN"/>
              </w:rPr>
              <w:t>。</w:t>
            </w:r>
          </w:p>
        </w:tc>
        <w:tc>
          <w:tcPr>
            <w:tcW w:w="23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left"/>
              <w:rPr>
                <w:rFonts w:hint="default" w:ascii="Calibri" w:hAnsi="Calibri" w:cs="Calibri"/>
                <w:sz w:val="21"/>
                <w:szCs w:val="21"/>
              </w:rPr>
            </w:pPr>
            <w:r>
              <w:rPr>
                <w:rFonts w:hint="default" w:ascii="Calibri" w:hAnsi="Calibri" w:eastAsia="仿宋" w:cs="Calibri"/>
                <w:sz w:val="21"/>
                <w:szCs w:val="21"/>
                <w:lang w:val="en-US" w:eastAsia="zh-CN"/>
              </w:rPr>
              <w:t>合同签订之日起至总体规划修编报告上报及获批，其中本项目报告初稿在合同签订之日起30日历天内完成，正式报告须在总规修编报告初稿完成后30日历天内完成，并持续配合跟进，协助采购人向相关部门报告和意见征询，确保两场总体规划修编报告取得行业、政府相关主管部门审查通过，获得总规修编的行业批复意见。临空产业及土地利用规划课题应与花湖机场总体规划修编工作相互支撑、技术反馈，并通过采购人组织的评审</w:t>
            </w:r>
            <w:r>
              <w:rPr>
                <w:rFonts w:hint="eastAsia" w:ascii="Calibri" w:hAnsi="Calibri" w:eastAsia="仿宋" w:cs="Calibri"/>
                <w:sz w:val="21"/>
                <w:szCs w:val="21"/>
                <w:lang w:val="en-US" w:eastAsia="zh-CN"/>
              </w:rPr>
              <w:t>。</w:t>
            </w:r>
          </w:p>
        </w:tc>
        <w:tc>
          <w:tcPr>
            <w:tcW w:w="23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18" w:lineRule="atLeast"/>
              <w:ind w:left="0" w:right="0"/>
              <w:jc w:val="center"/>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w:t>
            </w:r>
          </w:p>
        </w:tc>
      </w:tr>
    </w:tbl>
    <w:p>
      <w:pPr>
        <w:pStyle w:val="4"/>
        <w:keepNext w:val="0"/>
        <w:keepLines w:val="0"/>
        <w:widowControl/>
        <w:numPr>
          <w:ilvl w:val="0"/>
          <w:numId w:val="0"/>
        </w:numPr>
        <w:suppressLineNumbers w:val="0"/>
        <w:spacing w:before="0" w:beforeAutospacing="0" w:after="0" w:afterAutospacing="0" w:line="480" w:lineRule="atLeast"/>
        <w:ind w:right="0" w:rightChars="0"/>
        <w:jc w:val="left"/>
        <w:rPr>
          <w:rFonts w:hint="default" w:ascii="仿宋" w:hAnsi="仿宋" w:eastAsia="仿宋" w:cs="仿宋"/>
          <w:b/>
          <w:bCs/>
          <w:color w:val="333333"/>
          <w:sz w:val="28"/>
          <w:szCs w:val="28"/>
        </w:rPr>
      </w:pPr>
    </w:p>
    <w:p>
      <w:pPr>
        <w:pStyle w:val="4"/>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b/>
          <w:bCs/>
          <w:color w:val="333333"/>
          <w:sz w:val="28"/>
          <w:szCs w:val="28"/>
        </w:rPr>
        <w:t>三、评</w:t>
      </w:r>
      <w:r>
        <w:rPr>
          <w:rFonts w:hint="eastAsia" w:ascii="仿宋" w:hAnsi="仿宋" w:eastAsia="仿宋" w:cs="仿宋"/>
          <w:b/>
          <w:bCs/>
          <w:color w:val="333333"/>
          <w:sz w:val="28"/>
          <w:szCs w:val="28"/>
          <w:lang w:val="en-US" w:eastAsia="zh-CN"/>
        </w:rPr>
        <w:t>审</w:t>
      </w:r>
      <w:r>
        <w:rPr>
          <w:rFonts w:hint="eastAsia" w:ascii="仿宋" w:hAnsi="仿宋" w:eastAsia="仿宋" w:cs="仿宋"/>
          <w:b/>
          <w:bCs/>
          <w:color w:val="333333"/>
          <w:sz w:val="28"/>
          <w:szCs w:val="28"/>
        </w:rPr>
        <w:t>情况</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225"/>
        <w:gridCol w:w="52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5" w:hRule="atLeast"/>
        </w:trPr>
        <w:tc>
          <w:tcPr>
            <w:tcW w:w="322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440" w:lineRule="atLeast"/>
              <w:ind w:left="0" w:right="0" w:firstLine="0"/>
              <w:jc w:val="center"/>
              <w:rPr>
                <w:rFonts w:hint="default" w:ascii="Calibri" w:hAnsi="Calibri" w:cs="Calibri"/>
                <w:sz w:val="21"/>
                <w:szCs w:val="21"/>
              </w:rPr>
            </w:pPr>
            <w:r>
              <w:rPr>
                <w:rFonts w:hint="eastAsia" w:ascii="仿宋" w:hAnsi="仿宋" w:eastAsia="仿宋" w:cs="仿宋"/>
                <w:color w:val="333333"/>
                <w:sz w:val="24"/>
                <w:szCs w:val="24"/>
              </w:rPr>
              <w:t>评</w:t>
            </w:r>
            <w:r>
              <w:rPr>
                <w:rFonts w:hint="eastAsia" w:ascii="仿宋" w:hAnsi="仿宋" w:eastAsia="仿宋" w:cs="仿宋"/>
                <w:color w:val="333333"/>
                <w:sz w:val="24"/>
                <w:szCs w:val="24"/>
                <w:lang w:val="en-US" w:eastAsia="zh-CN"/>
              </w:rPr>
              <w:t>审</w:t>
            </w:r>
            <w:r>
              <w:rPr>
                <w:rFonts w:hint="eastAsia" w:ascii="仿宋" w:hAnsi="仿宋" w:eastAsia="仿宋" w:cs="仿宋"/>
                <w:color w:val="333333"/>
                <w:sz w:val="24"/>
                <w:szCs w:val="24"/>
              </w:rPr>
              <w:t>情况资料</w:t>
            </w:r>
          </w:p>
        </w:tc>
        <w:tc>
          <w:tcPr>
            <w:tcW w:w="52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400" w:lineRule="atLeast"/>
              <w:ind w:left="0" w:right="0" w:firstLine="0"/>
              <w:jc w:val="center"/>
              <w:rPr>
                <w:rFonts w:hint="default" w:ascii="Calibri" w:hAnsi="Calibri" w:cs="Calibri"/>
                <w:sz w:val="21"/>
                <w:szCs w:val="21"/>
              </w:rPr>
            </w:pP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lang w:val="en-US" w:eastAsia="zh-CN"/>
              </w:rPr>
              <w:t>否决投标情况</w:t>
            </w: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5" w:hRule="atLeast"/>
        </w:trPr>
        <w:tc>
          <w:tcPr>
            <w:tcW w:w="322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440" w:lineRule="atLeast"/>
              <w:ind w:left="0" w:leftChars="0" w:right="0" w:rightChars="0" w:firstLine="0" w:firstLineChars="0"/>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01包武汉天河机场临空产业及土地利用规划课题：</w:t>
            </w:r>
            <w:r>
              <w:rPr>
                <w:rFonts w:hint="eastAsia" w:ascii="仿宋" w:hAnsi="仿宋" w:eastAsia="仿宋" w:cs="仿宋"/>
                <w:color w:val="333333"/>
                <w:sz w:val="24"/>
                <w:szCs w:val="24"/>
                <w:lang w:eastAsia="zh-CN"/>
              </w:rPr>
              <w:t>嘉兴市国土空间规划研究有限公司</w:t>
            </w:r>
          </w:p>
        </w:tc>
        <w:tc>
          <w:tcPr>
            <w:tcW w:w="52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spacing w:before="0" w:beforeAutospacing="0" w:after="0" w:afterAutospacing="0" w:line="400" w:lineRule="atLeast"/>
              <w:ind w:left="0" w:leftChars="0" w:right="0" w:rightChars="0" w:firstLine="0" w:firstLineChars="0"/>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未响应招标文件中实质性要求。</w:t>
            </w:r>
          </w:p>
        </w:tc>
      </w:tr>
    </w:tbl>
    <w:p>
      <w:pPr>
        <w:pStyle w:val="4"/>
        <w:keepNext w:val="0"/>
        <w:keepLines w:val="0"/>
        <w:widowControl/>
        <w:suppressLineNumbers w:val="0"/>
        <w:spacing w:before="0" w:beforeAutospacing="0" w:after="0" w:afterAutospacing="0" w:line="240" w:lineRule="auto"/>
        <w:ind w:right="0"/>
        <w:jc w:val="left"/>
        <w:rPr>
          <w:rFonts w:hint="default" w:ascii="仿宋" w:hAnsi="仿宋" w:eastAsia="仿宋" w:cs="仿宋"/>
          <w:b/>
          <w:bCs/>
          <w:color w:val="333333"/>
          <w:sz w:val="24"/>
          <w:szCs w:val="24"/>
          <w:lang w:val="en-US" w:eastAsia="zh-CN"/>
        </w:rPr>
      </w:pPr>
    </w:p>
    <w:p>
      <w:pPr>
        <w:rPr>
          <w:rFonts w:hint="eastAsia" w:ascii="仿宋" w:hAnsi="仿宋" w:eastAsia="仿宋"/>
          <w:sz w:val="24"/>
          <w:szCs w:val="24"/>
          <w:u w:val="single"/>
          <w:lang w:eastAsia="zh-CN"/>
        </w:rPr>
      </w:pPr>
    </w:p>
    <w:p>
      <w:pPr>
        <w:rPr>
          <w:rFonts w:hint="eastAsia" w:ascii="仿宋" w:hAnsi="仿宋" w:eastAsia="仿宋"/>
          <w:sz w:val="24"/>
          <w:szCs w:val="24"/>
          <w:u w:val="single"/>
          <w:lang w:eastAsia="zh-CN"/>
        </w:rPr>
      </w:pPr>
    </w:p>
    <w:p>
      <w:pPr>
        <w:rPr>
          <w:rFonts w:hint="eastAsia" w:ascii="仿宋" w:hAnsi="仿宋" w:eastAsia="仿宋"/>
          <w:sz w:val="24"/>
          <w:szCs w:val="24"/>
          <w:u w:val="single"/>
          <w:lang w:eastAsia="zh-CN"/>
        </w:rPr>
      </w:pPr>
    </w:p>
    <w:p>
      <w:pPr>
        <w:rPr>
          <w:rFonts w:hint="eastAsia" w:ascii="仿宋" w:hAnsi="仿宋" w:eastAsia="仿宋"/>
          <w:sz w:val="24"/>
          <w:szCs w:val="24"/>
          <w:u w:val="single"/>
          <w:lang w:eastAsia="zh-CN"/>
        </w:rPr>
      </w:pPr>
    </w:p>
    <w:p>
      <w:pPr>
        <w:rPr>
          <w:rFonts w:hint="eastAsia" w:ascii="仿宋" w:hAnsi="仿宋" w:eastAsia="仿宋"/>
          <w:sz w:val="24"/>
          <w:szCs w:val="24"/>
          <w:u w:val="single"/>
          <w:lang w:eastAsia="zh-CN"/>
        </w:rPr>
      </w:pPr>
    </w:p>
    <w:p>
      <w:pPr>
        <w:rPr>
          <w:rFonts w:hint="eastAsia" w:ascii="仿宋" w:hAnsi="仿宋" w:eastAsia="仿宋"/>
          <w:sz w:val="24"/>
          <w:szCs w:val="24"/>
          <w:u w:val="single"/>
          <w:lang w:eastAsia="zh-CN"/>
        </w:rPr>
      </w:pPr>
    </w:p>
    <w:p>
      <w:pPr>
        <w:rPr>
          <w:rFonts w:hint="eastAsia" w:ascii="仿宋" w:hAnsi="仿宋" w:eastAsia="仿宋"/>
          <w:sz w:val="24"/>
          <w:szCs w:val="24"/>
          <w:u w:val="single"/>
          <w:lang w:eastAsia="zh-CN"/>
        </w:rPr>
      </w:pPr>
    </w:p>
    <w:p>
      <w:pPr>
        <w:rPr>
          <w:rFonts w:hint="eastAsia" w:ascii="仿宋" w:hAnsi="仿宋" w:eastAsia="仿宋"/>
          <w:sz w:val="24"/>
          <w:szCs w:val="24"/>
          <w:u w:val="single"/>
          <w:lang w:eastAsia="zh-CN"/>
        </w:rPr>
      </w:pPr>
    </w:p>
    <w:p>
      <w:pPr>
        <w:rPr>
          <w:rFonts w:hint="eastAsia" w:ascii="仿宋" w:hAnsi="仿宋" w:eastAsia="仿宋"/>
          <w:sz w:val="24"/>
          <w:szCs w:val="24"/>
          <w:u w:val="single"/>
          <w:lang w:eastAsia="zh-CN"/>
        </w:rPr>
      </w:pPr>
    </w:p>
    <w:p>
      <w:pPr>
        <w:rPr>
          <w:rFonts w:hint="eastAsia" w:ascii="仿宋" w:hAnsi="仿宋" w:eastAsia="仿宋"/>
          <w:sz w:val="24"/>
          <w:szCs w:val="24"/>
          <w:u w:val="single"/>
          <w:lang w:eastAsia="zh-CN"/>
        </w:rPr>
      </w:pPr>
    </w:p>
    <w:p>
      <w:pPr>
        <w:rPr>
          <w:rFonts w:hint="eastAsia" w:ascii="仿宋" w:hAnsi="仿宋" w:eastAsia="仿宋"/>
          <w:sz w:val="24"/>
          <w:szCs w:val="24"/>
          <w:u w:val="single"/>
          <w:lang w:eastAsia="zh-CN"/>
        </w:rPr>
      </w:pPr>
    </w:p>
    <w:p>
      <w:pPr>
        <w:rPr>
          <w:rFonts w:hint="eastAsia" w:ascii="仿宋" w:hAnsi="仿宋" w:eastAsia="仿宋"/>
          <w:sz w:val="24"/>
          <w:szCs w:val="24"/>
          <w:u w:val="single"/>
          <w:lang w:eastAsia="zh-CN"/>
        </w:rPr>
      </w:pPr>
    </w:p>
    <w:p>
      <w:pPr>
        <w:rPr>
          <w:rFonts w:hint="eastAsia" w:ascii="仿宋" w:hAnsi="仿宋" w:eastAsia="仿宋"/>
          <w:sz w:val="24"/>
          <w:szCs w:val="24"/>
          <w:u w:val="single"/>
          <w:lang w:eastAsia="zh-CN"/>
        </w:rPr>
      </w:pPr>
    </w:p>
    <w:p>
      <w:pPr>
        <w:rPr>
          <w:rFonts w:hint="eastAsia" w:ascii="仿宋" w:hAnsi="仿宋" w:eastAsia="仿宋"/>
          <w:sz w:val="24"/>
          <w:szCs w:val="24"/>
          <w:u w:val="single"/>
          <w:lang w:eastAsia="zh-CN"/>
        </w:rPr>
      </w:pPr>
    </w:p>
    <w:p>
      <w:pPr>
        <w:rPr>
          <w:rFonts w:hint="eastAsia" w:ascii="仿宋" w:hAnsi="仿宋" w:eastAsia="仿宋"/>
          <w:sz w:val="24"/>
          <w:szCs w:val="24"/>
          <w:u w:val="single"/>
          <w:lang w:eastAsia="zh-CN"/>
        </w:rPr>
      </w:pPr>
    </w:p>
    <w:p>
      <w:pPr>
        <w:rPr>
          <w:rFonts w:hint="eastAsia" w:ascii="仿宋" w:hAnsi="仿宋" w:eastAsia="仿宋"/>
          <w:sz w:val="24"/>
          <w:szCs w:val="24"/>
          <w:u w:val="single"/>
          <w:lang w:eastAsia="zh-CN"/>
        </w:rPr>
      </w:pPr>
    </w:p>
    <w:p>
      <w:pPr>
        <w:rPr>
          <w:rFonts w:hint="eastAsia" w:ascii="仿宋" w:hAnsi="仿宋" w:eastAsia="仿宋"/>
          <w:sz w:val="24"/>
          <w:szCs w:val="24"/>
          <w:u w:val="single"/>
          <w:lang w:eastAsia="zh-CN"/>
        </w:rPr>
      </w:pPr>
    </w:p>
    <w:p>
      <w:pPr>
        <w:rPr>
          <w:rFonts w:hint="eastAsia" w:ascii="仿宋" w:hAnsi="仿宋" w:eastAsia="仿宋"/>
          <w:sz w:val="24"/>
          <w:szCs w:val="24"/>
          <w:u w:val="single"/>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2E6065"/>
    <w:multiLevelType w:val="singleLevel"/>
    <w:tmpl w:val="362E60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f0168a60-52b6-4b47-ae20-e4c17583d72b"/>
  </w:docVars>
  <w:rsids>
    <w:rsidRoot w:val="00000000"/>
    <w:rsid w:val="08FA4082"/>
    <w:rsid w:val="10A65B52"/>
    <w:rsid w:val="1DEE2B54"/>
    <w:rsid w:val="1E3D5819"/>
    <w:rsid w:val="351761E5"/>
    <w:rsid w:val="3DC61252"/>
    <w:rsid w:val="4CAC7A71"/>
    <w:rsid w:val="50946DC2"/>
    <w:rsid w:val="5A911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3"/>
    <w:basedOn w:val="1"/>
    <w:qFormat/>
    <w:uiPriority w:val="0"/>
    <w:pPr>
      <w:spacing w:after="120" w:afterLines="0" w:afterAutospacing="0"/>
      <w:ind w:left="420" w:leftChars="200"/>
    </w:pPr>
    <w:rPr>
      <w:sz w:val="16"/>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1982</Words>
  <Characters>2137</Characters>
  <Lines>0</Lines>
  <Paragraphs>0</Paragraphs>
  <TotalTime>2</TotalTime>
  <ScaleCrop>false</ScaleCrop>
  <LinksUpToDate>false</LinksUpToDate>
  <CharactersWithSpaces>2166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2024-12-12T07:29:00Z</dcterms:created>
  <dc:creator>Administrator</dc:creator>
  <cp:lastModifiedBy>招标采购部文书</cp:lastModifiedBy>
  <dcterms:modified xsi:type="dcterms:W3CDTF">2024-12-12T08:54:21Z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FA5EF36111454B5B87DEB7662EA84274</vt:lpwstr>
  </property>
</Properties>
</file>