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93" w:rightChars="-330"/>
        <w:jc w:val="right"/>
      </w:pPr>
    </w:p>
    <w:p>
      <w:pPr>
        <w:spacing w:line="360" w:lineRule="auto"/>
        <w:ind w:right="-693" w:rightChars="-330"/>
        <w:jc w:val="center"/>
      </w:pPr>
    </w:p>
    <w:p>
      <w:pPr>
        <w:spacing w:line="360" w:lineRule="auto"/>
        <w:ind w:right="-693" w:rightChars="-330"/>
        <w:jc w:val="right"/>
      </w:pPr>
      <w:r>
        <w:rPr>
          <w:sz w:val="28"/>
          <w:szCs w:val="28"/>
        </w:rPr>
        <w:fldChar w:fldCharType="begin"/>
      </w:r>
      <w:r>
        <w:rPr>
          <w:rFonts w:hint="eastAsia"/>
          <w:sz w:val="28"/>
          <w:szCs w:val="28"/>
        </w:rPr>
        <w:instrText xml:space="preserve"> INCLUDEPICTURE "C:\\Users\\lenovo\\Documents\\WeChat Files\\wxid_v1sgdpa26ypw12\\FileStorage\\File\\Documents\\WeChat Files\\xixi-guo\\FileStorage\\File\\Documents\\WeChat Files\\xixi-guo\\FileStorage\\File\\74-2020年土面区回填\\" \* MERGEFORMAT </w:instrText>
      </w:r>
      <w:r>
        <w:rPr>
          <w:sz w:val="28"/>
          <w:szCs w:val="28"/>
        </w:rPr>
        <w:fldChar w:fldCharType="end"/>
      </w:r>
    </w:p>
    <w:p>
      <w:pPr>
        <w:spacing w:line="276" w:lineRule="auto"/>
        <w:ind w:right="-693" w:rightChars="-330"/>
        <w:rPr>
          <w:w w:val="120"/>
          <w:sz w:val="52"/>
          <w:szCs w:val="52"/>
        </w:rPr>
      </w:pPr>
    </w:p>
    <w:p>
      <w:pPr>
        <w:spacing w:line="276" w:lineRule="auto"/>
        <w:jc w:val="center"/>
        <w:rPr>
          <w:rFonts w:ascii="宋体"/>
          <w:sz w:val="24"/>
        </w:rPr>
      </w:pPr>
    </w:p>
    <w:p>
      <w:pPr>
        <w:spacing w:line="276" w:lineRule="auto"/>
        <w:jc w:val="center"/>
        <w:rPr>
          <w:rFonts w:ascii="宋体"/>
          <w:sz w:val="24"/>
        </w:rPr>
      </w:pPr>
    </w:p>
    <w:p>
      <w:pPr>
        <w:spacing w:line="276" w:lineRule="auto"/>
        <w:jc w:val="center"/>
        <w:outlineLvl w:val="0"/>
        <w:rPr>
          <w:rFonts w:hint="eastAsia" w:asciiTheme="minorEastAsia" w:hAnsiTheme="minorEastAsia" w:eastAsiaTheme="minorEastAsia" w:cstheme="minorEastAsia"/>
          <w:b/>
          <w:bCs/>
          <w:color w:val="auto"/>
          <w:kern w:val="0"/>
          <w:sz w:val="84"/>
          <w:szCs w:val="84"/>
          <w:highlight w:val="none"/>
          <w:lang w:val="en-US" w:eastAsia="zh-CN" w:bidi="ar-SA"/>
        </w:rPr>
      </w:pPr>
      <w:bookmarkStart w:id="0" w:name="_Toc24757"/>
      <w:bookmarkStart w:id="1" w:name="_Toc24931"/>
      <w:r>
        <w:rPr>
          <w:rFonts w:hint="eastAsia" w:asciiTheme="minorEastAsia" w:hAnsiTheme="minorEastAsia" w:eastAsiaTheme="minorEastAsia" w:cstheme="minorEastAsia"/>
          <w:b/>
          <w:bCs/>
          <w:color w:val="auto"/>
          <w:kern w:val="0"/>
          <w:sz w:val="84"/>
          <w:szCs w:val="84"/>
          <w:highlight w:val="none"/>
          <w:lang w:val="en-US" w:eastAsia="zh-CN" w:bidi="ar-SA"/>
        </w:rPr>
        <w:t>磋商谈判文件</w:t>
      </w:r>
      <w:bookmarkEnd w:id="0"/>
      <w:bookmarkEnd w:id="1"/>
    </w:p>
    <w:p>
      <w:pPr>
        <w:spacing w:line="276" w:lineRule="auto"/>
        <w:jc w:val="center"/>
        <w:rPr>
          <w:rFonts w:ascii="宋体"/>
          <w:sz w:val="44"/>
        </w:rPr>
      </w:pPr>
    </w:p>
    <w:p>
      <w:pPr>
        <w:spacing w:line="276" w:lineRule="auto"/>
        <w:rPr>
          <w:rFonts w:ascii="宋体"/>
          <w:bCs/>
          <w:sz w:val="32"/>
          <w:szCs w:val="20"/>
        </w:rPr>
      </w:pPr>
    </w:p>
    <w:p>
      <w:pPr>
        <w:spacing w:line="276" w:lineRule="auto"/>
        <w:rPr>
          <w:rFonts w:ascii="宋体" w:hAnsi="宋体"/>
          <w:bCs/>
          <w:sz w:val="32"/>
          <w:szCs w:val="32"/>
        </w:rPr>
      </w:pPr>
    </w:p>
    <w:p>
      <w:pPr>
        <w:spacing w:line="276" w:lineRule="auto"/>
        <w:ind w:left="2230" w:leftChars="300" w:hanging="1600" w:hangingChars="500"/>
        <w:rPr>
          <w:rFonts w:ascii="宋体" w:hAnsi="宋体"/>
          <w:bCs/>
          <w:sz w:val="32"/>
          <w:szCs w:val="32"/>
        </w:rPr>
      </w:pPr>
      <w:r>
        <w:rPr>
          <w:rFonts w:hint="eastAsia" w:ascii="宋体" w:hAnsi="宋体" w:cs="宋体"/>
          <w:bCs/>
          <w:sz w:val="32"/>
          <w:szCs w:val="32"/>
        </w:rPr>
        <w:t>项目名称：</w:t>
      </w:r>
      <w:r>
        <w:rPr>
          <w:rFonts w:hint="eastAsia" w:ascii="宋体" w:hAnsi="宋体"/>
          <w:bCs/>
          <w:sz w:val="32"/>
          <w:szCs w:val="32"/>
        </w:rPr>
        <w:t>湖北机场集团恩施机场有限责任公司中央空调维保服务采购项目</w:t>
      </w:r>
    </w:p>
    <w:p>
      <w:pPr>
        <w:spacing w:line="276" w:lineRule="auto"/>
        <w:ind w:firstLine="640" w:firstLineChars="200"/>
        <w:rPr>
          <w:rFonts w:ascii="宋体" w:hAnsi="宋体"/>
          <w:bCs/>
          <w:sz w:val="32"/>
          <w:szCs w:val="32"/>
        </w:rPr>
      </w:pPr>
      <w:r>
        <w:rPr>
          <w:rFonts w:hint="eastAsia" w:ascii="宋体" w:hAnsi="宋体"/>
          <w:bCs/>
          <w:sz w:val="32"/>
          <w:szCs w:val="32"/>
        </w:rPr>
        <w:t>磋商内容：中央空调维保服务</w:t>
      </w:r>
    </w:p>
    <w:p>
      <w:pPr>
        <w:tabs>
          <w:tab w:val="left" w:pos="2625"/>
        </w:tabs>
        <w:spacing w:line="276" w:lineRule="auto"/>
        <w:jc w:val="center"/>
        <w:rPr>
          <w:rFonts w:ascii="宋体"/>
          <w:sz w:val="32"/>
          <w:szCs w:val="20"/>
        </w:rPr>
      </w:pPr>
    </w:p>
    <w:p>
      <w:pPr>
        <w:tabs>
          <w:tab w:val="left" w:pos="2625"/>
        </w:tabs>
        <w:spacing w:line="276" w:lineRule="auto"/>
        <w:rPr>
          <w:rFonts w:ascii="宋体"/>
          <w:sz w:val="32"/>
          <w:szCs w:val="20"/>
        </w:rPr>
      </w:pPr>
    </w:p>
    <w:p/>
    <w:p>
      <w:pPr>
        <w:tabs>
          <w:tab w:val="left" w:pos="2625"/>
        </w:tabs>
        <w:spacing w:line="276" w:lineRule="auto"/>
        <w:jc w:val="center"/>
        <w:rPr>
          <w:rFonts w:ascii="宋体"/>
          <w:sz w:val="32"/>
          <w:szCs w:val="20"/>
        </w:rPr>
      </w:pPr>
    </w:p>
    <w:p/>
    <w:p/>
    <w:p>
      <w:pPr>
        <w:spacing w:line="276" w:lineRule="auto"/>
        <w:ind w:firstLine="1280" w:firstLineChars="400"/>
        <w:jc w:val="both"/>
        <w:rPr>
          <w:rFonts w:ascii="宋体"/>
          <w:bCs/>
          <w:sz w:val="32"/>
          <w:szCs w:val="28"/>
        </w:rPr>
      </w:pPr>
      <w:bookmarkStart w:id="2" w:name="_Hlk40184197"/>
      <w:r>
        <w:rPr>
          <w:rFonts w:hint="eastAsia" w:ascii="宋体" w:hAnsi="宋体"/>
          <w:bCs/>
          <w:sz w:val="32"/>
          <w:szCs w:val="28"/>
          <w:lang w:val="en-US" w:eastAsia="zh-CN"/>
        </w:rPr>
        <w:t>采购单位：</w:t>
      </w:r>
      <w:r>
        <w:rPr>
          <w:rFonts w:hint="eastAsia" w:ascii="宋体" w:hAnsi="宋体"/>
          <w:bCs/>
          <w:sz w:val="32"/>
          <w:szCs w:val="28"/>
        </w:rPr>
        <w:t>湖北机场集团恩施机场有责任公司</w:t>
      </w:r>
    </w:p>
    <w:bookmarkEnd w:id="2"/>
    <w:p>
      <w:pPr>
        <w:spacing w:line="276" w:lineRule="auto"/>
        <w:ind w:firstLine="1280" w:firstLineChars="400"/>
        <w:jc w:val="left"/>
        <w:rPr>
          <w:b/>
          <w:bCs/>
          <w:sz w:val="36"/>
          <w:szCs w:val="36"/>
        </w:rPr>
      </w:pPr>
      <w:r>
        <w:rPr>
          <w:rFonts w:hint="eastAsia" w:ascii="宋体" w:hAnsi="宋体"/>
          <w:sz w:val="32"/>
          <w:szCs w:val="28"/>
          <w:lang w:val="en-US" w:eastAsia="zh-CN"/>
        </w:rPr>
        <w:t>编制时间：</w:t>
      </w:r>
      <w:r>
        <w:rPr>
          <w:rFonts w:hint="eastAsia" w:ascii="宋体" w:hAnsi="宋体"/>
          <w:sz w:val="32"/>
          <w:szCs w:val="28"/>
        </w:rPr>
        <w:t>二〇二四年</w:t>
      </w:r>
      <w:r>
        <w:rPr>
          <w:rFonts w:hint="eastAsia" w:ascii="宋体" w:hAnsi="宋体"/>
          <w:sz w:val="32"/>
          <w:szCs w:val="28"/>
          <w:lang w:val="en-US" w:eastAsia="zh-CN"/>
        </w:rPr>
        <w:t>九</w:t>
      </w:r>
      <w:r>
        <w:rPr>
          <w:rFonts w:hint="eastAsia" w:ascii="宋体" w:hAnsi="宋体"/>
          <w:sz w:val="32"/>
          <w:szCs w:val="28"/>
        </w:rPr>
        <w:t>月</w:t>
      </w:r>
    </w:p>
    <w:p>
      <w:pPr>
        <w:widowControl/>
        <w:spacing w:line="360" w:lineRule="auto"/>
        <w:jc w:val="center"/>
        <w:rPr>
          <w:rFonts w:ascii="黑体" w:hAnsi="黑体" w:eastAsia="黑体" w:cs="黑体"/>
          <w:b/>
          <w:color w:val="000000"/>
          <w:sz w:val="36"/>
          <w:szCs w:val="36"/>
        </w:rPr>
      </w:pPr>
    </w:p>
    <w:p>
      <w:pPr>
        <w:spacing w:line="276" w:lineRule="auto"/>
        <w:jc w:val="center"/>
        <w:rPr>
          <w:b/>
          <w:sz w:val="28"/>
          <w:szCs w:val="28"/>
        </w:rPr>
        <w:sectPr>
          <w:headerReference r:id="rId4" w:type="first"/>
          <w:footerReference r:id="rId7" w:type="first"/>
          <w:headerReference r:id="rId3" w:type="default"/>
          <w:footerReference r:id="rId5" w:type="default"/>
          <w:footerReference r:id="rId6" w:type="even"/>
          <w:pgSz w:w="11906" w:h="16838"/>
          <w:pgMar w:top="1440" w:right="1689" w:bottom="1440" w:left="1689" w:header="851" w:footer="992" w:gutter="0"/>
          <w:pgNumType w:fmt="upperRoman" w:start="1"/>
          <w:cols w:space="720" w:num="1"/>
          <w:titlePg/>
          <w:docGrid w:type="lines" w:linePitch="312" w:charSpace="0"/>
        </w:sectPr>
      </w:pPr>
      <w:r>
        <w:rPr>
          <w:rFonts w:ascii="黑体" w:hAnsi="黑体" w:eastAsia="黑体" w:cs="黑体"/>
          <w:b/>
          <w:color w:val="000000"/>
          <w:sz w:val="36"/>
          <w:szCs w:val="36"/>
        </w:rPr>
        <w:br w:type="page"/>
      </w:r>
    </w:p>
    <w:p>
      <w:pPr>
        <w:spacing w:line="276" w:lineRule="auto"/>
        <w:jc w:val="center"/>
        <w:outlineLvl w:val="0"/>
        <w:rPr>
          <w:rFonts w:ascii="黑体" w:hAnsi="黑体" w:eastAsia="黑体" w:cs="黑体"/>
          <w:b/>
          <w:sz w:val="48"/>
          <w:szCs w:val="48"/>
        </w:rPr>
      </w:pPr>
      <w:bookmarkStart w:id="3" w:name="_Toc28815"/>
      <w:bookmarkStart w:id="4" w:name="_Toc31238"/>
      <w:r>
        <w:rPr>
          <w:rFonts w:hint="eastAsia" w:ascii="黑体" w:hAnsi="黑体" w:eastAsia="黑体" w:cs="黑体"/>
          <w:b/>
          <w:sz w:val="48"/>
          <w:szCs w:val="48"/>
        </w:rPr>
        <w:t>目     录</w:t>
      </w:r>
      <w:bookmarkEnd w:id="3"/>
      <w:bookmarkEnd w:id="4"/>
    </w:p>
    <w:p/>
    <w:p>
      <w:pPr>
        <w:pStyle w:val="26"/>
        <w:tabs>
          <w:tab w:val="right" w:leader="dot" w:pos="8306"/>
        </w:tabs>
        <w:spacing w:line="480" w:lineRule="auto"/>
        <w:rPr>
          <w:rFonts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TOC \o "1-1" \h \u </w:instrText>
      </w:r>
      <w:r>
        <w:rPr>
          <w:rFonts w:hint="eastAsia" w:ascii="等线" w:hAnsi="等线" w:eastAsia="等线" w:cs="等线"/>
          <w:sz w:val="28"/>
          <w:szCs w:val="28"/>
        </w:rPr>
        <w:fldChar w:fldCharType="separate"/>
      </w:r>
      <w:r>
        <w:fldChar w:fldCharType="begin"/>
      </w:r>
      <w:r>
        <w:instrText xml:space="preserve">HYPERLINK  \l "_Toc32348" </w:instrText>
      </w:r>
      <w:r>
        <w:fldChar w:fldCharType="separate"/>
      </w:r>
      <w:r>
        <w:rPr>
          <w:rFonts w:hint="eastAsia" w:ascii="等线" w:hAnsi="等线" w:eastAsia="等线" w:cs="等线"/>
          <w:bCs/>
          <w:sz w:val="28"/>
          <w:szCs w:val="28"/>
        </w:rPr>
        <w:t>第一章 磋商谈判邀请函</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_Toc32348 \h </w:instrText>
      </w:r>
      <w:r>
        <w:rPr>
          <w:rFonts w:hint="eastAsia" w:ascii="等线" w:hAnsi="等线" w:eastAsia="等线" w:cs="等线"/>
          <w:sz w:val="28"/>
          <w:szCs w:val="28"/>
        </w:rPr>
        <w:fldChar w:fldCharType="separate"/>
      </w:r>
      <w:r>
        <w:rPr>
          <w:rFonts w:hint="eastAsia" w:ascii="等线" w:hAnsi="等线" w:eastAsia="等线" w:cs="等线"/>
          <w:sz w:val="28"/>
          <w:szCs w:val="28"/>
        </w:rPr>
        <w:t>1</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rPr>
          <w:rFonts w:ascii="等线" w:hAnsi="等线" w:eastAsia="等线" w:cs="等线"/>
          <w:sz w:val="28"/>
          <w:szCs w:val="28"/>
        </w:rPr>
      </w:pPr>
      <w:r>
        <w:fldChar w:fldCharType="begin"/>
      </w:r>
      <w:r>
        <w:instrText xml:space="preserve">HYPERLINK  \l "_Toc4364" </w:instrText>
      </w:r>
      <w:r>
        <w:fldChar w:fldCharType="separate"/>
      </w:r>
      <w:r>
        <w:rPr>
          <w:rFonts w:hint="eastAsia" w:ascii="等线" w:hAnsi="等线" w:eastAsia="等线" w:cs="等线"/>
          <w:bCs/>
          <w:sz w:val="28"/>
          <w:szCs w:val="28"/>
        </w:rPr>
        <w:t>第二章 磋商谈判须知</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_Toc4364 \h </w:instrText>
      </w:r>
      <w:r>
        <w:rPr>
          <w:rFonts w:hint="eastAsia" w:ascii="等线" w:hAnsi="等线" w:eastAsia="等线" w:cs="等线"/>
          <w:sz w:val="28"/>
          <w:szCs w:val="28"/>
        </w:rPr>
        <w:fldChar w:fldCharType="separate"/>
      </w:r>
      <w:r>
        <w:rPr>
          <w:rFonts w:hint="eastAsia" w:ascii="等线" w:hAnsi="等线" w:eastAsia="等线" w:cs="等线"/>
          <w:sz w:val="28"/>
          <w:szCs w:val="28"/>
        </w:rPr>
        <w:t>3</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rPr>
          <w:rFonts w:ascii="等线" w:hAnsi="等线" w:eastAsia="等线" w:cs="等线"/>
          <w:sz w:val="28"/>
          <w:szCs w:val="28"/>
        </w:rPr>
      </w:pPr>
      <w:r>
        <w:fldChar w:fldCharType="begin"/>
      </w:r>
      <w:r>
        <w:instrText xml:space="preserve">HYPERLINK  \l "_Toc6810" </w:instrText>
      </w:r>
      <w:r>
        <w:fldChar w:fldCharType="separate"/>
      </w:r>
      <w:r>
        <w:rPr>
          <w:rFonts w:hint="eastAsia" w:ascii="等线" w:hAnsi="等线" w:eastAsia="等线" w:cs="等线"/>
          <w:bCs/>
          <w:sz w:val="28"/>
          <w:szCs w:val="28"/>
        </w:rPr>
        <w:t>第三章 采购内容及要求</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_Toc6810 \h </w:instrText>
      </w:r>
      <w:r>
        <w:rPr>
          <w:rFonts w:hint="eastAsia" w:ascii="等线" w:hAnsi="等线" w:eastAsia="等线" w:cs="等线"/>
          <w:sz w:val="28"/>
          <w:szCs w:val="28"/>
        </w:rPr>
        <w:fldChar w:fldCharType="separate"/>
      </w:r>
      <w:r>
        <w:rPr>
          <w:rFonts w:hint="eastAsia" w:ascii="等线" w:hAnsi="等线" w:eastAsia="等线" w:cs="等线"/>
          <w:sz w:val="28"/>
          <w:szCs w:val="28"/>
        </w:rPr>
        <w:t>12</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rPr>
          <w:rFonts w:ascii="等线" w:hAnsi="等线" w:eastAsia="等线" w:cs="等线"/>
          <w:sz w:val="28"/>
          <w:szCs w:val="28"/>
        </w:rPr>
      </w:pPr>
      <w:r>
        <w:fldChar w:fldCharType="begin"/>
      </w:r>
      <w:r>
        <w:instrText xml:space="preserve">HYPERLINK  \l "_Toc5890" </w:instrText>
      </w:r>
      <w:r>
        <w:fldChar w:fldCharType="separate"/>
      </w:r>
      <w:r>
        <w:rPr>
          <w:rFonts w:hint="eastAsia" w:ascii="等线" w:hAnsi="等线" w:eastAsia="等线" w:cs="等线"/>
          <w:bCs/>
          <w:sz w:val="28"/>
          <w:szCs w:val="28"/>
        </w:rPr>
        <w:t>第四章 评审办法及评分标准</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_Toc5890 \h </w:instrText>
      </w:r>
      <w:r>
        <w:rPr>
          <w:rFonts w:hint="eastAsia" w:ascii="等线" w:hAnsi="等线" w:eastAsia="等线" w:cs="等线"/>
          <w:sz w:val="28"/>
          <w:szCs w:val="28"/>
        </w:rPr>
        <w:fldChar w:fldCharType="separate"/>
      </w:r>
      <w:r>
        <w:rPr>
          <w:rFonts w:hint="eastAsia" w:ascii="等线" w:hAnsi="等线" w:eastAsia="等线" w:cs="等线"/>
          <w:sz w:val="28"/>
          <w:szCs w:val="28"/>
        </w:rPr>
        <w:t>14</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rPr>
          <w:rFonts w:ascii="等线" w:hAnsi="等线" w:eastAsia="等线" w:cs="等线"/>
          <w:sz w:val="28"/>
          <w:szCs w:val="28"/>
        </w:rPr>
      </w:pPr>
      <w:r>
        <w:fldChar w:fldCharType="begin"/>
      </w:r>
      <w:r>
        <w:instrText xml:space="preserve">HYPERLINK  \l "_Toc31936" </w:instrText>
      </w:r>
      <w:r>
        <w:fldChar w:fldCharType="separate"/>
      </w:r>
      <w:r>
        <w:rPr>
          <w:rFonts w:hint="eastAsia" w:ascii="等线" w:hAnsi="等线" w:eastAsia="等线" w:cs="等线"/>
          <w:bCs/>
          <w:sz w:val="28"/>
          <w:szCs w:val="28"/>
        </w:rPr>
        <w:t>第五章 合同书（参考格式）</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_Toc31936 \h </w:instrText>
      </w:r>
      <w:r>
        <w:rPr>
          <w:rFonts w:hint="eastAsia" w:ascii="等线" w:hAnsi="等线" w:eastAsia="等线" w:cs="等线"/>
          <w:sz w:val="28"/>
          <w:szCs w:val="28"/>
        </w:rPr>
        <w:fldChar w:fldCharType="separate"/>
      </w:r>
      <w:r>
        <w:rPr>
          <w:rFonts w:hint="eastAsia" w:ascii="等线" w:hAnsi="等线" w:eastAsia="等线" w:cs="等线"/>
          <w:sz w:val="28"/>
          <w:szCs w:val="28"/>
        </w:rPr>
        <w:t>18</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rPr>
          <w:rFonts w:ascii="等线" w:hAnsi="等线" w:eastAsia="等线" w:cs="等线"/>
          <w:sz w:val="28"/>
          <w:szCs w:val="28"/>
        </w:rPr>
      </w:pPr>
      <w:r>
        <w:fldChar w:fldCharType="begin"/>
      </w:r>
      <w:r>
        <w:instrText xml:space="preserve">HYPERLINK  \l "_Toc2072" </w:instrText>
      </w:r>
      <w:r>
        <w:fldChar w:fldCharType="separate"/>
      </w:r>
      <w:r>
        <w:rPr>
          <w:rFonts w:hint="eastAsia" w:ascii="等线" w:hAnsi="等线" w:eastAsia="等线" w:cs="等线"/>
          <w:bCs/>
          <w:sz w:val="28"/>
          <w:szCs w:val="28"/>
        </w:rPr>
        <w:t>第六章 响应文件格式</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_Toc2072 \h </w:instrText>
      </w:r>
      <w:r>
        <w:rPr>
          <w:rFonts w:hint="eastAsia" w:ascii="等线" w:hAnsi="等线" w:eastAsia="等线" w:cs="等线"/>
          <w:sz w:val="28"/>
          <w:szCs w:val="28"/>
        </w:rPr>
        <w:fldChar w:fldCharType="separate"/>
      </w:r>
      <w:r>
        <w:rPr>
          <w:rFonts w:hint="eastAsia" w:ascii="等线" w:hAnsi="等线" w:eastAsia="等线" w:cs="等线"/>
          <w:sz w:val="28"/>
          <w:szCs w:val="28"/>
        </w:rPr>
        <w:t>44</w:t>
      </w:r>
      <w:r>
        <w:rPr>
          <w:rFonts w:hint="eastAsia" w:ascii="等线" w:hAnsi="等线" w:eastAsia="等线" w:cs="等线"/>
          <w:sz w:val="28"/>
          <w:szCs w:val="28"/>
        </w:rPr>
        <w:fldChar w:fldCharType="end"/>
      </w:r>
      <w:r>
        <w:fldChar w:fldCharType="end"/>
      </w:r>
    </w:p>
    <w:p>
      <w:pPr>
        <w:pStyle w:val="26"/>
        <w:tabs>
          <w:tab w:val="right" w:leader="dot" w:pos="8306"/>
        </w:tabs>
        <w:spacing w:line="480" w:lineRule="auto"/>
        <w:jc w:val="left"/>
        <w:rPr>
          <w:sz w:val="28"/>
          <w:szCs w:val="28"/>
        </w:rPr>
      </w:pPr>
      <w:r>
        <w:rPr>
          <w:rFonts w:hint="eastAsia" w:ascii="等线" w:hAnsi="等线" w:eastAsia="等线" w:cs="等线"/>
          <w:sz w:val="28"/>
          <w:szCs w:val="28"/>
        </w:rPr>
        <w:fldChar w:fldCharType="end"/>
      </w:r>
    </w:p>
    <w:p>
      <w:pPr>
        <w:spacing w:line="276" w:lineRule="auto"/>
        <w:jc w:val="left"/>
        <w:rPr>
          <w:sz w:val="28"/>
          <w:szCs w:val="28"/>
        </w:rPr>
      </w:pPr>
    </w:p>
    <w:p>
      <w:pPr>
        <w:spacing w:line="276" w:lineRule="auto"/>
        <w:jc w:val="left"/>
        <w:sectPr>
          <w:headerReference r:id="rId8" w:type="default"/>
          <w:footerReference r:id="rId9" w:type="default"/>
          <w:pgSz w:w="11906" w:h="16838"/>
          <w:pgMar w:top="1440" w:right="1800" w:bottom="1440" w:left="1800" w:header="851" w:footer="992" w:gutter="0"/>
          <w:pgNumType w:fmt="upperRoman" w:start="1"/>
          <w:cols w:space="720" w:num="1"/>
          <w:docGrid w:type="lines" w:linePitch="312" w:charSpace="0"/>
        </w:sectPr>
      </w:pPr>
    </w:p>
    <w:p>
      <w:pPr>
        <w:numPr>
          <w:ilvl w:val="0"/>
          <w:numId w:val="5"/>
        </w:numPr>
        <w:spacing w:line="276" w:lineRule="auto"/>
        <w:jc w:val="center"/>
        <w:outlineLvl w:val="0"/>
        <w:rPr>
          <w:b/>
          <w:bCs/>
          <w:sz w:val="36"/>
          <w:szCs w:val="36"/>
        </w:rPr>
      </w:pPr>
      <w:bookmarkStart w:id="5" w:name="_Hlk156937643"/>
      <w:bookmarkStart w:id="6" w:name="_Toc15928"/>
      <w:bookmarkStart w:id="7" w:name="_Toc32348"/>
      <w:r>
        <w:rPr>
          <w:rFonts w:hint="eastAsia"/>
          <w:b/>
          <w:bCs/>
          <w:sz w:val="36"/>
          <w:szCs w:val="36"/>
        </w:rPr>
        <w:t>磋商谈判邀请函</w:t>
      </w:r>
      <w:bookmarkEnd w:id="5"/>
      <w:bookmarkEnd w:id="6"/>
      <w:bookmarkEnd w:id="7"/>
    </w:p>
    <w:p>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ascii="宋体" w:hAnsi="宋体"/>
          <w:sz w:val="24"/>
          <w:szCs w:val="24"/>
        </w:rPr>
      </w:pPr>
      <w:r>
        <w:rPr>
          <w:rFonts w:hint="eastAsia" w:ascii="宋体" w:hAnsi="宋体"/>
          <w:sz w:val="24"/>
          <w:szCs w:val="24"/>
        </w:rPr>
        <w:t>湖北机场集团恩施机场有限责任公司</w:t>
      </w:r>
      <w:r>
        <w:rPr>
          <w:rFonts w:hint="eastAsia" w:ascii="宋体" w:hAnsi="宋体"/>
          <w:sz w:val="24"/>
          <w:szCs w:val="24"/>
          <w:lang w:val="en-US" w:eastAsia="zh-CN"/>
        </w:rPr>
        <w:t>对</w:t>
      </w:r>
      <w:r>
        <w:rPr>
          <w:rFonts w:hint="eastAsia" w:ascii="宋体" w:hAnsi="宋体"/>
          <w:bCs/>
          <w:sz w:val="24"/>
          <w:szCs w:val="24"/>
        </w:rPr>
        <w:t>“湖北机场集团恩施机场有限责任公司中央空调维保服务采购项目”</w:t>
      </w:r>
      <w:r>
        <w:rPr>
          <w:rFonts w:hint="eastAsia" w:ascii="宋体" w:hAnsi="宋体"/>
          <w:sz w:val="24"/>
          <w:szCs w:val="24"/>
        </w:rPr>
        <w:t>进行磋商谈判采购，欢迎符合资格条件的供应商参与本次磋商活动。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372" w:leftChars="-177"/>
        <w:jc w:val="lef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一、</w:t>
      </w:r>
      <w:r>
        <w:rPr>
          <w:rFonts w:hint="eastAsia" w:ascii="宋体" w:hAnsi="宋体"/>
          <w:b/>
          <w:sz w:val="24"/>
          <w:szCs w:val="24"/>
          <w:lang w:val="en-US" w:eastAsia="zh-CN"/>
        </w:rPr>
        <w:t>项目概况</w:t>
      </w:r>
      <w:r>
        <w:rPr>
          <w:rFonts w:hint="eastAsia" w:ascii="宋体" w:hAnsi="宋体"/>
          <w:bCs/>
          <w:sz w:val="24"/>
          <w:szCs w:val="24"/>
        </w:rPr>
        <w:t>：</w:t>
      </w:r>
      <w:bookmarkStart w:id="8" w:name="_Toc116879910"/>
    </w:p>
    <w:p>
      <w:pPr>
        <w:keepNext w:val="0"/>
        <w:keepLines w:val="0"/>
        <w:pageBreakBefore w:val="0"/>
        <w:widowControl w:val="0"/>
        <w:numPr>
          <w:ilvl w:val="0"/>
          <w:numId w:val="6"/>
        </w:numPr>
        <w:kinsoku/>
        <w:wordWrap/>
        <w:overflowPunct/>
        <w:topLinePunct w:val="0"/>
        <w:bidi w:val="0"/>
        <w:adjustRightInd w:val="0"/>
        <w:snapToGrid w:val="0"/>
        <w:spacing w:line="360" w:lineRule="auto"/>
        <w:jc w:val="left"/>
        <w:textAlignment w:val="auto"/>
        <w:rPr>
          <w:rFonts w:hint="default" w:ascii="宋体" w:hAnsi="宋体" w:eastAsia="宋体" w:cs="Times New Roman"/>
          <w:sz w:val="24"/>
          <w:lang w:val="en-US"/>
        </w:rPr>
      </w:pPr>
      <w:r>
        <w:rPr>
          <w:rFonts w:hint="eastAsia" w:ascii="宋体" w:hAnsi="宋体" w:cs="Times New Roman"/>
          <w:sz w:val="24"/>
          <w:lang w:val="en-US" w:eastAsia="zh-CN"/>
        </w:rPr>
        <w:t>项目名称：</w:t>
      </w:r>
      <w:r>
        <w:rPr>
          <w:rFonts w:hint="eastAsia" w:ascii="宋体" w:hAnsi="宋体" w:eastAsia="宋体" w:cs="Times New Roman"/>
          <w:sz w:val="24"/>
          <w:lang w:val="en-US" w:eastAsia="zh-CN"/>
        </w:rPr>
        <w:t>湖北机场集团恩施机场有限责任公司中央空调维保服务采购项目</w:t>
      </w:r>
    </w:p>
    <w:p>
      <w:pPr>
        <w:keepNext w:val="0"/>
        <w:keepLines w:val="0"/>
        <w:pageBreakBefore w:val="0"/>
        <w:widowControl w:val="0"/>
        <w:numPr>
          <w:ilvl w:val="0"/>
          <w:numId w:val="6"/>
        </w:numPr>
        <w:kinsoku/>
        <w:wordWrap/>
        <w:overflowPunct/>
        <w:topLinePunct w:val="0"/>
        <w:bidi w:val="0"/>
        <w:adjustRightInd w:val="0"/>
        <w:snapToGrid w:val="0"/>
        <w:spacing w:line="360" w:lineRule="auto"/>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采购方式：磋商谈判</w:t>
      </w:r>
    </w:p>
    <w:p>
      <w:pPr>
        <w:keepNext w:val="0"/>
        <w:keepLines w:val="0"/>
        <w:pageBreakBefore w:val="0"/>
        <w:widowControl w:val="0"/>
        <w:numPr>
          <w:ilvl w:val="0"/>
          <w:numId w:val="6"/>
        </w:numPr>
        <w:kinsoku/>
        <w:wordWrap/>
        <w:overflowPunct/>
        <w:topLinePunct w:val="0"/>
        <w:bidi w:val="0"/>
        <w:adjustRightInd w:val="0"/>
        <w:snapToGrid w:val="0"/>
        <w:spacing w:line="360" w:lineRule="auto"/>
        <w:jc w:val="left"/>
        <w:textAlignment w:val="auto"/>
        <w:rPr>
          <w:rFonts w:hint="eastAsia" w:ascii="宋体" w:hAnsi="宋体" w:eastAsia="宋体" w:cs="Times New Roman"/>
          <w:sz w:val="24"/>
        </w:rPr>
      </w:pPr>
      <w:r>
        <w:rPr>
          <w:rFonts w:hint="eastAsia" w:ascii="宋体" w:hAnsi="宋体" w:eastAsia="宋体" w:cs="Times New Roman"/>
          <w:sz w:val="24"/>
        </w:rPr>
        <w:t>采购预算：</w:t>
      </w:r>
      <w:r>
        <w:rPr>
          <w:rFonts w:hint="eastAsia" w:ascii="宋体" w:hAnsi="宋体" w:eastAsia="宋体" w:cs="Times New Roman"/>
          <w:sz w:val="24"/>
          <w:u w:val="single"/>
          <w:lang w:val="en-US" w:eastAsia="zh-CN"/>
        </w:rPr>
        <w:t>3.49</w:t>
      </w:r>
      <w:r>
        <w:rPr>
          <w:rFonts w:hint="eastAsia" w:ascii="宋体" w:hAnsi="宋体" w:eastAsia="宋体" w:cs="Times New Roman"/>
          <w:sz w:val="24"/>
        </w:rPr>
        <w:t>万元，</w:t>
      </w:r>
      <w:r>
        <w:rPr>
          <w:rFonts w:hint="eastAsia" w:ascii="宋体" w:hAnsi="宋体" w:eastAsia="宋体" w:cs="Times New Roman"/>
          <w:sz w:val="24"/>
          <w:lang w:val="en-US" w:eastAsia="zh-CN"/>
        </w:rPr>
        <w:t>供应商报价</w:t>
      </w:r>
      <w:r>
        <w:rPr>
          <w:rFonts w:hint="eastAsia" w:ascii="宋体" w:hAnsi="宋体" w:eastAsia="宋体" w:cs="Times New Roman"/>
          <w:sz w:val="24"/>
        </w:rPr>
        <w:t>不得超过采购预算，否则其报价无效。</w:t>
      </w:r>
    </w:p>
    <w:p>
      <w:pPr>
        <w:keepNext w:val="0"/>
        <w:keepLines w:val="0"/>
        <w:pageBreakBefore w:val="0"/>
        <w:widowControl w:val="0"/>
        <w:numPr>
          <w:ilvl w:val="0"/>
          <w:numId w:val="6"/>
        </w:numPr>
        <w:kinsoku/>
        <w:wordWrap/>
        <w:overflowPunct/>
        <w:topLinePunct w:val="0"/>
        <w:bidi w:val="0"/>
        <w:adjustRightInd w:val="0"/>
        <w:snapToGrid w:val="0"/>
        <w:spacing w:line="360" w:lineRule="auto"/>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采购需求</w:t>
      </w:r>
      <w:r>
        <w:rPr>
          <w:rFonts w:hint="eastAsia" w:ascii="宋体" w:hAnsi="宋体" w:eastAsia="宋体" w:cs="Times New Roman"/>
          <w:sz w:val="24"/>
        </w:rPr>
        <w:t>：对国际楼中央空调系统、贵宾室中央空调系统、国内楼中央空调系统进行日常维护，每季度、半年、年度进行一次设备例行保养，对设备进行检测</w:t>
      </w:r>
      <w:r>
        <w:rPr>
          <w:rFonts w:hint="eastAsia" w:ascii="宋体" w:hAnsi="宋体" w:eastAsia="宋体" w:cs="Times New Roman"/>
          <w:sz w:val="24"/>
          <w:lang w:eastAsia="zh-CN"/>
        </w:rPr>
        <w:t>，</w:t>
      </w:r>
      <w:r>
        <w:rPr>
          <w:rFonts w:hint="eastAsia" w:ascii="宋体" w:hAnsi="宋体" w:eastAsia="宋体" w:cs="Times New Roman"/>
          <w:sz w:val="24"/>
          <w:lang w:val="en-US" w:eastAsia="zh-CN"/>
        </w:rPr>
        <w:t>详细采购内容见第三章采购内容及需求</w:t>
      </w:r>
      <w:r>
        <w:rPr>
          <w:rFonts w:hint="eastAsia" w:ascii="宋体" w:hAnsi="宋体" w:eastAsia="宋体" w:cs="Times New Roman"/>
          <w:sz w:val="24"/>
        </w:rPr>
        <w:t>。</w:t>
      </w:r>
    </w:p>
    <w:p>
      <w:pPr>
        <w:keepNext w:val="0"/>
        <w:keepLines w:val="0"/>
        <w:pageBreakBefore w:val="0"/>
        <w:widowControl w:val="0"/>
        <w:numPr>
          <w:ilvl w:val="0"/>
          <w:numId w:val="6"/>
        </w:numPr>
        <w:kinsoku/>
        <w:wordWrap/>
        <w:overflowPunct/>
        <w:topLinePunct w:val="0"/>
        <w:bidi w:val="0"/>
        <w:adjustRightInd w:val="0"/>
        <w:snapToGrid w:val="0"/>
        <w:spacing w:line="360" w:lineRule="auto"/>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服务期</w:t>
      </w:r>
      <w:r>
        <w:rPr>
          <w:rFonts w:hint="eastAsia" w:ascii="宋体" w:hAnsi="宋体" w:eastAsia="宋体" w:cs="Times New Roman"/>
          <w:sz w:val="24"/>
        </w:rPr>
        <w:t>：</w:t>
      </w:r>
      <w:r>
        <w:rPr>
          <w:rFonts w:hint="eastAsia" w:ascii="宋体" w:hAnsi="宋体" w:eastAsia="宋体" w:cs="Times New Roman"/>
          <w:sz w:val="24"/>
          <w:lang w:val="en-US" w:eastAsia="zh-CN"/>
        </w:rPr>
        <w:t>自合同签订之日起1年。</w:t>
      </w:r>
    </w:p>
    <w:p>
      <w:pPr>
        <w:pStyle w:val="48"/>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b/>
          <w:szCs w:val="24"/>
        </w:rPr>
      </w:pPr>
      <w:r>
        <w:rPr>
          <w:rFonts w:hint="eastAsia" w:ascii="宋体" w:hAnsi="宋体"/>
          <w:b/>
          <w:szCs w:val="24"/>
          <w:lang w:val="en-US" w:eastAsia="zh-CN"/>
        </w:rPr>
        <w:t>二</w:t>
      </w:r>
      <w:r>
        <w:rPr>
          <w:rFonts w:hint="eastAsia" w:ascii="宋体" w:hAnsi="宋体"/>
          <w:b/>
          <w:szCs w:val="24"/>
        </w:rPr>
        <w:t>、供应商资格要求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ascii="宋体" w:hAnsi="宋体"/>
          <w:sz w:val="24"/>
        </w:rPr>
      </w:pPr>
      <w:r>
        <w:rPr>
          <w:rFonts w:hint="default" w:ascii="宋体" w:hAnsi="宋体" w:eastAsia="宋体" w:cs="宋体"/>
          <w:kern w:val="2"/>
          <w:sz w:val="24"/>
          <w:szCs w:val="24"/>
          <w:lang w:val="en-US" w:eastAsia="zh-CN" w:bidi="ar-SA"/>
        </w:rPr>
        <w:t>1.</w:t>
      </w:r>
      <w:r>
        <w:rPr>
          <w:rFonts w:hint="eastAsia" w:ascii="宋体" w:hAnsi="宋体"/>
          <w:sz w:val="24"/>
        </w:rPr>
        <w:t>供应商须在中华人民共和国境内注册登记，具有独立法人资格，并取得有效营业执照；</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Times New Roman"/>
          <w:sz w:val="24"/>
          <w:highlight w:val="none"/>
        </w:rPr>
      </w:pPr>
      <w:r>
        <w:rPr>
          <w:rFonts w:hint="default" w:ascii="宋体" w:hAnsi="宋体" w:eastAsia="宋体" w:cs="宋体"/>
          <w:kern w:val="2"/>
          <w:sz w:val="24"/>
          <w:szCs w:val="24"/>
          <w:lang w:val="en-US" w:eastAsia="zh-CN" w:bidi="ar-SA"/>
        </w:rPr>
        <w:t>2.</w:t>
      </w:r>
      <w:r>
        <w:rPr>
          <w:rFonts w:hint="eastAsia" w:ascii="宋体" w:hAnsi="宋体" w:eastAsia="宋体" w:cs="Times New Roman"/>
          <w:sz w:val="24"/>
          <w:highlight w:val="none"/>
        </w:rPr>
        <w:t>供应商</w:t>
      </w:r>
      <w:r>
        <w:rPr>
          <w:rFonts w:hint="eastAsia" w:ascii="宋体" w:hAnsi="宋体" w:eastAsia="宋体" w:cs="Times New Roman"/>
          <w:sz w:val="24"/>
          <w:highlight w:val="none"/>
          <w:lang w:val="en-US" w:eastAsia="zh-CN"/>
        </w:rPr>
        <w:t>须</w:t>
      </w:r>
      <w:r>
        <w:rPr>
          <w:rFonts w:hint="eastAsia" w:ascii="宋体" w:hAnsi="宋体" w:eastAsia="宋体" w:cs="Times New Roman"/>
          <w:sz w:val="24"/>
          <w:highlight w:val="none"/>
        </w:rPr>
        <w:t>具备</w:t>
      </w:r>
      <w:r>
        <w:rPr>
          <w:rFonts w:hint="eastAsia" w:ascii="宋体" w:hAnsi="宋体" w:cs="Times New Roman"/>
          <w:sz w:val="24"/>
          <w:highlight w:val="none"/>
          <w:lang w:val="en-US" w:eastAsia="zh-CN"/>
        </w:rPr>
        <w:t>暖通工程施工或维修等经营许可</w:t>
      </w:r>
      <w:r>
        <w:rPr>
          <w:rFonts w:hint="eastAsia" w:ascii="宋体" w:hAnsi="宋体"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ascii="宋体" w:hAnsi="宋体" w:cs="宋体"/>
          <w:bCs/>
          <w:kern w:val="0"/>
          <w:sz w:val="24"/>
        </w:rPr>
      </w:pPr>
      <w:r>
        <w:rPr>
          <w:rFonts w:hint="default" w:ascii="宋体" w:hAnsi="宋体" w:eastAsia="宋体" w:cs="宋体"/>
          <w:bCs/>
          <w:kern w:val="0"/>
          <w:sz w:val="24"/>
          <w:szCs w:val="24"/>
          <w:lang w:val="en-US" w:eastAsia="zh-CN" w:bidi="ar-SA"/>
        </w:rPr>
        <w:t>3.</w:t>
      </w:r>
      <w:r>
        <w:rPr>
          <w:rFonts w:hint="eastAsia" w:ascii="宋体" w:hAnsi="宋体" w:cs="宋体"/>
          <w:bCs/>
          <w:kern w:val="0"/>
          <w:sz w:val="24"/>
        </w:rPr>
        <w:t>供应商近三年（2021年1月1日至</w:t>
      </w:r>
      <w:r>
        <w:rPr>
          <w:rFonts w:hint="eastAsia" w:ascii="宋体" w:hAnsi="宋体" w:cs="宋体"/>
          <w:bCs/>
          <w:kern w:val="0"/>
          <w:sz w:val="24"/>
          <w:lang w:val="en-US" w:eastAsia="zh-CN"/>
        </w:rPr>
        <w:t>响应时间</w:t>
      </w:r>
      <w:r>
        <w:rPr>
          <w:rFonts w:hint="eastAsia" w:ascii="宋体" w:hAnsi="宋体" w:cs="宋体"/>
          <w:bCs/>
          <w:kern w:val="0"/>
          <w:sz w:val="24"/>
        </w:rPr>
        <w:t>截止之日</w:t>
      </w:r>
      <w:r>
        <w:rPr>
          <w:rFonts w:hint="eastAsia" w:ascii="宋体" w:hAnsi="宋体" w:cs="宋体"/>
          <w:bCs/>
          <w:kern w:val="0"/>
          <w:sz w:val="24"/>
          <w:lang w:val="en-US" w:eastAsia="zh-CN"/>
        </w:rPr>
        <w:t>止</w:t>
      </w:r>
      <w:r>
        <w:rPr>
          <w:rFonts w:hint="eastAsia" w:ascii="宋体" w:hAnsi="宋体" w:cs="宋体"/>
          <w:bCs/>
          <w:kern w:val="0"/>
          <w:sz w:val="24"/>
        </w:rPr>
        <w:t>,以合同签订时间为准）至少</w:t>
      </w:r>
      <w:r>
        <w:rPr>
          <w:rFonts w:hint="eastAsia" w:ascii="宋体" w:hAnsi="宋体" w:cs="宋体"/>
          <w:bCs/>
          <w:kern w:val="0"/>
          <w:sz w:val="24"/>
          <w:lang w:val="en-US" w:eastAsia="zh-CN"/>
        </w:rPr>
        <w:t>完成</w:t>
      </w:r>
      <w:r>
        <w:rPr>
          <w:rFonts w:hint="eastAsia" w:ascii="宋体" w:hAnsi="宋体" w:cs="宋体"/>
          <w:bCs/>
          <w:kern w:val="0"/>
          <w:sz w:val="24"/>
        </w:rPr>
        <w:t>过一项单项合同金额为1.7万元及以上类似业绩</w:t>
      </w:r>
      <w:r>
        <w:rPr>
          <w:rFonts w:hint="eastAsia" w:ascii="宋体" w:hAnsi="宋体" w:cs="宋体"/>
          <w:bCs/>
          <w:kern w:val="0"/>
          <w:sz w:val="24"/>
          <w:lang w:eastAsia="zh-CN"/>
        </w:rPr>
        <w:t>，</w:t>
      </w:r>
      <w:r>
        <w:rPr>
          <w:rFonts w:hint="eastAsia" w:ascii="宋体" w:hAnsi="宋体" w:cs="宋体"/>
          <w:bCs/>
          <w:kern w:val="0"/>
          <w:sz w:val="24"/>
        </w:rPr>
        <w:t>须提供清晰的合同复印件或扫描件（合同至少包含首页、采购内容、合同金额及签章页等关键内容)；</w:t>
      </w:r>
    </w:p>
    <w:p>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left"/>
        <w:textAlignment w:val="auto"/>
        <w:rPr>
          <w:rFonts w:ascii="宋体" w:hAnsi="宋体"/>
          <w:sz w:val="24"/>
          <w:szCs w:val="24"/>
        </w:rPr>
      </w:pPr>
      <w:r>
        <w:rPr>
          <w:rFonts w:hint="default" w:ascii="宋体" w:hAnsi="宋体" w:eastAsia="宋体" w:cs="宋体"/>
          <w:kern w:val="2"/>
          <w:sz w:val="24"/>
          <w:szCs w:val="24"/>
          <w:lang w:val="en-US" w:eastAsia="zh-CN" w:bidi="ar-SA"/>
        </w:rPr>
        <w:t>4.</w:t>
      </w:r>
      <w:r>
        <w:rPr>
          <w:rFonts w:hint="eastAsia" w:ascii="宋体" w:hAnsi="宋体"/>
          <w:sz w:val="24"/>
          <w:szCs w:val="24"/>
        </w:rPr>
        <w:t>供应商未被列入“信用中</w:t>
      </w:r>
      <w:r>
        <w:rPr>
          <w:rFonts w:hint="eastAsia" w:ascii="宋体" w:hAnsi="宋体"/>
          <w:color w:val="auto"/>
          <w:sz w:val="24"/>
          <w:szCs w:val="24"/>
        </w:rPr>
        <w:t>国”网站(</w:t>
      </w:r>
      <w:r>
        <w:rPr>
          <w:color w:val="auto"/>
        </w:rPr>
        <w:fldChar w:fldCharType="begin"/>
      </w:r>
      <w:r>
        <w:rPr>
          <w:color w:val="auto"/>
        </w:rPr>
        <w:instrText xml:space="preserve">HYPERLINK "http://www.creditchina.gov.cn)/" </w:instrText>
      </w:r>
      <w:r>
        <w:rPr>
          <w:color w:val="auto"/>
        </w:rPr>
        <w:fldChar w:fldCharType="separate"/>
      </w:r>
      <w:r>
        <w:rPr>
          <w:color w:val="auto"/>
          <w:sz w:val="24"/>
          <w:szCs w:val="24"/>
          <w:u w:val="single"/>
        </w:rPr>
        <w:t>www.creditchina.gov.cn</w:t>
      </w:r>
      <w:r>
        <w:rPr>
          <w:rFonts w:hint="eastAsia" w:ascii="宋体" w:hAnsi="宋体"/>
          <w:color w:val="auto"/>
          <w:sz w:val="24"/>
          <w:szCs w:val="24"/>
        </w:rPr>
        <w:t>)</w:t>
      </w:r>
      <w:r>
        <w:rPr>
          <w:color w:val="auto"/>
        </w:rPr>
        <w:fldChar w:fldCharType="end"/>
      </w:r>
      <w:r>
        <w:rPr>
          <w:rFonts w:hint="eastAsia" w:ascii="宋体" w:hAnsi="宋体"/>
          <w:color w:val="auto"/>
          <w:sz w:val="24"/>
          <w:szCs w:val="24"/>
        </w:rPr>
        <w:t>或者“中国执行信息公开网”（</w:t>
      </w:r>
      <w:bookmarkStart w:id="9" w:name="_Hlk156939411"/>
      <w:r>
        <w:rPr>
          <w:color w:val="auto"/>
          <w:sz w:val="24"/>
          <w:szCs w:val="24"/>
        </w:rPr>
        <w:fldChar w:fldCharType="begin"/>
      </w:r>
      <w:r>
        <w:rPr>
          <w:color w:val="auto"/>
          <w:sz w:val="24"/>
          <w:szCs w:val="24"/>
        </w:rPr>
        <w:instrText xml:space="preserve"> HYPERLINK "zxgk.court.gov.cn" </w:instrText>
      </w:r>
      <w:r>
        <w:rPr>
          <w:color w:val="auto"/>
          <w:sz w:val="24"/>
          <w:szCs w:val="24"/>
        </w:rPr>
        <w:fldChar w:fldCharType="separate"/>
      </w:r>
      <w:r>
        <w:rPr>
          <w:color w:val="auto"/>
          <w:sz w:val="24"/>
          <w:szCs w:val="24"/>
          <w:u w:val="single"/>
        </w:rPr>
        <w:t>zxgk.court.gov.cn</w:t>
      </w:r>
      <w:r>
        <w:rPr>
          <w:color w:val="auto"/>
          <w:sz w:val="24"/>
          <w:szCs w:val="24"/>
          <w:u w:val="single"/>
        </w:rPr>
        <w:fldChar w:fldCharType="end"/>
      </w:r>
      <w:bookmarkEnd w:id="9"/>
      <w:r>
        <w:rPr>
          <w:rFonts w:hint="eastAsia" w:ascii="宋体" w:hAnsi="宋体"/>
          <w:color w:val="auto"/>
          <w:sz w:val="24"/>
          <w:szCs w:val="24"/>
        </w:rPr>
        <w:t>）失</w:t>
      </w:r>
      <w:r>
        <w:rPr>
          <w:rFonts w:hint="eastAsia" w:ascii="宋体" w:hAnsi="宋体"/>
          <w:sz w:val="24"/>
          <w:szCs w:val="24"/>
        </w:rPr>
        <w:t>信被执行人名单。（提供网页查询截图）；</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Cs/>
          <w:kern w:val="0"/>
          <w:sz w:val="24"/>
        </w:rPr>
      </w:pPr>
      <w:r>
        <w:rPr>
          <w:rFonts w:hint="default" w:ascii="宋体" w:hAnsi="宋体" w:eastAsia="宋体" w:cs="宋体"/>
          <w:bCs/>
          <w:kern w:val="0"/>
          <w:sz w:val="24"/>
          <w:szCs w:val="24"/>
          <w:lang w:val="en-US" w:eastAsia="zh-CN" w:bidi="ar-SA"/>
        </w:rPr>
        <w:t>5.</w:t>
      </w:r>
      <w:r>
        <w:rPr>
          <w:rFonts w:hint="eastAsia" w:ascii="宋体" w:hAnsi="宋体" w:eastAsia="宋体" w:cs="宋体"/>
          <w:bCs/>
          <w:kern w:val="0"/>
          <w:sz w:val="24"/>
        </w:rPr>
        <w:t>供应商应</w:t>
      </w:r>
      <w:r>
        <w:rPr>
          <w:rFonts w:hint="eastAsia" w:ascii="宋体" w:hAnsi="宋体" w:eastAsia="宋体" w:cs="宋体"/>
          <w:bCs/>
          <w:kern w:val="0"/>
          <w:sz w:val="24"/>
          <w:lang w:val="en-US" w:eastAsia="zh-CN"/>
        </w:rPr>
        <w:t>须</w:t>
      </w:r>
      <w:r>
        <w:rPr>
          <w:rFonts w:hint="eastAsia" w:ascii="宋体" w:hAnsi="宋体" w:eastAsia="宋体" w:cs="宋体"/>
          <w:bCs/>
          <w:kern w:val="0"/>
          <w:sz w:val="24"/>
        </w:rPr>
        <w:t>针对《湖北机场集团有限公司“供应商不良行为”管理办法》在响应文件中出示承诺书。承诺格式详见</w:t>
      </w:r>
      <w:r>
        <w:rPr>
          <w:rFonts w:hint="eastAsia" w:ascii="宋体" w:hAnsi="宋体" w:eastAsia="宋体" w:cs="宋体"/>
          <w:bCs/>
          <w:kern w:val="0"/>
          <w:sz w:val="24"/>
          <w:lang w:val="en-US" w:eastAsia="zh-CN"/>
        </w:rPr>
        <w:t>磋商谈判</w:t>
      </w:r>
      <w:r>
        <w:rPr>
          <w:rFonts w:hint="eastAsia" w:ascii="宋体" w:hAnsi="宋体" w:eastAsia="宋体" w:cs="宋体"/>
          <w:bCs/>
          <w:kern w:val="0"/>
          <w:sz w:val="24"/>
        </w:rPr>
        <w:t>响应文件格式</w:t>
      </w:r>
      <w:r>
        <w:rPr>
          <w:rFonts w:hint="eastAsia" w:ascii="宋体" w:hAnsi="宋体" w:eastAsia="宋体" w:cs="宋体"/>
          <w:bCs/>
          <w:kern w:val="0"/>
          <w:sz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ascii="宋体" w:hAnsi="宋体"/>
          <w:sz w:val="24"/>
        </w:rPr>
      </w:pPr>
      <w:r>
        <w:rPr>
          <w:rFonts w:hint="default" w:ascii="宋体" w:hAnsi="宋体" w:eastAsia="宋体" w:cs="宋体"/>
          <w:kern w:val="2"/>
          <w:sz w:val="24"/>
          <w:szCs w:val="24"/>
          <w:lang w:val="en-US" w:eastAsia="zh-CN" w:bidi="ar-SA"/>
        </w:rPr>
        <w:t>6.</w:t>
      </w:r>
      <w:r>
        <w:rPr>
          <w:rFonts w:hint="eastAsia" w:ascii="宋体" w:hAnsi="宋体"/>
          <w:sz w:val="24"/>
        </w:rPr>
        <w:t>本项目不接受联合体响应。</w:t>
      </w:r>
    </w:p>
    <w:p>
      <w:pPr>
        <w:keepNext w:val="0"/>
        <w:keepLines w:val="0"/>
        <w:pageBreakBefore w:val="0"/>
        <w:widowControl w:val="0"/>
        <w:kinsoku/>
        <w:wordWrap/>
        <w:overflowPunct/>
        <w:topLinePunct w:val="0"/>
        <w:bidi w:val="0"/>
        <w:adjustRightInd w:val="0"/>
        <w:snapToGrid w:val="0"/>
        <w:spacing w:line="360" w:lineRule="auto"/>
        <w:ind w:left="-368" w:leftChars="-175" w:firstLine="470" w:firstLineChars="195"/>
        <w:jc w:val="left"/>
        <w:textAlignment w:val="auto"/>
        <w:rPr>
          <w:rFonts w:hint="eastAsia"/>
        </w:rPr>
      </w:pPr>
      <w:r>
        <w:rPr>
          <w:rFonts w:hint="eastAsia" w:ascii="宋体" w:hAnsi="宋体"/>
          <w:b/>
          <w:bCs/>
          <w:sz w:val="24"/>
        </w:rPr>
        <w:t>以上资格要求为本次响应供应商应具备的基本条件，参加响应的供应商必须满足资格要求中的所有条款，并按照相关规定递交资格证明文件。</w:t>
      </w:r>
      <w:bookmarkEnd w:id="8"/>
    </w:p>
    <w:p>
      <w:pPr>
        <w:pStyle w:val="48"/>
        <w:keepNext w:val="0"/>
        <w:keepLines w:val="0"/>
        <w:pageBreakBefore w:val="0"/>
        <w:widowControl w:val="0"/>
        <w:kinsoku/>
        <w:wordWrap/>
        <w:overflowPunct/>
        <w:topLinePunct w:val="0"/>
        <w:autoSpaceDE/>
        <w:autoSpaceDN/>
        <w:bidi w:val="0"/>
        <w:adjustRightInd w:val="0"/>
        <w:snapToGrid w:val="0"/>
        <w:spacing w:before="0" w:after="0" w:line="360" w:lineRule="auto"/>
        <w:ind w:left="-372" w:leftChars="-177" w:firstLine="0" w:firstLineChars="0"/>
        <w:jc w:val="left"/>
        <w:textAlignment w:val="auto"/>
        <w:rPr>
          <w:rFonts w:hint="default" w:ascii="宋体" w:eastAsia="宋体"/>
          <w:b/>
          <w:szCs w:val="24"/>
          <w:lang w:val="en-US" w:eastAsia="zh-CN"/>
        </w:rPr>
      </w:pPr>
      <w:bookmarkStart w:id="10" w:name="_Toc99941298"/>
      <w:bookmarkStart w:id="11" w:name="_Toc87810220"/>
      <w:bookmarkStart w:id="12" w:name="_Toc99881726"/>
      <w:bookmarkStart w:id="13" w:name="_Toc116879911"/>
      <w:bookmarkStart w:id="14" w:name="_Toc103333684"/>
      <w:bookmarkStart w:id="15" w:name="_Toc99718116"/>
      <w:bookmarkStart w:id="16" w:name="_Toc87373467"/>
      <w:bookmarkStart w:id="17" w:name="_Toc87373368"/>
      <w:r>
        <w:rPr>
          <w:rFonts w:hint="eastAsia" w:ascii="宋体" w:hAnsi="宋体"/>
          <w:b/>
          <w:szCs w:val="24"/>
          <w:lang w:val="en-US" w:eastAsia="zh-CN"/>
        </w:rPr>
        <w:t>三</w:t>
      </w:r>
      <w:r>
        <w:rPr>
          <w:rFonts w:hint="eastAsia" w:ascii="宋体" w:hAnsi="宋体"/>
          <w:b/>
          <w:szCs w:val="24"/>
        </w:rPr>
        <w:t>、</w:t>
      </w:r>
      <w:bookmarkEnd w:id="10"/>
      <w:bookmarkEnd w:id="11"/>
      <w:bookmarkEnd w:id="12"/>
      <w:bookmarkEnd w:id="13"/>
      <w:bookmarkEnd w:id="14"/>
      <w:bookmarkEnd w:id="15"/>
      <w:bookmarkEnd w:id="16"/>
      <w:bookmarkEnd w:id="17"/>
      <w:r>
        <w:rPr>
          <w:rFonts w:hint="eastAsia" w:ascii="宋体" w:hAnsi="宋体"/>
          <w:b/>
          <w:szCs w:val="24"/>
        </w:rPr>
        <w:t>磋商</w:t>
      </w:r>
      <w:r>
        <w:rPr>
          <w:rFonts w:hint="eastAsia" w:ascii="宋体" w:hAnsi="宋体"/>
          <w:b/>
          <w:szCs w:val="24"/>
          <w:lang w:val="en-US" w:eastAsia="zh-CN"/>
        </w:rPr>
        <w:t>谈判</w:t>
      </w:r>
      <w:r>
        <w:rPr>
          <w:rFonts w:hint="eastAsia" w:ascii="宋体" w:hAnsi="宋体"/>
          <w:b/>
          <w:szCs w:val="24"/>
        </w:rPr>
        <w:t>文件</w:t>
      </w:r>
      <w:r>
        <w:rPr>
          <w:rFonts w:hint="eastAsia" w:ascii="宋体" w:hAnsi="宋体"/>
          <w:b/>
          <w:szCs w:val="24"/>
          <w:lang w:val="en-US" w:eastAsia="zh-CN"/>
        </w:rPr>
        <w:t>获取地点及时间</w:t>
      </w:r>
      <w:r>
        <w:rPr>
          <w:rFonts w:hint="eastAsia" w:ascii="宋体" w:hAnsi="宋体"/>
          <w:b/>
          <w:szCs w:val="24"/>
          <w:lang w:eastAsia="zh-CN"/>
        </w:rPr>
        <w:t>、</w:t>
      </w:r>
      <w:r>
        <w:rPr>
          <w:rFonts w:hint="eastAsia" w:ascii="宋体" w:hAnsi="宋体"/>
          <w:b/>
          <w:szCs w:val="24"/>
          <w:lang w:val="en-US" w:eastAsia="zh-CN"/>
        </w:rPr>
        <w:t>响应文件开启</w:t>
      </w:r>
      <w:r>
        <w:rPr>
          <w:rFonts w:hint="eastAsia" w:ascii="宋体" w:hAnsi="宋体"/>
          <w:b/>
          <w:szCs w:val="24"/>
        </w:rPr>
        <w:t>时间</w:t>
      </w:r>
      <w:r>
        <w:rPr>
          <w:rFonts w:hint="eastAsia" w:ascii="宋体" w:hAnsi="宋体"/>
          <w:b/>
          <w:szCs w:val="24"/>
          <w:lang w:val="en-US" w:eastAsia="zh-CN"/>
        </w:rPr>
        <w:t>及递交地点</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sz w:val="24"/>
          <w:szCs w:val="32"/>
          <w:lang w:val="zh-CN"/>
        </w:rPr>
      </w:pPr>
      <w:bookmarkStart w:id="18" w:name="_Hlk156934537"/>
      <w:r>
        <w:rPr>
          <w:rFonts w:hint="eastAsia" w:ascii="宋体" w:hAnsi="宋体"/>
          <w:sz w:val="24"/>
          <w:szCs w:val="32"/>
        </w:rPr>
        <w:t>磋商</w:t>
      </w:r>
      <w:r>
        <w:rPr>
          <w:rFonts w:hint="eastAsia" w:ascii="宋体" w:hAnsi="宋体"/>
          <w:sz w:val="24"/>
          <w:szCs w:val="32"/>
          <w:lang w:val="en-US" w:eastAsia="zh-CN"/>
        </w:rPr>
        <w:t>文件获取</w:t>
      </w:r>
      <w:r>
        <w:rPr>
          <w:rFonts w:hint="eastAsia" w:ascii="宋体" w:hAnsi="宋体"/>
          <w:sz w:val="24"/>
          <w:szCs w:val="32"/>
          <w:lang w:val="zh-CN"/>
        </w:rPr>
        <w:t>时间：</w:t>
      </w:r>
      <w:r>
        <w:rPr>
          <w:b/>
          <w:bCs/>
          <w:sz w:val="24"/>
          <w:szCs w:val="32"/>
          <w:u w:val="single"/>
        </w:rPr>
        <w:t>2024</w:t>
      </w:r>
      <w:r>
        <w:rPr>
          <w:sz w:val="24"/>
          <w:szCs w:val="32"/>
        </w:rPr>
        <w:t>年</w:t>
      </w:r>
      <w:r>
        <w:rPr>
          <w:rFonts w:hint="eastAsia"/>
          <w:b/>
          <w:bCs/>
          <w:sz w:val="24"/>
          <w:szCs w:val="32"/>
          <w:u w:val="single"/>
          <w:lang w:val="en-US" w:eastAsia="zh-CN"/>
        </w:rPr>
        <w:t>10</w:t>
      </w:r>
      <w:r>
        <w:rPr>
          <w:sz w:val="24"/>
          <w:szCs w:val="32"/>
        </w:rPr>
        <w:t>月</w:t>
      </w:r>
      <w:r>
        <w:rPr>
          <w:rFonts w:hint="eastAsia"/>
          <w:b/>
          <w:bCs/>
          <w:sz w:val="24"/>
          <w:szCs w:val="32"/>
          <w:u w:val="single"/>
          <w:lang w:val="en-US" w:eastAsia="zh-CN"/>
        </w:rPr>
        <w:t>08</w:t>
      </w:r>
      <w:r>
        <w:rPr>
          <w:sz w:val="24"/>
          <w:szCs w:val="32"/>
        </w:rPr>
        <w:t>日</w:t>
      </w:r>
      <w:r>
        <w:rPr>
          <w:rFonts w:hint="eastAsia"/>
          <w:b/>
          <w:bCs/>
          <w:sz w:val="24"/>
          <w:szCs w:val="32"/>
          <w:u w:val="single"/>
          <w:lang w:val="en-US" w:eastAsia="zh-CN"/>
        </w:rPr>
        <w:t>09</w:t>
      </w:r>
      <w:r>
        <w:rPr>
          <w:sz w:val="24"/>
          <w:szCs w:val="32"/>
        </w:rPr>
        <w:t>时</w:t>
      </w:r>
      <w:r>
        <w:rPr>
          <w:rFonts w:hint="eastAsia" w:ascii="宋体" w:hAnsi="宋体"/>
          <w:sz w:val="24"/>
          <w:szCs w:val="32"/>
          <w:lang w:val="zh-CN"/>
        </w:rPr>
        <w:t>至</w:t>
      </w:r>
      <w:r>
        <w:rPr>
          <w:rFonts w:hint="eastAsia"/>
          <w:b/>
          <w:bCs/>
          <w:sz w:val="24"/>
          <w:szCs w:val="32"/>
          <w:u w:val="single"/>
          <w:lang w:val="zh-CN"/>
        </w:rPr>
        <w:t>2024</w:t>
      </w:r>
      <w:r>
        <w:rPr>
          <w:rFonts w:hint="eastAsia" w:ascii="宋体" w:hAnsi="宋体"/>
          <w:sz w:val="24"/>
          <w:szCs w:val="32"/>
          <w:lang w:val="zh-CN"/>
        </w:rPr>
        <w:t>年</w:t>
      </w:r>
      <w:r>
        <w:rPr>
          <w:rFonts w:hint="eastAsia"/>
          <w:b/>
          <w:bCs/>
          <w:sz w:val="24"/>
          <w:szCs w:val="32"/>
          <w:u w:val="single"/>
          <w:lang w:val="en-US" w:eastAsia="zh-CN"/>
        </w:rPr>
        <w:t>10</w:t>
      </w:r>
      <w:r>
        <w:rPr>
          <w:rFonts w:hint="eastAsia" w:ascii="宋体" w:hAnsi="宋体"/>
          <w:sz w:val="24"/>
          <w:szCs w:val="32"/>
          <w:lang w:val="zh-CN"/>
        </w:rPr>
        <w:t>月</w:t>
      </w:r>
      <w:r>
        <w:rPr>
          <w:rFonts w:hint="eastAsia"/>
          <w:b/>
          <w:bCs/>
          <w:sz w:val="24"/>
          <w:szCs w:val="32"/>
          <w:u w:val="single"/>
          <w:lang w:val="en-US" w:eastAsia="zh-CN"/>
        </w:rPr>
        <w:t>12</w:t>
      </w:r>
      <w:r>
        <w:rPr>
          <w:rFonts w:hint="eastAsia" w:ascii="宋体" w:hAnsi="宋体"/>
          <w:sz w:val="24"/>
          <w:szCs w:val="32"/>
          <w:lang w:val="zh-CN"/>
        </w:rPr>
        <w:t>日</w:t>
      </w:r>
      <w:r>
        <w:rPr>
          <w:rFonts w:hint="eastAsia"/>
          <w:b/>
          <w:bCs/>
          <w:sz w:val="24"/>
          <w:szCs w:val="32"/>
          <w:u w:val="single"/>
          <w:lang w:val="zh-CN"/>
        </w:rPr>
        <w:t>17</w:t>
      </w:r>
      <w:r>
        <w:rPr>
          <w:rFonts w:hint="eastAsia" w:ascii="宋体" w:hAnsi="宋体"/>
          <w:sz w:val="24"/>
          <w:szCs w:val="32"/>
          <w:lang w:val="zh-CN"/>
        </w:rPr>
        <w:t>时（北京时间，法定节假日除外）；</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sz w:val="24"/>
          <w:szCs w:val="32"/>
          <w:lang w:val="zh-CN"/>
        </w:rPr>
      </w:pPr>
      <w:r>
        <w:rPr>
          <w:rFonts w:hint="eastAsia" w:ascii="宋体" w:hAnsi="宋体"/>
          <w:sz w:val="24"/>
          <w:szCs w:val="32"/>
          <w:lang w:val="zh-CN"/>
        </w:rPr>
        <w:t>响应文件开启时间：</w:t>
      </w:r>
      <w:r>
        <w:rPr>
          <w:b/>
          <w:bCs/>
          <w:sz w:val="24"/>
          <w:szCs w:val="32"/>
          <w:u w:val="single"/>
        </w:rPr>
        <w:t>2024</w:t>
      </w:r>
      <w:r>
        <w:rPr>
          <w:sz w:val="24"/>
          <w:szCs w:val="32"/>
        </w:rPr>
        <w:t>年</w:t>
      </w:r>
      <w:r>
        <w:rPr>
          <w:rFonts w:hint="eastAsia"/>
          <w:b/>
          <w:bCs/>
          <w:sz w:val="24"/>
          <w:szCs w:val="32"/>
          <w:u w:val="single"/>
          <w:lang w:val="en-US" w:eastAsia="zh-CN"/>
        </w:rPr>
        <w:t>10</w:t>
      </w:r>
      <w:r>
        <w:rPr>
          <w:sz w:val="24"/>
          <w:szCs w:val="32"/>
        </w:rPr>
        <w:t>月</w:t>
      </w:r>
      <w:r>
        <w:rPr>
          <w:rFonts w:hint="eastAsia"/>
          <w:b/>
          <w:bCs/>
          <w:sz w:val="24"/>
          <w:szCs w:val="32"/>
          <w:u w:val="single"/>
          <w:lang w:val="en-US" w:eastAsia="zh-CN"/>
        </w:rPr>
        <w:t>18</w:t>
      </w:r>
      <w:r>
        <w:rPr>
          <w:sz w:val="24"/>
          <w:szCs w:val="32"/>
        </w:rPr>
        <w:t>日</w:t>
      </w:r>
      <w:r>
        <w:rPr>
          <w:rFonts w:hint="eastAsia"/>
          <w:b/>
          <w:bCs/>
          <w:sz w:val="24"/>
          <w:szCs w:val="32"/>
          <w:u w:val="single"/>
          <w:lang w:val="en-US" w:eastAsia="zh-CN"/>
        </w:rPr>
        <w:t>09</w:t>
      </w:r>
      <w:r>
        <w:rPr>
          <w:sz w:val="24"/>
          <w:szCs w:val="32"/>
        </w:rPr>
        <w:t>时</w:t>
      </w:r>
      <w:r>
        <w:rPr>
          <w:rFonts w:hint="eastAsia"/>
          <w:b/>
          <w:bCs/>
          <w:sz w:val="24"/>
          <w:szCs w:val="32"/>
          <w:u w:val="single"/>
          <w:lang w:val="en-US" w:eastAsia="zh-CN"/>
        </w:rPr>
        <w:t>30</w:t>
      </w:r>
      <w:r>
        <w:rPr>
          <w:rFonts w:hint="eastAsia"/>
          <w:sz w:val="24"/>
          <w:szCs w:val="32"/>
          <w:lang w:val="en-US" w:eastAsia="zh-CN"/>
        </w:rPr>
        <w:t>分</w:t>
      </w:r>
      <w:r>
        <w:rPr>
          <w:rFonts w:hint="eastAsia" w:ascii="宋体" w:hAnsi="宋体"/>
          <w:sz w:val="24"/>
          <w:szCs w:val="32"/>
          <w:lang w:val="zh-CN"/>
        </w:rPr>
        <w:t>（暂定，具体时间和地点，以通知为准）。</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hint="default" w:ascii="宋体" w:hAnsi="宋体"/>
          <w:sz w:val="24"/>
          <w:szCs w:val="32"/>
          <w:lang w:val="en-US" w:eastAsia="zh-CN"/>
        </w:rPr>
      </w:pPr>
      <w:r>
        <w:rPr>
          <w:rFonts w:hint="eastAsia" w:ascii="宋体" w:hAnsi="宋体"/>
          <w:sz w:val="24"/>
          <w:szCs w:val="32"/>
          <w:lang w:val="en-US" w:eastAsia="zh-CN"/>
        </w:rPr>
        <w:t>响应文件递交地点：恩施许家坪机场行政楼二楼会议</w:t>
      </w:r>
      <w:bookmarkStart w:id="38" w:name="_GoBack"/>
      <w:bookmarkEnd w:id="38"/>
      <w:r>
        <w:rPr>
          <w:rFonts w:hint="eastAsia" w:ascii="宋体" w:hAnsi="宋体"/>
          <w:sz w:val="24"/>
          <w:szCs w:val="32"/>
          <w:lang w:val="en-US" w:eastAsia="zh-CN"/>
        </w:rPr>
        <w:t>室。</w:t>
      </w:r>
    </w:p>
    <w:bookmarkEnd w:id="18"/>
    <w:p>
      <w:pPr>
        <w:pStyle w:val="48"/>
        <w:keepNext w:val="0"/>
        <w:keepLines w:val="0"/>
        <w:pageBreakBefore w:val="0"/>
        <w:widowControl w:val="0"/>
        <w:kinsoku/>
        <w:wordWrap/>
        <w:overflowPunct/>
        <w:topLinePunct w:val="0"/>
        <w:autoSpaceDE/>
        <w:autoSpaceDN/>
        <w:bidi w:val="0"/>
        <w:adjustRightInd w:val="0"/>
        <w:snapToGrid w:val="0"/>
        <w:spacing w:before="0" w:after="0" w:line="360" w:lineRule="auto"/>
        <w:ind w:left="-372" w:leftChars="-177" w:firstLine="0" w:firstLineChars="0"/>
        <w:jc w:val="left"/>
        <w:textAlignment w:val="auto"/>
        <w:rPr>
          <w:rFonts w:ascii="宋体"/>
          <w:b/>
          <w:szCs w:val="24"/>
        </w:rPr>
      </w:pPr>
      <w:r>
        <w:rPr>
          <w:rFonts w:hint="eastAsia" w:ascii="宋体" w:hAnsi="宋体"/>
          <w:b/>
          <w:szCs w:val="24"/>
          <w:lang w:val="en-US" w:eastAsia="zh-CN"/>
        </w:rPr>
        <w:t>四</w:t>
      </w:r>
      <w:r>
        <w:rPr>
          <w:rFonts w:hint="eastAsia" w:ascii="宋体" w:hAnsi="宋体"/>
          <w:b/>
          <w:szCs w:val="24"/>
        </w:rPr>
        <w:t>、联系方式</w:t>
      </w:r>
    </w:p>
    <w:p>
      <w:pPr>
        <w:keepNext w:val="0"/>
        <w:keepLines w:val="0"/>
        <w:pageBreakBefore w:val="0"/>
        <w:widowControl w:val="0"/>
        <w:numPr>
          <w:ilvl w:val="0"/>
          <w:numId w:val="0"/>
        </w:numPr>
        <w:kinsoku/>
        <w:wordWrap/>
        <w:overflowPunct/>
        <w:topLinePunct w:val="0"/>
        <w:bidi w:val="0"/>
        <w:adjustRightInd w:val="0"/>
        <w:snapToGrid w:val="0"/>
        <w:spacing w:line="360" w:lineRule="auto"/>
        <w:jc w:val="left"/>
        <w:textAlignment w:val="auto"/>
        <w:rPr>
          <w:rFonts w:hint="eastAsia" w:ascii="宋体" w:hAnsi="宋体" w:cs="Times New Roman"/>
          <w:sz w:val="24"/>
        </w:rPr>
      </w:pPr>
      <w:r>
        <w:rPr>
          <w:rFonts w:hint="eastAsia" w:ascii="宋体" w:hAnsi="宋体" w:cs="Times New Roman"/>
          <w:sz w:val="24"/>
        </w:rPr>
        <w:t>名称：</w:t>
      </w:r>
      <w:r>
        <w:rPr>
          <w:rFonts w:hint="eastAsia" w:ascii="宋体" w:hAnsi="宋体" w:cs="Times New Roman"/>
          <w:sz w:val="24"/>
          <w:lang w:eastAsia="zh-CN"/>
        </w:rPr>
        <w:t>湖北机场集团</w:t>
      </w:r>
      <w:r>
        <w:rPr>
          <w:rFonts w:hint="eastAsia" w:ascii="宋体" w:hAnsi="宋体" w:cs="Times New Roman"/>
          <w:sz w:val="24"/>
          <w:lang w:val="en-US" w:eastAsia="zh-CN"/>
        </w:rPr>
        <w:t>恩施机场</w:t>
      </w:r>
      <w:r>
        <w:rPr>
          <w:rFonts w:hint="eastAsia" w:ascii="宋体" w:hAnsi="宋体" w:cs="Times New Roman"/>
          <w:sz w:val="24"/>
          <w:lang w:eastAsia="zh-CN"/>
        </w:rPr>
        <w:t>有限</w:t>
      </w:r>
      <w:r>
        <w:rPr>
          <w:rFonts w:hint="eastAsia" w:ascii="宋体" w:hAnsi="宋体" w:cs="Times New Roman"/>
          <w:sz w:val="24"/>
          <w:lang w:val="en-US" w:eastAsia="zh-CN"/>
        </w:rPr>
        <w:t>责任</w:t>
      </w:r>
      <w:r>
        <w:rPr>
          <w:rFonts w:hint="eastAsia" w:ascii="宋体" w:hAnsi="宋体" w:cs="Times New Roman"/>
          <w:sz w:val="24"/>
          <w:lang w:eastAsia="zh-CN"/>
        </w:rPr>
        <w:t>公司</w:t>
      </w:r>
      <w:r>
        <w:rPr>
          <w:rFonts w:hint="eastAsia" w:ascii="宋体" w:hAnsi="宋体" w:cs="Times New Roman"/>
          <w:sz w:val="24"/>
        </w:rPr>
        <w:t xml:space="preserve"> </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cs="Times New Roman"/>
          <w:sz w:val="24"/>
          <w:lang w:val="en-US" w:eastAsia="zh-CN"/>
        </w:rPr>
      </w:pPr>
      <w:r>
        <w:rPr>
          <w:rFonts w:hint="eastAsia" w:ascii="宋体" w:hAnsi="宋体" w:cs="Times New Roman"/>
          <w:sz w:val="24"/>
        </w:rPr>
        <w:t>地址：</w:t>
      </w:r>
      <w:r>
        <w:rPr>
          <w:rFonts w:hint="eastAsia" w:ascii="宋体" w:hAnsi="宋体" w:cs="Times New Roman"/>
          <w:sz w:val="24"/>
          <w:lang w:val="en-US" w:eastAsia="zh-CN"/>
        </w:rPr>
        <w:t>恩施许家坪机场</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cs="Times New Roman"/>
          <w:sz w:val="24"/>
          <w:lang w:val="en-US" w:eastAsia="zh-CN"/>
        </w:rPr>
      </w:pPr>
      <w:r>
        <w:rPr>
          <w:rFonts w:hint="eastAsia" w:ascii="宋体" w:hAnsi="宋体" w:cs="Times New Roman"/>
          <w:sz w:val="24"/>
        </w:rPr>
        <w:t>联系人：</w:t>
      </w:r>
      <w:r>
        <w:rPr>
          <w:rFonts w:hint="eastAsia" w:ascii="宋体" w:hAnsi="宋体" w:cs="Times New Roman"/>
          <w:sz w:val="24"/>
          <w:lang w:val="en-US" w:eastAsia="zh-CN"/>
        </w:rPr>
        <w:t xml:space="preserve">李主任              </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cs="Times New Roman"/>
          <w:sz w:val="24"/>
        </w:rPr>
      </w:pPr>
      <w:r>
        <w:rPr>
          <w:rFonts w:hint="eastAsia" w:ascii="宋体" w:hAnsi="宋体" w:cs="Times New Roman"/>
          <w:sz w:val="24"/>
        </w:rPr>
        <w:t>电话：19971798803</w:t>
      </w:r>
    </w:p>
    <w:p>
      <w:pPr>
        <w:pStyle w:val="48"/>
        <w:keepNext w:val="0"/>
        <w:keepLines w:val="0"/>
        <w:pageBreakBefore w:val="0"/>
        <w:widowControl w:val="0"/>
        <w:kinsoku/>
        <w:wordWrap/>
        <w:overflowPunct/>
        <w:topLinePunct w:val="0"/>
        <w:autoSpaceDE/>
        <w:autoSpaceDN/>
        <w:bidi w:val="0"/>
        <w:adjustRightInd w:val="0"/>
        <w:snapToGrid w:val="0"/>
        <w:spacing w:before="0" w:after="0" w:line="360" w:lineRule="auto"/>
        <w:ind w:left="-372" w:leftChars="-177" w:firstLine="0" w:firstLineChars="0"/>
        <w:jc w:val="left"/>
        <w:textAlignment w:val="auto"/>
        <w:rPr>
          <w:rFonts w:hint="eastAsia" w:ascii="宋体" w:hAnsi="宋体" w:cs="Times New Roman"/>
          <w:b/>
          <w:szCs w:val="24"/>
          <w:lang w:val="en-US" w:eastAsia="zh-CN"/>
        </w:rPr>
      </w:pPr>
      <w:r>
        <w:rPr>
          <w:rFonts w:hint="eastAsia" w:ascii="宋体" w:hAnsi="宋体" w:cs="Times New Roman"/>
          <w:b/>
          <w:szCs w:val="24"/>
          <w:lang w:val="en-US" w:eastAsia="zh-CN"/>
        </w:rPr>
        <w:t>五、信息发布媒体</w:t>
      </w:r>
    </w:p>
    <w:p>
      <w:pPr>
        <w:autoSpaceDE w:val="0"/>
        <w:autoSpaceDN w:val="0"/>
        <w:spacing w:line="360" w:lineRule="auto"/>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恩施机场公司官网、</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湖北机场集团</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内外</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网。</w:t>
      </w:r>
    </w:p>
    <w:p>
      <w:pPr>
        <w:pStyle w:val="48"/>
        <w:keepNext w:val="0"/>
        <w:keepLines w:val="0"/>
        <w:pageBreakBefore w:val="0"/>
        <w:widowControl w:val="0"/>
        <w:kinsoku/>
        <w:wordWrap/>
        <w:overflowPunct/>
        <w:topLinePunct w:val="0"/>
        <w:bidi w:val="0"/>
        <w:adjustRightInd w:val="0"/>
        <w:snapToGrid w:val="0"/>
        <w:spacing w:before="0" w:after="0" w:line="360" w:lineRule="auto"/>
        <w:jc w:val="left"/>
        <w:textAlignment w:val="auto"/>
        <w:rPr>
          <w:rFonts w:ascii="宋体" w:cs="宋体"/>
          <w:szCs w:val="24"/>
        </w:rPr>
      </w:pPr>
    </w:p>
    <w:p>
      <w:pPr>
        <w:autoSpaceDE w:val="0"/>
        <w:autoSpaceDN w:val="0"/>
        <w:spacing w:line="360" w:lineRule="auto"/>
        <w:ind w:left="479" w:leftChars="228"/>
        <w:jc w:val="righ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ascii="宋体" w:hAnsi="宋体"/>
          <w:szCs w:val="24"/>
        </w:rPr>
        <w:t xml:space="preserve">                                     </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湖北机场集团</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恩施机场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有限</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责任</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公司</w:t>
      </w:r>
    </w:p>
    <w:p>
      <w:pPr>
        <w:pStyle w:val="48"/>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hAnsi="宋体"/>
          <w:szCs w:val="24"/>
        </w:rPr>
      </w:pPr>
      <w:r>
        <w:rPr>
          <w:rFonts w:ascii="宋体" w:hAnsi="宋体"/>
          <w:szCs w:val="24"/>
        </w:rPr>
        <w:t xml:space="preserve">                                          </w:t>
      </w:r>
      <w:r>
        <w:rPr>
          <w:rFonts w:hint="eastAsia" w:ascii="宋体" w:hAnsi="宋体"/>
          <w:szCs w:val="24"/>
        </w:rPr>
        <w:t xml:space="preserve">          2024年</w:t>
      </w:r>
      <w:r>
        <w:rPr>
          <w:rFonts w:hint="eastAsia" w:ascii="宋体" w:hAnsi="宋体"/>
          <w:szCs w:val="24"/>
          <w:lang w:val="en-US" w:eastAsia="zh-CN"/>
        </w:rPr>
        <w:t>09</w:t>
      </w:r>
      <w:r>
        <w:rPr>
          <w:rFonts w:hint="eastAsia" w:ascii="宋体" w:hAnsi="宋体"/>
          <w:szCs w:val="24"/>
        </w:rPr>
        <w:t>月</w:t>
      </w:r>
      <w:r>
        <w:rPr>
          <w:rFonts w:hint="eastAsia" w:ascii="宋体" w:hAnsi="宋体"/>
          <w:szCs w:val="24"/>
          <w:lang w:val="en-US" w:eastAsia="zh-CN"/>
        </w:rPr>
        <w:t>30</w:t>
      </w:r>
      <w:r>
        <w:rPr>
          <w:rFonts w:hint="eastAsia" w:ascii="宋体" w:hAnsi="宋体"/>
          <w:szCs w:val="24"/>
        </w:rPr>
        <w:t>日</w:t>
      </w:r>
    </w:p>
    <w:p>
      <w:pPr>
        <w:spacing w:line="440" w:lineRule="exact"/>
        <w:rPr>
          <w:rFonts w:ascii="宋体" w:hAnsi="宋体"/>
          <w:szCs w:val="24"/>
        </w:rPr>
      </w:pPr>
      <w:r>
        <w:rPr>
          <w:rFonts w:hint="eastAsia" w:ascii="宋体" w:hAnsi="宋体"/>
          <w:szCs w:val="24"/>
        </w:rPr>
        <w:br w:type="page"/>
      </w:r>
    </w:p>
    <w:p>
      <w:pPr>
        <w:numPr>
          <w:ilvl w:val="0"/>
          <w:numId w:val="5"/>
        </w:numPr>
        <w:spacing w:line="276" w:lineRule="auto"/>
        <w:jc w:val="center"/>
        <w:outlineLvl w:val="0"/>
        <w:rPr>
          <w:b/>
          <w:bCs/>
          <w:sz w:val="36"/>
          <w:szCs w:val="36"/>
        </w:rPr>
      </w:pPr>
      <w:bookmarkStart w:id="19" w:name="_Toc4364"/>
      <w:bookmarkStart w:id="20" w:name="_Toc12600"/>
      <w:r>
        <w:rPr>
          <w:rFonts w:hint="eastAsia"/>
          <w:b/>
          <w:bCs/>
          <w:sz w:val="36"/>
          <w:szCs w:val="36"/>
        </w:rPr>
        <w:t>磋商谈判须知</w:t>
      </w:r>
      <w:bookmarkEnd w:id="19"/>
      <w:bookmarkEnd w:id="20"/>
    </w:p>
    <w:p>
      <w:pPr>
        <w:adjustRightInd w:val="0"/>
        <w:spacing w:line="276" w:lineRule="auto"/>
        <w:ind w:firstLine="420" w:firstLineChars="200"/>
        <w:rPr>
          <w:rFonts w:ascii="宋体" w:hAnsi="宋体" w:cs="宋体"/>
          <w:bCs/>
        </w:rPr>
      </w:pPr>
      <w:r>
        <w:rPr>
          <w:rFonts w:hint="eastAsia" w:ascii="宋体" w:hAnsi="宋体" w:cs="宋体"/>
          <w:bCs/>
        </w:rPr>
        <w:t>供应商应仔细阅读本《供应商须知前附表》，下表所列内容是对“供应商须知”的具体补充和说明。如有矛盾，应以本表为准。</w:t>
      </w:r>
    </w:p>
    <w:p>
      <w:pPr>
        <w:tabs>
          <w:tab w:val="center" w:pos="4153"/>
          <w:tab w:val="right" w:pos="8306"/>
        </w:tabs>
        <w:snapToGrid w:val="0"/>
        <w:spacing w:line="276" w:lineRule="auto"/>
        <w:jc w:val="center"/>
        <w:outlineLvl w:val="1"/>
        <w:rPr>
          <w:rFonts w:ascii="宋体" w:hAnsi="宋体"/>
          <w:b/>
          <w:kern w:val="0"/>
          <w:sz w:val="22"/>
          <w:lang w:val="zh-CN"/>
        </w:rPr>
      </w:pPr>
      <w:r>
        <w:rPr>
          <w:rFonts w:hint="eastAsia" w:ascii="宋体" w:hAnsi="宋体" w:cs="宋体"/>
          <w:b/>
          <w:bCs/>
          <w:kern w:val="0"/>
          <w:sz w:val="22"/>
        </w:rPr>
        <w:t>《供应商须知前附表》</w:t>
      </w:r>
    </w:p>
    <w:tbl>
      <w:tblPr>
        <w:tblStyle w:val="37"/>
        <w:tblW w:w="8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2210"/>
        <w:gridCol w:w="5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b/>
                <w:sz w:val="22"/>
                <w:szCs w:val="22"/>
                <w:lang w:val="zh-CN"/>
              </w:rPr>
            </w:pPr>
            <w:r>
              <w:rPr>
                <w:rFonts w:hint="eastAsia" w:ascii="宋体" w:hAnsi="宋体"/>
                <w:b/>
                <w:sz w:val="22"/>
                <w:szCs w:val="22"/>
                <w:lang w:val="zh-CN"/>
              </w:rPr>
              <w:t>条款号</w:t>
            </w:r>
          </w:p>
        </w:tc>
        <w:tc>
          <w:tcPr>
            <w:tcW w:w="2210" w:type="dxa"/>
            <w:tcBorders>
              <w:top w:val="single" w:color="auto" w:sz="12" w:space="0"/>
              <w:left w:val="single" w:color="auto" w:sz="12" w:space="0"/>
              <w:bottom w:val="single" w:color="auto" w:sz="6" w:space="0"/>
              <w:right w:val="single" w:color="auto" w:sz="6" w:space="0"/>
            </w:tcBorders>
            <w:shd w:val="clear" w:color="auto" w:fill="C0C0C0"/>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b/>
                <w:sz w:val="22"/>
                <w:szCs w:val="22"/>
                <w:lang w:val="zh-CN"/>
              </w:rPr>
            </w:pPr>
            <w:r>
              <w:rPr>
                <w:rFonts w:hint="eastAsia" w:ascii="宋体" w:hAnsi="宋体"/>
                <w:b/>
                <w:sz w:val="22"/>
                <w:szCs w:val="22"/>
                <w:lang w:val="zh-CN"/>
              </w:rPr>
              <w:t>条款名称</w:t>
            </w:r>
          </w:p>
        </w:tc>
        <w:tc>
          <w:tcPr>
            <w:tcW w:w="5936" w:type="dxa"/>
            <w:tcBorders>
              <w:top w:val="single" w:color="auto" w:sz="12" w:space="0"/>
              <w:left w:val="single" w:color="auto" w:sz="6" w:space="0"/>
              <w:bottom w:val="single" w:color="auto" w:sz="6" w:space="0"/>
              <w:right w:val="single" w:color="auto" w:sz="12" w:space="0"/>
            </w:tcBorders>
            <w:shd w:val="clear" w:color="auto" w:fill="C0C0C0"/>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b/>
                <w:sz w:val="22"/>
                <w:szCs w:val="22"/>
                <w:lang w:val="zh-CN"/>
              </w:rPr>
            </w:pPr>
            <w:r>
              <w:rPr>
                <w:rFonts w:hint="eastAsia" w:ascii="宋体" w:hAnsi="宋体"/>
                <w:b/>
                <w:sz w:val="22"/>
                <w:szCs w:val="22"/>
                <w:lang w:val="zh-CN"/>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default" w:ascii="宋体" w:hAnsi="宋体" w:cs="宋体"/>
                <w:sz w:val="22"/>
                <w:szCs w:val="22"/>
                <w:lang w:val="zh-CN"/>
              </w:rPr>
            </w:pPr>
            <w:r>
              <w:rPr>
                <w:rFonts w:hint="eastAsia" w:ascii="宋体" w:hAnsi="宋体" w:cs="宋体"/>
                <w:sz w:val="22"/>
                <w:szCs w:val="22"/>
                <w:lang w:val="zh-CN"/>
              </w:rPr>
              <w:t>2.1</w:t>
            </w:r>
          </w:p>
        </w:tc>
        <w:tc>
          <w:tcPr>
            <w:tcW w:w="2210"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sz w:val="22"/>
                <w:szCs w:val="22"/>
                <w:lang w:val="zh-CN"/>
              </w:rPr>
            </w:pPr>
            <w:r>
              <w:rPr>
                <w:rFonts w:hint="eastAsia" w:ascii="宋体" w:hAnsi="宋体" w:cs="宋体"/>
                <w:sz w:val="22"/>
                <w:szCs w:val="22"/>
                <w:lang w:val="zh-CN"/>
              </w:rPr>
              <w:t>采购人</w:t>
            </w:r>
          </w:p>
        </w:tc>
        <w:tc>
          <w:tcPr>
            <w:tcW w:w="5936"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湖北机场集团恩施机场有限责任公司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eastAsia" w:ascii="宋体" w:hAnsi="宋体" w:eastAsia="宋体" w:cs="宋体"/>
                <w:sz w:val="22"/>
                <w:szCs w:val="22"/>
                <w:lang w:val="en-US" w:eastAsia="zh-CN"/>
              </w:rPr>
            </w:pPr>
            <w:r>
              <w:rPr>
                <w:rFonts w:hint="eastAsia" w:ascii="宋体" w:hAnsi="宋体" w:cs="宋体"/>
                <w:sz w:val="22"/>
                <w:szCs w:val="22"/>
                <w:lang w:val="zh-CN"/>
              </w:rPr>
              <w:t>2.</w:t>
            </w:r>
            <w:r>
              <w:rPr>
                <w:rFonts w:hint="eastAsia" w:ascii="宋体" w:hAnsi="宋体" w:cs="宋体"/>
                <w:sz w:val="22"/>
                <w:szCs w:val="22"/>
                <w:lang w:val="en-US" w:eastAsia="zh-CN"/>
              </w:rPr>
              <w:t>3</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sz w:val="22"/>
                <w:szCs w:val="22"/>
                <w:lang w:val="zh-CN"/>
              </w:rPr>
            </w:pPr>
            <w:r>
              <w:rPr>
                <w:rFonts w:hint="eastAsia" w:ascii="宋体" w:hAnsi="宋体" w:cs="宋体"/>
                <w:sz w:val="22"/>
                <w:szCs w:val="22"/>
                <w:lang w:val="zh-CN"/>
              </w:rPr>
              <w:t>磋商供应商</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详见第一章第四条供应商相关要求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default" w:ascii="宋体" w:hAnsi="宋体" w:cs="宋体"/>
                <w:sz w:val="22"/>
                <w:szCs w:val="22"/>
                <w:lang w:val="zh-CN"/>
              </w:rPr>
            </w:pPr>
            <w:r>
              <w:rPr>
                <w:rFonts w:hint="eastAsia" w:ascii="宋体" w:hAnsi="宋体" w:cs="宋体"/>
                <w:sz w:val="22"/>
                <w:szCs w:val="22"/>
                <w:lang w:val="zh-CN"/>
              </w:rPr>
              <w:t>3</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sz w:val="22"/>
                <w:szCs w:val="22"/>
                <w:lang w:val="zh-CN"/>
              </w:rPr>
            </w:pPr>
            <w:r>
              <w:rPr>
                <w:rFonts w:hint="eastAsia" w:ascii="宋体" w:hAnsi="宋体" w:cs="宋体"/>
                <w:sz w:val="22"/>
                <w:szCs w:val="22"/>
                <w:lang w:val="zh-CN"/>
              </w:rPr>
              <w:t>项目属性</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default" w:ascii="宋体" w:hAnsi="宋体" w:cs="宋体"/>
                <w:sz w:val="22"/>
                <w:szCs w:val="22"/>
                <w:lang w:val="zh-CN"/>
              </w:rPr>
            </w:pPr>
            <w:r>
              <w:rPr>
                <w:rFonts w:hint="eastAsia" w:ascii="宋体" w:hAnsi="宋体" w:cs="宋体"/>
                <w:sz w:val="22"/>
                <w:szCs w:val="22"/>
                <w:lang w:val="en-US" w:eastAsia="zh-CN"/>
              </w:rPr>
              <w:t>4</w:t>
            </w:r>
            <w:r>
              <w:rPr>
                <w:rFonts w:hint="eastAsia" w:ascii="宋体" w:hAnsi="宋体" w:cs="宋体"/>
                <w:sz w:val="22"/>
                <w:szCs w:val="22"/>
                <w:lang w:val="zh-CN"/>
              </w:rPr>
              <w:t>.1</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cs="宋体"/>
                <w:sz w:val="22"/>
                <w:szCs w:val="22"/>
                <w:lang w:val="zh-CN"/>
              </w:rPr>
            </w:pPr>
            <w:r>
              <w:rPr>
                <w:rFonts w:hint="eastAsia" w:ascii="宋体" w:hAnsi="宋体"/>
                <w:sz w:val="22"/>
                <w:szCs w:val="22"/>
                <w:lang w:val="zh-CN"/>
              </w:rPr>
              <w:t>磋商保证金</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widowControl/>
              <w:suppressLineNumbers w:val="0"/>
              <w:adjustRightInd/>
              <w:snapToGrid/>
              <w:spacing w:before="0" w:beforeAutospacing="0" w:after="0" w:afterAutospacing="0" w:line="240" w:lineRule="auto"/>
              <w:ind w:left="0" w:right="0" w:firstLine="440" w:firstLineChars="200"/>
              <w:jc w:val="left"/>
              <w:rPr>
                <w:rFonts w:hint="default" w:ascii="宋体" w:hAnsi="宋体" w:cs="宋体"/>
                <w:sz w:val="22"/>
                <w:szCs w:val="22"/>
                <w:lang w:val="zh-CN"/>
              </w:rPr>
            </w:pPr>
            <w:r>
              <w:rPr>
                <w:rFonts w:hint="eastAsia" w:ascii="宋体" w:hAnsi="宋体"/>
                <w:sz w:val="22"/>
                <w:szCs w:val="22"/>
                <w:lang w:eastAsia="zh-CN"/>
              </w:rPr>
              <w:t>☑</w:t>
            </w:r>
            <w:r>
              <w:rPr>
                <w:rFonts w:hint="eastAsia" w:ascii="宋体" w:hAnsi="宋体" w:cs="宋体"/>
                <w:sz w:val="22"/>
                <w:szCs w:val="22"/>
                <w:lang w:val="zh-CN"/>
              </w:rPr>
              <w:t>不提交</w:t>
            </w:r>
          </w:p>
          <w:p>
            <w:pPr>
              <w:keepNext w:val="0"/>
              <w:keepLines w:val="0"/>
              <w:widowControl/>
              <w:suppressLineNumbers w:val="0"/>
              <w:adjustRightInd/>
              <w:snapToGrid/>
              <w:spacing w:before="0" w:beforeAutospacing="0" w:after="0" w:afterAutospacing="0" w:line="240" w:lineRule="auto"/>
              <w:ind w:left="0" w:right="0" w:firstLine="440" w:firstLineChars="200"/>
              <w:jc w:val="left"/>
              <w:rPr>
                <w:rFonts w:hint="default" w:ascii="宋体" w:hAnsi="宋体" w:cs="宋体"/>
                <w:sz w:val="22"/>
                <w:szCs w:val="22"/>
                <w:lang w:val="zh-CN"/>
              </w:rPr>
            </w:pPr>
            <w:r>
              <w:rPr>
                <w:rFonts w:hint="eastAsia" w:ascii="宋体" w:hAnsi="宋体"/>
                <w:sz w:val="22"/>
                <w:szCs w:val="22"/>
              </w:rPr>
              <w:sym w:font="Wingdings 2" w:char="00A3"/>
            </w:r>
            <w:r>
              <w:rPr>
                <w:rFonts w:hint="eastAsia" w:ascii="宋体" w:hAnsi="宋体" w:cs="宋体"/>
                <w:sz w:val="22"/>
                <w:szCs w:val="22"/>
                <w:lang w:val="zh-CN"/>
              </w:rPr>
              <w:t>提交，磋商</w:t>
            </w:r>
            <w:r>
              <w:rPr>
                <w:rFonts w:hint="eastAsia" w:ascii="宋体" w:hAnsi="宋体" w:cs="宋体"/>
                <w:snapToGrid w:val="0"/>
                <w:sz w:val="22"/>
                <w:szCs w:val="22"/>
                <w:lang w:val="zh-CN"/>
              </w:rPr>
              <w:t>保证金金额：</w:t>
            </w:r>
            <w:r>
              <w:rPr>
                <w:rFonts w:hint="eastAsia" w:ascii="宋体" w:hAnsi="宋体" w:cs="宋体"/>
                <w:snapToGrid w:val="0"/>
                <w:sz w:val="22"/>
                <w:szCs w:val="22"/>
                <w:u w:val="single"/>
                <w:lang w:val="en-US" w:eastAsia="zh-CN"/>
              </w:rPr>
              <w:t xml:space="preserve">   </w:t>
            </w:r>
            <w:r>
              <w:rPr>
                <w:rFonts w:hint="eastAsia" w:ascii="宋体" w:hAnsi="宋体" w:cs="宋体"/>
                <w:sz w:val="22"/>
                <w:szCs w:val="22"/>
                <w:u w:val="single"/>
              </w:rPr>
              <w:t>元（￥</w:t>
            </w:r>
            <w:r>
              <w:rPr>
                <w:rFonts w:hint="eastAsia" w:ascii="宋体" w:hAnsi="宋体" w:cs="宋体"/>
                <w:sz w:val="22"/>
                <w:szCs w:val="22"/>
                <w:u w:val="single"/>
                <w:lang w:val="en-US" w:eastAsia="zh-CN"/>
              </w:rPr>
              <w:t>0</w:t>
            </w:r>
            <w:r>
              <w:rPr>
                <w:rFonts w:hint="eastAsia" w:ascii="宋体" w:hAnsi="宋体" w:cs="宋体"/>
                <w:sz w:val="22"/>
                <w:szCs w:val="22"/>
                <w:u w:val="single"/>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sz w:val="22"/>
                <w:szCs w:val="22"/>
                <w:lang w:eastAsia="zh-CN"/>
              </w:rPr>
            </w:pPr>
            <w:r>
              <w:rPr>
                <w:rFonts w:hint="eastAsia" w:ascii="宋体" w:hAnsi="宋体"/>
                <w:sz w:val="22"/>
                <w:szCs w:val="22"/>
                <w:lang w:val="en-US" w:eastAsia="zh-CN"/>
              </w:rPr>
              <w:t>7</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cs="宋体"/>
                <w:sz w:val="22"/>
                <w:szCs w:val="22"/>
                <w:lang w:val="zh-CN"/>
              </w:rPr>
            </w:pPr>
            <w:r>
              <w:rPr>
                <w:rFonts w:hint="eastAsia" w:ascii="宋体" w:hAnsi="宋体"/>
                <w:sz w:val="22"/>
                <w:szCs w:val="22"/>
                <w:lang w:val="zh-CN"/>
              </w:rPr>
              <w:t>响应文件有效期</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rPr>
            </w:pPr>
            <w:r>
              <w:rPr>
                <w:rFonts w:hint="eastAsia" w:ascii="宋体" w:hAnsi="宋体" w:cs="宋体"/>
                <w:sz w:val="22"/>
                <w:szCs w:val="22"/>
                <w:lang w:val="zh-CN"/>
              </w:rPr>
              <w:t>递交响应文件截止日期起</w:t>
            </w:r>
            <w:r>
              <w:rPr>
                <w:rFonts w:hint="eastAsia" w:ascii="宋体" w:hAnsi="宋体" w:cs="宋体"/>
                <w:sz w:val="22"/>
                <w:szCs w:val="22"/>
                <w:u w:val="single"/>
                <w:lang w:val="zh-CN"/>
              </w:rPr>
              <w:t xml:space="preserve"> 90 </w:t>
            </w:r>
            <w:r>
              <w:rPr>
                <w:rFonts w:hint="eastAsia" w:ascii="宋体" w:hAnsi="宋体" w:cs="宋体"/>
                <w:sz w:val="22"/>
                <w:szCs w:val="22"/>
                <w:lang w:val="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sz w:val="22"/>
                <w:szCs w:val="22"/>
                <w:lang w:eastAsia="zh-CN"/>
              </w:rPr>
            </w:pPr>
            <w:r>
              <w:rPr>
                <w:rFonts w:hint="eastAsia" w:ascii="宋体" w:hAnsi="宋体"/>
                <w:sz w:val="22"/>
                <w:szCs w:val="22"/>
                <w:lang w:val="en-US" w:eastAsia="zh-CN"/>
              </w:rPr>
              <w:t>9</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sz w:val="22"/>
                <w:szCs w:val="22"/>
                <w:lang w:val="zh-CN"/>
              </w:rPr>
            </w:pPr>
            <w:r>
              <w:rPr>
                <w:rFonts w:hint="eastAsia" w:ascii="宋体" w:hAnsi="宋体" w:cs="宋体"/>
                <w:sz w:val="22"/>
                <w:szCs w:val="22"/>
                <w:lang w:val="zh-CN"/>
              </w:rPr>
              <w:t>报价方式</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按文件要求报价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eastAsia" w:ascii="宋体" w:hAnsi="宋体" w:eastAsia="宋体" w:cs="宋体"/>
                <w:sz w:val="22"/>
                <w:szCs w:val="22"/>
                <w:lang w:val="en-US" w:eastAsia="zh-CN"/>
              </w:rPr>
            </w:pPr>
            <w:r>
              <w:rPr>
                <w:rFonts w:hint="eastAsia" w:ascii="宋体" w:hAnsi="宋体" w:cs="宋体"/>
                <w:sz w:val="22"/>
                <w:szCs w:val="22"/>
              </w:rPr>
              <w:t>1</w:t>
            </w:r>
            <w:r>
              <w:rPr>
                <w:rFonts w:hint="eastAsia" w:ascii="宋体" w:hAnsi="宋体" w:cs="宋体"/>
                <w:sz w:val="22"/>
                <w:szCs w:val="22"/>
                <w:lang w:val="en-US" w:eastAsia="zh-CN"/>
              </w:rPr>
              <w:t>2</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sz w:val="22"/>
                <w:szCs w:val="22"/>
                <w:lang w:val="zh-CN"/>
              </w:rPr>
            </w:pPr>
            <w:r>
              <w:rPr>
                <w:rFonts w:hint="eastAsia" w:ascii="宋体" w:hAnsi="宋体"/>
                <w:sz w:val="22"/>
                <w:szCs w:val="22"/>
                <w:lang w:val="zh-CN"/>
              </w:rPr>
              <w:t>响应文件形式</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kern w:val="0"/>
                <w:sz w:val="22"/>
                <w:szCs w:val="22"/>
                <w:lang w:val="zh-CN"/>
              </w:rPr>
              <w:t>（</w:t>
            </w:r>
            <w:r>
              <w:rPr>
                <w:rFonts w:hint="eastAsia" w:ascii="宋体" w:hAnsi="宋体" w:cs="宋体"/>
                <w:sz w:val="22"/>
                <w:szCs w:val="22"/>
                <w:lang w:val="zh-CN"/>
              </w:rPr>
              <w:t>1）纸质版：正本</w:t>
            </w:r>
            <w:r>
              <w:rPr>
                <w:rFonts w:hint="eastAsia" w:ascii="宋体" w:hAnsi="宋体" w:cs="宋体"/>
                <w:sz w:val="22"/>
                <w:szCs w:val="22"/>
                <w:u w:val="single"/>
                <w:lang w:val="zh-CN"/>
              </w:rPr>
              <w:t xml:space="preserve"> 1 </w:t>
            </w:r>
            <w:r>
              <w:rPr>
                <w:rFonts w:hint="eastAsia" w:ascii="宋体" w:hAnsi="宋体" w:cs="宋体"/>
                <w:sz w:val="22"/>
                <w:szCs w:val="22"/>
                <w:lang w:val="zh-CN"/>
              </w:rPr>
              <w:t>份；副本</w:t>
            </w:r>
            <w:r>
              <w:rPr>
                <w:rFonts w:hint="eastAsia" w:ascii="宋体" w:hAnsi="宋体" w:cs="宋体"/>
                <w:sz w:val="22"/>
                <w:szCs w:val="22"/>
                <w:u w:val="single"/>
                <w:lang w:val="zh-CN"/>
              </w:rPr>
              <w:t xml:space="preserve"> 2 </w:t>
            </w:r>
            <w:r>
              <w:rPr>
                <w:rFonts w:hint="eastAsia" w:ascii="宋体" w:hAnsi="宋体" w:cs="宋体"/>
                <w:sz w:val="22"/>
                <w:szCs w:val="22"/>
                <w:lang w:val="zh-CN"/>
              </w:rPr>
              <w:t>份，副本为正本的复印件；</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（2）电子版：未加密PDF格式，电子版内容应与响应文件正本一致；份数：</w:t>
            </w:r>
            <w:r>
              <w:rPr>
                <w:rFonts w:hint="eastAsia" w:ascii="宋体" w:hAnsi="宋体" w:cs="宋体"/>
                <w:sz w:val="22"/>
                <w:szCs w:val="22"/>
                <w:u w:val="single"/>
                <w:lang w:val="zh-CN"/>
              </w:rPr>
              <w:t>1份</w:t>
            </w:r>
            <w:r>
              <w:rPr>
                <w:rFonts w:hint="eastAsia" w:ascii="宋体" w:hAnsi="宋体" w:cs="宋体"/>
                <w:sz w:val="22"/>
                <w:szCs w:val="22"/>
                <w:lang w:val="zh-CN"/>
              </w:rPr>
              <w:t>；形式：</w:t>
            </w:r>
            <w:r>
              <w:rPr>
                <w:rFonts w:hint="eastAsia" w:ascii="宋体" w:hAnsi="宋体" w:cs="宋体"/>
                <w:sz w:val="22"/>
                <w:szCs w:val="22"/>
                <w:u w:val="single"/>
                <w:lang w:val="zh-CN"/>
              </w:rPr>
              <w:t>U 盘</w:t>
            </w:r>
            <w:r>
              <w:rPr>
                <w:rFonts w:hint="eastAsia" w:ascii="宋体" w:hAnsi="宋体" w:cs="宋体"/>
                <w:sz w:val="22"/>
                <w:szCs w:val="22"/>
                <w:lang w:val="zh-CN"/>
              </w:rPr>
              <w:t>。</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3）为方便评审，供应商应将《报价表》原件及《交纳保证金的银行凭证》（若有交纳保证金要求的）各两份一并装入一个信封，单独密封提交，并在信封上标明“采购项目编号/包号、项目名称、报价表”字样。</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响应文件密封封套上应载明的信息：</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u w:val="single"/>
                <w:lang w:val="zh-CN"/>
              </w:rPr>
              <w:t xml:space="preserve">                  </w:t>
            </w:r>
            <w:r>
              <w:rPr>
                <w:rFonts w:hint="eastAsia" w:ascii="宋体" w:hAnsi="宋体" w:cs="宋体"/>
                <w:sz w:val="22"/>
                <w:szCs w:val="22"/>
                <w:lang w:val="zh-CN"/>
              </w:rPr>
              <w:t>（项目名称）响应文件</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项目编号：</w:t>
            </w:r>
            <w:r>
              <w:rPr>
                <w:rFonts w:hint="eastAsia" w:ascii="宋体" w:hAnsi="宋体" w:cs="宋体"/>
                <w:sz w:val="22"/>
                <w:szCs w:val="22"/>
                <w:u w:val="single"/>
                <w:lang w:val="zh-CN"/>
              </w:rPr>
              <w:t xml:space="preserve">                  </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sz w:val="22"/>
                <w:szCs w:val="22"/>
                <w:lang w:val="zh-CN"/>
              </w:rPr>
            </w:pPr>
            <w:r>
              <w:rPr>
                <w:rFonts w:hint="eastAsia" w:ascii="宋体" w:hAnsi="宋体" w:cs="宋体"/>
                <w:sz w:val="22"/>
                <w:szCs w:val="22"/>
                <w:lang w:val="zh-CN"/>
              </w:rPr>
              <w:t>在</w:t>
            </w:r>
            <w:r>
              <w:rPr>
                <w:rFonts w:hint="eastAsia" w:ascii="宋体" w:hAnsi="宋体" w:cs="宋体"/>
                <w:sz w:val="22"/>
                <w:szCs w:val="22"/>
                <w:u w:val="single"/>
                <w:lang w:val="zh-CN"/>
              </w:rPr>
              <w:t xml:space="preserve">    </w:t>
            </w:r>
            <w:r>
              <w:rPr>
                <w:rFonts w:hint="eastAsia" w:ascii="宋体" w:hAnsi="宋体" w:cs="宋体"/>
                <w:sz w:val="22"/>
                <w:szCs w:val="22"/>
                <w:lang w:val="zh-CN"/>
              </w:rPr>
              <w:t>年</w:t>
            </w:r>
            <w:r>
              <w:rPr>
                <w:rFonts w:hint="eastAsia" w:ascii="宋体" w:hAnsi="宋体" w:cs="宋体"/>
                <w:sz w:val="22"/>
                <w:szCs w:val="22"/>
                <w:u w:val="single"/>
                <w:lang w:val="zh-CN"/>
              </w:rPr>
              <w:t xml:space="preserve">  </w:t>
            </w:r>
            <w:r>
              <w:rPr>
                <w:rFonts w:hint="eastAsia" w:ascii="宋体" w:hAnsi="宋体" w:cs="宋体"/>
                <w:sz w:val="22"/>
                <w:szCs w:val="22"/>
                <w:lang w:val="zh-CN"/>
              </w:rPr>
              <w:t>月</w:t>
            </w:r>
            <w:r>
              <w:rPr>
                <w:rFonts w:hint="eastAsia" w:ascii="宋体" w:hAnsi="宋体" w:cs="宋体"/>
                <w:sz w:val="22"/>
                <w:szCs w:val="22"/>
                <w:u w:val="single"/>
                <w:lang w:val="zh-CN"/>
              </w:rPr>
              <w:t xml:space="preserve">  </w:t>
            </w:r>
            <w:r>
              <w:rPr>
                <w:rFonts w:hint="eastAsia" w:ascii="宋体" w:hAnsi="宋体" w:cs="宋体"/>
                <w:sz w:val="22"/>
                <w:szCs w:val="22"/>
                <w:lang w:val="zh-CN"/>
              </w:rPr>
              <w:t>日</w:t>
            </w:r>
            <w:r>
              <w:rPr>
                <w:rFonts w:hint="eastAsia" w:ascii="宋体" w:hAnsi="宋体" w:cs="宋体"/>
                <w:sz w:val="22"/>
                <w:szCs w:val="22"/>
                <w:u w:val="single"/>
                <w:lang w:val="zh-CN"/>
              </w:rPr>
              <w:t xml:space="preserve">  </w:t>
            </w:r>
            <w:r>
              <w:rPr>
                <w:rFonts w:hint="eastAsia" w:ascii="宋体" w:hAnsi="宋体" w:cs="宋体"/>
                <w:sz w:val="22"/>
                <w:szCs w:val="22"/>
                <w:lang w:val="zh-CN"/>
              </w:rPr>
              <w:t>时</w:t>
            </w:r>
            <w:r>
              <w:rPr>
                <w:rFonts w:hint="eastAsia" w:ascii="宋体" w:hAnsi="宋体" w:cs="宋体"/>
                <w:sz w:val="22"/>
                <w:szCs w:val="22"/>
                <w:u w:val="single"/>
                <w:lang w:val="zh-CN"/>
              </w:rPr>
              <w:t xml:space="preserve">  </w:t>
            </w:r>
            <w:r>
              <w:rPr>
                <w:rFonts w:hint="eastAsia" w:ascii="宋体" w:hAnsi="宋体" w:cs="宋体"/>
                <w:sz w:val="22"/>
                <w:szCs w:val="22"/>
                <w:lang w:val="zh-CN"/>
              </w:rPr>
              <w:t>分之前不得启封</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rPr>
            </w:pPr>
            <w:r>
              <w:rPr>
                <w:rFonts w:hint="eastAsia" w:ascii="宋体" w:hAnsi="宋体" w:cs="宋体"/>
                <w:sz w:val="22"/>
                <w:szCs w:val="22"/>
                <w:lang w:val="zh-CN"/>
              </w:rPr>
              <w:t>供应商名称：</w:t>
            </w:r>
            <w:r>
              <w:rPr>
                <w:rFonts w:hint="eastAsia" w:ascii="宋体" w:hAnsi="宋体" w:cs="宋体"/>
                <w:sz w:val="22"/>
                <w:szCs w:val="22"/>
                <w:u w:val="single"/>
                <w:lang w:val="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default" w:ascii="宋体" w:hAnsi="宋体"/>
                <w:sz w:val="22"/>
                <w:szCs w:val="22"/>
                <w:lang w:val="zh-CN"/>
              </w:rPr>
            </w:pPr>
            <w:r>
              <w:rPr>
                <w:rFonts w:hint="eastAsia" w:ascii="宋体" w:hAnsi="宋体"/>
                <w:sz w:val="22"/>
                <w:szCs w:val="22"/>
              </w:rPr>
              <w:t>1</w:t>
            </w:r>
            <w:r>
              <w:rPr>
                <w:rFonts w:hint="eastAsia" w:ascii="宋体" w:hAnsi="宋体"/>
                <w:sz w:val="22"/>
                <w:szCs w:val="22"/>
                <w:lang w:val="en-US" w:eastAsia="zh-CN"/>
              </w:rPr>
              <w:t>3</w:t>
            </w:r>
            <w:r>
              <w:rPr>
                <w:rFonts w:hint="eastAsia" w:ascii="宋体" w:hAnsi="宋体"/>
                <w:sz w:val="22"/>
                <w:szCs w:val="22"/>
              </w:rPr>
              <w:t>.1</w:t>
            </w:r>
          </w:p>
        </w:tc>
        <w:tc>
          <w:tcPr>
            <w:tcW w:w="2210"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sz w:val="22"/>
                <w:szCs w:val="22"/>
                <w:lang w:val="zh-CN"/>
              </w:rPr>
            </w:pPr>
            <w:r>
              <w:rPr>
                <w:rFonts w:hint="eastAsia" w:ascii="宋体" w:hAnsi="宋体" w:cs="宋体"/>
                <w:sz w:val="22"/>
                <w:szCs w:val="22"/>
              </w:rPr>
              <w:t>递交响应文件截止时间</w:t>
            </w:r>
          </w:p>
        </w:tc>
        <w:tc>
          <w:tcPr>
            <w:tcW w:w="593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bCs/>
                <w:sz w:val="22"/>
                <w:szCs w:val="22"/>
              </w:rPr>
            </w:pPr>
            <w:r>
              <w:rPr>
                <w:rFonts w:hint="eastAsia" w:ascii="宋体" w:hAnsi="宋体" w:cs="宋体"/>
                <w:sz w:val="22"/>
                <w:szCs w:val="22"/>
                <w:lang w:val="zh-CN"/>
              </w:rPr>
              <w:t>同第一章 磋商谈判公告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75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21" w:leftChars="10" w:right="21" w:rightChars="10"/>
              <w:jc w:val="center"/>
              <w:rPr>
                <w:rFonts w:hint="eastAsia"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5</w:t>
            </w:r>
          </w:p>
        </w:tc>
        <w:tc>
          <w:tcPr>
            <w:tcW w:w="2210"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sz w:val="22"/>
                <w:szCs w:val="22"/>
              </w:rPr>
            </w:pPr>
            <w:r>
              <w:rPr>
                <w:rFonts w:hint="eastAsia" w:ascii="宋体" w:hAnsi="宋体" w:cs="宋体"/>
                <w:sz w:val="22"/>
                <w:szCs w:val="22"/>
                <w:lang w:val="zh-CN"/>
              </w:rPr>
              <w:t>磋商小组人数</w:t>
            </w:r>
          </w:p>
        </w:tc>
        <w:tc>
          <w:tcPr>
            <w:tcW w:w="593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rPr>
            </w:pPr>
            <w:r>
              <w:rPr>
                <w:rFonts w:hint="eastAsia" w:ascii="宋体" w:hAnsi="宋体" w:cs="宋体"/>
                <w:sz w:val="22"/>
                <w:szCs w:val="22"/>
                <w:u w:val="single"/>
              </w:rPr>
              <w:t>3</w:t>
            </w:r>
            <w:r>
              <w:rPr>
                <w:rFonts w:hint="eastAsia" w:ascii="宋体" w:hAnsi="宋体" w:cs="宋体"/>
                <w:sz w:val="22"/>
                <w:szCs w:val="22"/>
                <w:lang w:val="zh-CN"/>
              </w:rPr>
              <w:t>人。其中采购人代表人数不超过磋商小组总数的1/3。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75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default" w:ascii="宋体" w:hAnsi="宋体"/>
                <w:sz w:val="22"/>
                <w:szCs w:val="22"/>
              </w:rPr>
            </w:pPr>
            <w:r>
              <w:rPr>
                <w:rFonts w:hint="eastAsia" w:ascii="宋体" w:hAnsi="宋体"/>
                <w:sz w:val="22"/>
                <w:szCs w:val="22"/>
              </w:rPr>
              <w:t>1</w:t>
            </w:r>
            <w:r>
              <w:rPr>
                <w:rFonts w:hint="eastAsia" w:ascii="宋体" w:hAnsi="宋体"/>
                <w:sz w:val="22"/>
                <w:szCs w:val="22"/>
                <w:lang w:val="en-US" w:eastAsia="zh-CN"/>
              </w:rPr>
              <w:t>6</w:t>
            </w:r>
            <w:r>
              <w:rPr>
                <w:rFonts w:hint="eastAsia" w:ascii="宋体" w:hAnsi="宋体"/>
                <w:sz w:val="22"/>
                <w:szCs w:val="22"/>
              </w:rPr>
              <w:t>.1</w:t>
            </w:r>
          </w:p>
        </w:tc>
        <w:tc>
          <w:tcPr>
            <w:tcW w:w="2210"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cs="宋体"/>
                <w:sz w:val="22"/>
                <w:szCs w:val="22"/>
              </w:rPr>
            </w:pPr>
            <w:r>
              <w:rPr>
                <w:rFonts w:hint="eastAsia" w:ascii="宋体" w:hAnsi="宋体" w:cs="宋体"/>
                <w:sz w:val="22"/>
                <w:szCs w:val="22"/>
              </w:rPr>
              <w:t>开启时间、地点</w:t>
            </w:r>
          </w:p>
        </w:tc>
        <w:tc>
          <w:tcPr>
            <w:tcW w:w="593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rPr>
            </w:pPr>
            <w:r>
              <w:rPr>
                <w:rFonts w:hint="eastAsia" w:ascii="宋体" w:hAnsi="宋体"/>
                <w:sz w:val="22"/>
                <w:szCs w:val="22"/>
              </w:rPr>
              <w:t>开启时间：</w:t>
            </w:r>
            <w:r>
              <w:rPr>
                <w:rFonts w:hint="eastAsia" w:ascii="宋体" w:hAnsi="宋体"/>
                <w:sz w:val="22"/>
                <w:szCs w:val="22"/>
                <w:u w:val="single"/>
              </w:rPr>
              <w:t>见第一章磋商谈判邀请函</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rPr>
            </w:pPr>
            <w:r>
              <w:rPr>
                <w:rFonts w:hint="eastAsia" w:ascii="宋体" w:hAnsi="宋体"/>
                <w:sz w:val="22"/>
                <w:szCs w:val="22"/>
              </w:rPr>
              <w:t>开启地点：</w:t>
            </w:r>
            <w:r>
              <w:rPr>
                <w:rFonts w:hint="eastAsia" w:ascii="宋体" w:hAnsi="宋体"/>
                <w:sz w:val="22"/>
                <w:szCs w:val="22"/>
                <w:u w:val="single"/>
              </w:rPr>
              <w:t>见第一章磋商谈判邀请函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75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eastAsia" w:ascii="宋体" w:hAnsi="宋体" w:eastAsia="宋体"/>
                <w:sz w:val="22"/>
                <w:szCs w:val="22"/>
                <w:lang w:val="en-US" w:eastAsia="zh-CN"/>
              </w:rPr>
            </w:pPr>
            <w:r>
              <w:rPr>
                <w:rFonts w:hint="eastAsia" w:ascii="宋体" w:hAnsi="宋体"/>
                <w:sz w:val="22"/>
                <w:szCs w:val="22"/>
              </w:rPr>
              <w:t>2</w:t>
            </w:r>
            <w:r>
              <w:rPr>
                <w:rFonts w:hint="eastAsia" w:ascii="宋体" w:hAnsi="宋体"/>
                <w:sz w:val="22"/>
                <w:szCs w:val="22"/>
                <w:lang w:val="en-US" w:eastAsia="zh-CN"/>
              </w:rPr>
              <w:t>7</w:t>
            </w:r>
          </w:p>
        </w:tc>
        <w:tc>
          <w:tcPr>
            <w:tcW w:w="2210"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sz w:val="22"/>
                <w:szCs w:val="22"/>
                <w:highlight w:val="yellow"/>
                <w:lang w:val="zh-CN"/>
              </w:rPr>
            </w:pPr>
            <w:r>
              <w:rPr>
                <w:rFonts w:hint="eastAsia" w:ascii="宋体" w:hAnsi="宋体"/>
                <w:sz w:val="22"/>
                <w:szCs w:val="22"/>
                <w:lang w:val="zh-CN"/>
              </w:rPr>
              <w:t>履约保证金</w:t>
            </w:r>
          </w:p>
        </w:tc>
        <w:tc>
          <w:tcPr>
            <w:tcW w:w="593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宋体"/>
                <w:bCs/>
                <w:sz w:val="22"/>
                <w:szCs w:val="22"/>
              </w:rPr>
            </w:pPr>
            <w:r>
              <w:rPr>
                <w:rFonts w:hint="eastAsia" w:ascii="宋体" w:hAnsi="宋体"/>
                <w:sz w:val="22"/>
                <w:szCs w:val="22"/>
              </w:rPr>
              <w:sym w:font="Wingdings 2" w:char="0052"/>
            </w:r>
            <w:r>
              <w:rPr>
                <w:rFonts w:hint="eastAsia" w:ascii="宋体" w:hAnsi="宋体" w:cs="Calibri"/>
                <w:sz w:val="22"/>
                <w:szCs w:val="22"/>
                <w:lang w:val="zh-CN"/>
              </w:rPr>
              <w:t>无</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cs="Calibri"/>
                <w:sz w:val="22"/>
                <w:szCs w:val="22"/>
                <w:lang w:val="zh-CN"/>
              </w:rPr>
            </w:pPr>
            <w:r>
              <w:rPr>
                <w:rFonts w:hint="eastAsia" w:ascii="宋体" w:hAnsi="宋体"/>
                <w:sz w:val="22"/>
                <w:szCs w:val="22"/>
              </w:rPr>
              <w:sym w:font="Wingdings 2" w:char="00A3"/>
            </w:r>
            <w:r>
              <w:rPr>
                <w:rFonts w:hint="eastAsia" w:ascii="宋体" w:hAnsi="宋体" w:cs="Calibri"/>
                <w:sz w:val="22"/>
                <w:szCs w:val="22"/>
                <w:lang w:val="zh-CN"/>
              </w:rPr>
              <w:t>有</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lang w:val="zh-CN"/>
              </w:rPr>
            </w:pPr>
            <w:r>
              <w:rPr>
                <w:rFonts w:hint="eastAsia" w:ascii="宋体" w:hAnsi="宋体"/>
                <w:sz w:val="22"/>
                <w:szCs w:val="22"/>
                <w:lang w:val="zh-CN"/>
              </w:rPr>
              <w:t>履约保证金金额：</w:t>
            </w:r>
            <w:r>
              <w:rPr>
                <w:rFonts w:hint="eastAsia" w:ascii="宋体" w:hAnsi="宋体"/>
                <w:sz w:val="22"/>
                <w:szCs w:val="22"/>
                <w:u w:val="single"/>
              </w:rPr>
              <w:t xml:space="preserve"> </w:t>
            </w:r>
            <w:r>
              <w:rPr>
                <w:rFonts w:hint="eastAsia" w:ascii="宋体" w:hAnsi="宋体"/>
                <w:sz w:val="22"/>
                <w:szCs w:val="22"/>
                <w:u w:val="single"/>
                <w:lang w:val="en-US" w:eastAsia="zh-CN"/>
              </w:rPr>
              <w:t>/</w:t>
            </w:r>
            <w:r>
              <w:rPr>
                <w:rFonts w:hint="eastAsia" w:ascii="宋体" w:hAnsi="宋体"/>
                <w:sz w:val="22"/>
                <w:szCs w:val="22"/>
                <w:u w:val="single"/>
              </w:rPr>
              <w:t xml:space="preserve">  </w:t>
            </w:r>
            <w:r>
              <w:rPr>
                <w:rFonts w:hint="eastAsia" w:ascii="宋体" w:hAnsi="宋体"/>
                <w:sz w:val="22"/>
                <w:szCs w:val="22"/>
              </w:rPr>
              <w:t>。</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u w:val="single"/>
                <w:lang w:val="zh-CN"/>
              </w:rPr>
            </w:pPr>
            <w:r>
              <w:rPr>
                <w:rFonts w:hint="eastAsia" w:ascii="宋体" w:hAnsi="宋体"/>
                <w:sz w:val="22"/>
                <w:szCs w:val="22"/>
                <w:lang w:val="zh-CN"/>
              </w:rPr>
              <w:t>履约保证金形式：</w:t>
            </w:r>
            <w:r>
              <w:rPr>
                <w:rFonts w:hint="eastAsia" w:ascii="宋体" w:hAnsi="宋体"/>
                <w:sz w:val="22"/>
                <w:szCs w:val="22"/>
                <w:u w:val="single"/>
              </w:rPr>
              <w:t xml:space="preserve"> </w:t>
            </w:r>
            <w:r>
              <w:rPr>
                <w:rFonts w:hint="eastAsia" w:ascii="宋体" w:hAnsi="宋体"/>
                <w:sz w:val="22"/>
                <w:szCs w:val="22"/>
                <w:u w:val="single"/>
                <w:lang w:val="en-US" w:eastAsia="zh-CN"/>
              </w:rPr>
              <w:t>/</w:t>
            </w:r>
            <w:r>
              <w:rPr>
                <w:rFonts w:hint="eastAsia" w:ascii="宋体" w:hAnsi="宋体"/>
                <w:sz w:val="22"/>
                <w:szCs w:val="22"/>
                <w:u w:val="single"/>
              </w:rPr>
              <w:t xml:space="preserve">  </w:t>
            </w:r>
            <w:r>
              <w:rPr>
                <w:rFonts w:hint="eastAsia" w:ascii="宋体" w:hAnsi="宋体"/>
                <w:sz w:val="22"/>
                <w:szCs w:val="22"/>
                <w:u w:val="none"/>
                <w:lang w:val="zh-CN"/>
              </w:rPr>
              <w:t>。</w:t>
            </w:r>
          </w:p>
          <w:p>
            <w:pPr>
              <w:keepNext w:val="0"/>
              <w:keepLines w:val="0"/>
              <w:suppressLineNumbers w:val="0"/>
              <w:adjustRightInd w:val="0"/>
              <w:snapToGrid w:val="0"/>
              <w:spacing w:before="0" w:beforeAutospacing="0" w:after="0" w:afterAutospacing="0" w:line="276" w:lineRule="auto"/>
              <w:ind w:left="0" w:right="0" w:firstLine="440" w:firstLineChars="200"/>
              <w:rPr>
                <w:rFonts w:hint="default" w:ascii="宋体" w:hAnsi="宋体"/>
                <w:sz w:val="22"/>
                <w:szCs w:val="22"/>
                <w:highlight w:val="yellow"/>
                <w:u w:val="single"/>
                <w:lang w:val="zh-CN"/>
              </w:rPr>
            </w:pPr>
            <w:r>
              <w:rPr>
                <w:rFonts w:hint="eastAsia" w:ascii="宋体" w:hAnsi="宋体"/>
                <w:sz w:val="22"/>
                <w:szCs w:val="22"/>
                <w:lang w:val="zh-CN"/>
              </w:rPr>
              <w:t>提交履约担保的时间：</w:t>
            </w:r>
            <w:r>
              <w:rPr>
                <w:rFonts w:hint="eastAsia" w:ascii="宋体" w:hAnsi="宋体"/>
                <w:sz w:val="22"/>
                <w:szCs w:val="22"/>
                <w:u w:val="single"/>
              </w:rPr>
              <w:t xml:space="preserve"> </w:t>
            </w:r>
            <w:r>
              <w:rPr>
                <w:rFonts w:hint="eastAsia" w:ascii="宋体" w:hAnsi="宋体"/>
                <w:sz w:val="22"/>
                <w:szCs w:val="22"/>
                <w:u w:val="single"/>
                <w:lang w:val="en-US" w:eastAsia="zh-CN"/>
              </w:rPr>
              <w:t>/</w:t>
            </w:r>
            <w:r>
              <w:rPr>
                <w:rFonts w:hint="eastAsia" w:ascii="宋体" w:hAnsi="宋体"/>
                <w:sz w:val="22"/>
                <w:szCs w:val="22"/>
                <w:u w:val="single"/>
                <w:lang w:val="zh-CN"/>
              </w:rPr>
              <w:t xml:space="preserve"> </w:t>
            </w:r>
            <w:r>
              <w:rPr>
                <w:rFonts w:hint="eastAsia" w:ascii="宋体" w:hAnsi="宋体"/>
                <w:sz w:val="22"/>
                <w:szCs w:val="22"/>
                <w:u w:val="no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jc w:val="center"/>
        </w:trPr>
        <w:tc>
          <w:tcPr>
            <w:tcW w:w="75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jc w:val="center"/>
              <w:rPr>
                <w:rFonts w:hint="eastAsia" w:ascii="宋体" w:hAnsi="宋体" w:eastAsia="宋体"/>
                <w:sz w:val="22"/>
                <w:szCs w:val="22"/>
                <w:lang w:val="en-US" w:eastAsia="zh-CN"/>
              </w:rPr>
            </w:pPr>
            <w:r>
              <w:rPr>
                <w:rFonts w:hint="eastAsia" w:ascii="宋体" w:hAnsi="宋体"/>
                <w:sz w:val="22"/>
                <w:szCs w:val="22"/>
              </w:rPr>
              <w:t>2</w:t>
            </w:r>
            <w:r>
              <w:rPr>
                <w:rFonts w:hint="eastAsia" w:ascii="宋体" w:hAnsi="宋体"/>
                <w:sz w:val="22"/>
                <w:szCs w:val="22"/>
                <w:lang w:val="en-US" w:eastAsia="zh-CN"/>
              </w:rPr>
              <w:t>8</w:t>
            </w:r>
          </w:p>
        </w:tc>
        <w:tc>
          <w:tcPr>
            <w:tcW w:w="2210"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76" w:lineRule="auto"/>
              <w:ind w:left="21" w:leftChars="10" w:right="21" w:rightChars="10"/>
              <w:rPr>
                <w:rFonts w:hint="default" w:ascii="宋体" w:hAnsi="宋体"/>
                <w:sz w:val="22"/>
                <w:szCs w:val="22"/>
                <w:lang w:val="zh-CN"/>
              </w:rPr>
            </w:pPr>
            <w:r>
              <w:rPr>
                <w:rFonts w:hint="eastAsia" w:ascii="宋体" w:hAnsi="宋体"/>
                <w:sz w:val="20"/>
                <w:szCs w:val="20"/>
                <w:lang w:val="zh-CN"/>
              </w:rPr>
              <w:t>其他</w:t>
            </w:r>
          </w:p>
        </w:tc>
        <w:tc>
          <w:tcPr>
            <w:tcW w:w="593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firstLine="440" w:firstLineChars="200"/>
              <w:rPr>
                <w:rFonts w:hint="default" w:ascii="宋体" w:hAnsi="宋体" w:cs="宋体"/>
                <w:sz w:val="22"/>
                <w:szCs w:val="22"/>
                <w:lang w:val="zh-CN"/>
              </w:rPr>
            </w:pPr>
            <w:r>
              <w:rPr>
                <w:rFonts w:hint="eastAsia" w:ascii="宋体" w:hAnsi="宋体" w:cs="宋体"/>
                <w:sz w:val="22"/>
                <w:szCs w:val="22"/>
                <w:lang w:val="zh-CN"/>
              </w:rPr>
              <w:t>现场考察：</w:t>
            </w:r>
            <w:r>
              <w:rPr>
                <w:rFonts w:hint="eastAsia" w:ascii="宋体" w:hAnsi="宋体" w:cs="宋体"/>
                <w:sz w:val="22"/>
                <w:szCs w:val="22"/>
                <w:lang w:val="en-US" w:eastAsia="zh-CN"/>
              </w:rPr>
              <w:t>不</w:t>
            </w:r>
            <w:r>
              <w:rPr>
                <w:rFonts w:hint="eastAsia" w:ascii="宋体" w:hAnsi="宋体" w:cs="宋体"/>
                <w:sz w:val="22"/>
                <w:szCs w:val="22"/>
                <w:lang w:val="zh-CN"/>
              </w:rPr>
              <w:t>组织现场踏勘。</w:t>
            </w:r>
          </w:p>
          <w:p>
            <w:pPr>
              <w:keepNext w:val="0"/>
              <w:keepLines w:val="0"/>
              <w:suppressLineNumbers w:val="0"/>
              <w:spacing w:before="0" w:beforeAutospacing="0" w:after="0" w:afterAutospacing="0"/>
              <w:ind w:left="0" w:right="0" w:firstLine="440" w:firstLineChars="200"/>
              <w:rPr>
                <w:rFonts w:hint="default" w:ascii="宋体" w:hAnsi="宋体" w:cs="宋体"/>
                <w:sz w:val="22"/>
                <w:szCs w:val="22"/>
                <w:u w:val="single"/>
                <w:lang w:val="zh-CN"/>
              </w:rPr>
            </w:pPr>
            <w:r>
              <w:rPr>
                <w:rFonts w:hint="eastAsia" w:ascii="宋体" w:hAnsi="宋体" w:cs="宋体"/>
                <w:sz w:val="22"/>
                <w:szCs w:val="22"/>
                <w:lang w:val="zh-CN"/>
              </w:rPr>
              <w:t>召集时间：</w:t>
            </w:r>
            <w:r>
              <w:rPr>
                <w:rFonts w:hint="eastAsia" w:ascii="宋体" w:hAnsi="宋体" w:cs="宋体"/>
                <w:sz w:val="22"/>
                <w:szCs w:val="22"/>
                <w:u w:val="single"/>
                <w:lang w:val="en-US" w:eastAsia="zh-CN"/>
              </w:rPr>
              <w:t>/</w:t>
            </w:r>
            <w:r>
              <w:rPr>
                <w:rFonts w:hint="eastAsia" w:ascii="宋体" w:hAnsi="宋体" w:cs="宋体"/>
                <w:sz w:val="22"/>
                <w:szCs w:val="22"/>
                <w:lang w:val="zh-CN"/>
              </w:rPr>
              <w:t>。</w:t>
            </w:r>
          </w:p>
          <w:p>
            <w:pPr>
              <w:keepNext w:val="0"/>
              <w:keepLines w:val="0"/>
              <w:suppressLineNumbers w:val="0"/>
              <w:spacing w:before="0" w:beforeAutospacing="0" w:after="0" w:afterAutospacing="0"/>
              <w:ind w:left="0" w:right="0" w:firstLine="440" w:firstLineChars="200"/>
              <w:rPr>
                <w:rFonts w:hint="default"/>
              </w:rPr>
            </w:pPr>
            <w:r>
              <w:rPr>
                <w:rFonts w:hint="eastAsia" w:ascii="宋体" w:hAnsi="宋体" w:cs="宋体"/>
                <w:sz w:val="22"/>
                <w:szCs w:val="22"/>
                <w:lang w:val="zh-CN"/>
              </w:rPr>
              <w:t>召集地点：</w:t>
            </w:r>
            <w:r>
              <w:rPr>
                <w:rFonts w:hint="eastAsia" w:ascii="宋体" w:hAnsi="宋体" w:cs="宋体"/>
                <w:sz w:val="22"/>
                <w:szCs w:val="22"/>
                <w:u w:val="single"/>
                <w:lang w:val="en-US" w:eastAsia="zh-CN"/>
              </w:rPr>
              <w:t>/</w:t>
            </w:r>
            <w:r>
              <w:rPr>
                <w:rFonts w:hint="eastAsia" w:ascii="宋体" w:hAnsi="宋体" w:cs="宋体"/>
                <w:sz w:val="22"/>
                <w:szCs w:val="22"/>
                <w:lang w:val="zh-CN"/>
              </w:rPr>
              <w:t>。</w:t>
            </w:r>
          </w:p>
        </w:tc>
      </w:tr>
    </w:tbl>
    <w:p>
      <w:pPr>
        <w:spacing w:line="276" w:lineRule="auto"/>
        <w:ind w:firstLine="482" w:firstLineChars="200"/>
        <w:rPr>
          <w:rFonts w:ascii="宋体" w:hAnsi="宋体" w:cs="宋体"/>
          <w:b/>
          <w:snapToGrid w:val="0"/>
          <w:sz w:val="24"/>
          <w:szCs w:val="24"/>
          <w:lang w:val="zh-CN"/>
        </w:rPr>
      </w:pPr>
      <w:r>
        <w:rPr>
          <w:rFonts w:hint="eastAsia" w:ascii="宋体" w:hAnsi="宋体" w:cs="宋体"/>
          <w:b/>
          <w:snapToGrid w:val="0"/>
          <w:sz w:val="24"/>
          <w:szCs w:val="24"/>
          <w:lang w:val="zh-CN"/>
        </w:rPr>
        <w:t>注意：供应商应随时关注第一章磋商公告中指定网站发布的本采购项目的相关信息（答疑、澄清公告等）。</w:t>
      </w:r>
    </w:p>
    <w:p>
      <w:pPr>
        <w:widowControl/>
        <w:jc w:val="left"/>
        <w:rPr>
          <w:kern w:val="0"/>
          <w:lang w:val="zh-CN"/>
        </w:rPr>
      </w:pPr>
      <w:r>
        <w:rPr>
          <w:lang w:val="zh-CN"/>
        </w:rPr>
        <w:br w:type="page"/>
      </w:r>
    </w:p>
    <w:p>
      <w:pPr>
        <w:spacing w:line="276" w:lineRule="auto"/>
        <w:outlineLvl w:val="1"/>
        <w:rPr>
          <w:rFonts w:ascii="宋体" w:cs="宋体"/>
          <w:bCs/>
          <w:sz w:val="24"/>
        </w:rPr>
      </w:pPr>
      <w:r>
        <w:rPr>
          <w:rFonts w:hint="eastAsia" w:ascii="宋体" w:hAnsi="宋体" w:cs="宋体"/>
          <w:bCs/>
          <w:sz w:val="24"/>
        </w:rPr>
        <w:t>一、总　则</w:t>
      </w:r>
    </w:p>
    <w:p>
      <w:pPr>
        <w:spacing w:line="276" w:lineRule="auto"/>
        <w:ind w:left="360" w:hanging="360" w:hangingChars="150"/>
        <w:rPr>
          <w:rFonts w:ascii="宋体" w:hAnsi="宋体" w:cs="宋体"/>
          <w:bCs/>
          <w:sz w:val="24"/>
        </w:rPr>
      </w:pPr>
      <w:r>
        <w:rPr>
          <w:rFonts w:hint="eastAsia" w:ascii="宋体" w:hAnsi="宋体" w:cs="宋体"/>
          <w:bCs/>
          <w:sz w:val="24"/>
        </w:rPr>
        <w:t>1、 适用范围</w:t>
      </w:r>
    </w:p>
    <w:p>
      <w:pPr>
        <w:spacing w:line="276" w:lineRule="auto"/>
        <w:ind w:left="360" w:hanging="360" w:hangingChars="150"/>
        <w:rPr>
          <w:rFonts w:ascii="宋体" w:hAnsi="宋体" w:cs="宋体"/>
          <w:bCs/>
          <w:sz w:val="24"/>
        </w:rPr>
      </w:pPr>
      <w:r>
        <w:rPr>
          <w:rFonts w:hint="eastAsia" w:ascii="宋体" w:hAnsi="宋体" w:cs="宋体"/>
          <w:bCs/>
          <w:sz w:val="24"/>
        </w:rPr>
        <w:t>1.1 本文件仅适用于第一章“磋商谈判邀请函”所列项目的货物、工程及服务的采购。</w:t>
      </w:r>
    </w:p>
    <w:p>
      <w:pPr>
        <w:spacing w:line="276" w:lineRule="auto"/>
        <w:ind w:left="360" w:hanging="360" w:hangingChars="150"/>
        <w:rPr>
          <w:rFonts w:ascii="宋体" w:hAnsi="宋体" w:cs="宋体"/>
          <w:bCs/>
          <w:sz w:val="24"/>
        </w:rPr>
      </w:pPr>
      <w:r>
        <w:rPr>
          <w:rFonts w:hint="eastAsia" w:ascii="宋体" w:hAnsi="宋体" w:cs="宋体"/>
          <w:bCs/>
          <w:sz w:val="24"/>
        </w:rPr>
        <w:t>2、定义</w:t>
      </w:r>
    </w:p>
    <w:p>
      <w:pPr>
        <w:spacing w:line="276" w:lineRule="auto"/>
        <w:ind w:left="360" w:hanging="360" w:hangingChars="150"/>
        <w:rPr>
          <w:rFonts w:ascii="宋体" w:hAnsi="宋体" w:cs="宋体"/>
          <w:bCs/>
          <w:sz w:val="24"/>
        </w:rPr>
      </w:pPr>
      <w:r>
        <w:rPr>
          <w:rFonts w:hint="eastAsia" w:ascii="宋体" w:hAnsi="宋体" w:cs="宋体"/>
          <w:bCs/>
          <w:sz w:val="24"/>
        </w:rPr>
        <w:t>2.1“采购人”是指：详见《供应商须知前附表》。</w:t>
      </w:r>
    </w:p>
    <w:p>
      <w:pPr>
        <w:spacing w:line="276" w:lineRule="auto"/>
        <w:ind w:left="360" w:hanging="360" w:hangingChars="15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2</w:t>
      </w:r>
      <w:r>
        <w:rPr>
          <w:rFonts w:hint="eastAsia" w:ascii="宋体" w:hAnsi="宋体" w:cs="宋体"/>
          <w:bCs/>
          <w:sz w:val="24"/>
        </w:rPr>
        <w:t>“磋商小组”是指：</w:t>
      </w:r>
      <w:r>
        <w:rPr>
          <w:rFonts w:hint="eastAsia" w:ascii="宋体" w:hAnsi="宋体" w:cs="宋体"/>
          <w:bCs/>
          <w:sz w:val="24"/>
          <w:lang w:val="en-US" w:eastAsia="zh-CN"/>
        </w:rPr>
        <w:t>采购人</w:t>
      </w:r>
      <w:r>
        <w:rPr>
          <w:rFonts w:hint="eastAsia" w:ascii="宋体" w:hAnsi="宋体" w:cs="宋体"/>
          <w:bCs/>
          <w:sz w:val="24"/>
        </w:rPr>
        <w:t>依法组建的磋商谈判小组。</w:t>
      </w:r>
    </w:p>
    <w:p>
      <w:pPr>
        <w:spacing w:line="276" w:lineRule="auto"/>
        <w:ind w:left="360" w:hanging="360" w:hangingChars="15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3</w:t>
      </w:r>
      <w:r>
        <w:rPr>
          <w:rFonts w:hint="eastAsia" w:ascii="宋体" w:hAnsi="宋体" w:cs="宋体"/>
          <w:bCs/>
          <w:sz w:val="24"/>
        </w:rPr>
        <w:t>“供应商”是指：响应磋商公告要求、获取了磋商谈判采购文件并参加本次磋商谈判的法人、其他组织或者自然人。</w:t>
      </w:r>
    </w:p>
    <w:p>
      <w:pPr>
        <w:spacing w:line="276" w:lineRule="auto"/>
        <w:ind w:left="360" w:hanging="360" w:hangingChars="15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4</w:t>
      </w:r>
      <w:r>
        <w:rPr>
          <w:rFonts w:hint="eastAsia" w:ascii="宋体" w:hAnsi="宋体" w:cs="宋体"/>
          <w:bCs/>
          <w:sz w:val="24"/>
        </w:rPr>
        <w:t>“合格的供应商”是指：经磋商小组资格性审查和符合性审查合格的供应商。如果该供应商在本次磋商中成交，即成为“成交供应商”。</w:t>
      </w:r>
    </w:p>
    <w:p>
      <w:pPr>
        <w:spacing w:line="276" w:lineRule="auto"/>
        <w:ind w:left="360" w:hanging="360" w:hangingChars="15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5</w:t>
      </w:r>
      <w:r>
        <w:rPr>
          <w:rFonts w:hint="eastAsia" w:ascii="宋体" w:hAnsi="宋体" w:cs="宋体"/>
          <w:bCs/>
          <w:sz w:val="24"/>
        </w:rPr>
        <w:t>“进口产品” 是指：通过中国海关报关验放进入中国境内且产自关境外的产品。</w:t>
      </w:r>
    </w:p>
    <w:p>
      <w:pPr>
        <w:spacing w:line="276" w:lineRule="auto"/>
      </w:pPr>
      <w:r>
        <w:rPr>
          <w:rFonts w:hint="eastAsia" w:ascii="宋体" w:hAnsi="宋体" w:cs="宋体"/>
          <w:bCs/>
          <w:sz w:val="24"/>
        </w:rPr>
        <w:t>2.</w:t>
      </w:r>
      <w:r>
        <w:rPr>
          <w:rFonts w:hint="eastAsia" w:ascii="宋体" w:hAnsi="宋体" w:cs="宋体"/>
          <w:bCs/>
          <w:sz w:val="24"/>
          <w:lang w:val="en-US" w:eastAsia="zh-CN"/>
        </w:rPr>
        <w:t>6</w:t>
      </w:r>
      <w:r>
        <w:rPr>
          <w:rFonts w:hint="eastAsia" w:ascii="宋体" w:hAnsi="宋体" w:cs="宋体"/>
          <w:bCs/>
          <w:sz w:val="24"/>
        </w:rPr>
        <w:t>本文件中出现的“招标人”、“采购人”、“业主”、“发包人”、“甲方”等词具有相同指向；“中标人”、“供应商”、“成交供应商”、“承包人”、“乙方”等词具有相同指向。</w:t>
      </w:r>
    </w:p>
    <w:p>
      <w:pPr>
        <w:spacing w:line="276" w:lineRule="auto"/>
        <w:ind w:left="360" w:hanging="360" w:hangingChars="150"/>
        <w:rPr>
          <w:rFonts w:ascii="宋体" w:hAnsi="宋体" w:cs="宋体"/>
          <w:bCs/>
          <w:sz w:val="24"/>
        </w:rPr>
      </w:pPr>
      <w:r>
        <w:rPr>
          <w:rFonts w:hint="eastAsia" w:ascii="宋体" w:hAnsi="宋体" w:cs="宋体"/>
          <w:bCs/>
          <w:sz w:val="24"/>
        </w:rPr>
        <w:t>3、项目属性</w:t>
      </w:r>
    </w:p>
    <w:p>
      <w:pPr>
        <w:spacing w:line="276" w:lineRule="auto"/>
        <w:ind w:left="360" w:hanging="360" w:hangingChars="150"/>
        <w:rPr>
          <w:rFonts w:ascii="宋体" w:hAnsi="宋体" w:cs="宋体"/>
          <w:bCs/>
          <w:sz w:val="24"/>
        </w:rPr>
      </w:pPr>
      <w:r>
        <w:rPr>
          <w:rFonts w:hint="eastAsia" w:ascii="宋体" w:hAnsi="宋体" w:cs="宋体"/>
          <w:bCs/>
          <w:sz w:val="24"/>
        </w:rPr>
        <w:t>3.1“货物”是指：各种形态和种类的物品，包括原材料、燃料、设备、产品等。</w:t>
      </w:r>
    </w:p>
    <w:p>
      <w:pPr>
        <w:spacing w:line="276" w:lineRule="auto"/>
        <w:ind w:left="360" w:hanging="360" w:hangingChars="150"/>
        <w:rPr>
          <w:rFonts w:ascii="宋体" w:hAnsi="宋体" w:cs="宋体"/>
          <w:bCs/>
          <w:sz w:val="24"/>
        </w:rPr>
      </w:pPr>
      <w:r>
        <w:rPr>
          <w:rFonts w:hint="eastAsia" w:ascii="宋体" w:hAnsi="宋体" w:cs="宋体"/>
          <w:bCs/>
          <w:sz w:val="24"/>
        </w:rPr>
        <w:t>响应的货物应是合法生产的符合国家有关标准要求的货物，且是全新、原装正品，并能够按照合同规定的品牌、产地、质量、价格和有效期等履约。</w:t>
      </w:r>
    </w:p>
    <w:p>
      <w:pPr>
        <w:spacing w:line="276" w:lineRule="auto"/>
        <w:ind w:left="360" w:hanging="360" w:hangingChars="150"/>
        <w:rPr>
          <w:rFonts w:ascii="宋体" w:hAnsi="宋体" w:cs="宋体"/>
          <w:bCs/>
          <w:sz w:val="24"/>
        </w:rPr>
      </w:pPr>
      <w:r>
        <w:rPr>
          <w:rFonts w:hint="eastAsia" w:ascii="宋体" w:hAnsi="宋体" w:cs="宋体"/>
          <w:bCs/>
          <w:sz w:val="24"/>
        </w:rPr>
        <w:t>3.2“工程”是指：是指建设工程，包括建筑物和构筑物的新建、改建、扩建及其相关的装修、拆除、修缮等。</w:t>
      </w:r>
    </w:p>
    <w:p>
      <w:pPr>
        <w:spacing w:line="276" w:lineRule="auto"/>
        <w:ind w:left="360" w:hanging="360" w:hangingChars="150"/>
        <w:rPr>
          <w:rFonts w:ascii="宋体" w:hAnsi="宋体" w:cs="宋体"/>
          <w:bCs/>
          <w:sz w:val="24"/>
          <w:szCs w:val="24"/>
        </w:rPr>
      </w:pPr>
      <w:r>
        <w:rPr>
          <w:rFonts w:hint="eastAsia" w:ascii="宋体" w:hAnsi="宋体" w:cs="宋体"/>
          <w:bCs/>
          <w:sz w:val="24"/>
        </w:rPr>
        <w:t>3.3“服务”是指：除货物（指各种形态和种类的物品，包括原材料、燃料、设备、产品等</w:t>
      </w:r>
      <w:r>
        <w:rPr>
          <w:rFonts w:hint="eastAsia" w:ascii="宋体" w:hAnsi="宋体" w:cs="宋体"/>
          <w:bCs/>
          <w:sz w:val="24"/>
          <w:szCs w:val="24"/>
        </w:rPr>
        <w:t>）和工程（指建设工程，包括建筑物和构筑物的新建、改建、扩建及其相关的装修、拆除、修缮等）以外的其他采购对象,包括采购人自身需要的服务和采购人向社会公众提供的公共服务。</w:t>
      </w:r>
    </w:p>
    <w:p>
      <w:pPr>
        <w:spacing w:line="276" w:lineRule="auto"/>
        <w:ind w:left="360" w:hanging="360" w:hangingChars="150"/>
        <w:rPr>
          <w:rFonts w:ascii="宋体" w:cs="宋体"/>
          <w:bCs/>
          <w:sz w:val="24"/>
        </w:rPr>
      </w:pPr>
      <w:r>
        <w:rPr>
          <w:rFonts w:hint="eastAsia" w:ascii="宋体" w:hAnsi="宋体" w:cs="宋体"/>
          <w:bCs/>
          <w:sz w:val="24"/>
          <w:lang w:val="en-US" w:eastAsia="zh-CN"/>
        </w:rPr>
        <w:t>4</w:t>
      </w:r>
      <w:r>
        <w:rPr>
          <w:rFonts w:ascii="宋体" w:hAnsi="宋体" w:cs="宋体"/>
          <w:bCs/>
          <w:sz w:val="24"/>
        </w:rPr>
        <w:t xml:space="preserve">.  </w:t>
      </w:r>
      <w:r>
        <w:rPr>
          <w:rFonts w:hint="eastAsia" w:ascii="宋体" w:hAnsi="宋体" w:cs="宋体"/>
          <w:bCs/>
          <w:sz w:val="24"/>
        </w:rPr>
        <w:t>磋商谈判保证金：</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ascii="宋体" w:hAnsi="宋体" w:cs="宋体"/>
          <w:bCs/>
          <w:sz w:val="24"/>
        </w:rPr>
        <w:t xml:space="preserve">.1 </w:t>
      </w:r>
      <w:r>
        <w:rPr>
          <w:rFonts w:hint="eastAsia" w:ascii="宋体" w:hAnsi="宋体" w:cs="宋体"/>
          <w:bCs/>
          <w:sz w:val="24"/>
        </w:rPr>
        <w:t>本采购项目是否要求递交磋商保证金及保证金金额、递交方式、递交时间、接收保证金的账户信息等详见《供应商须知前附表》。</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.2采购文件要求递交磋商保证金的，磋商保证金作为磋商响应文件的组成部分。凡未按规定递交磋商保证金的报价，其响应文件将被视为无效。</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.3供应商为联合体的，应由联合体中牵头人交纳保证金，其交纳的保证金对联合体各方均具有约束力。</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.4凡未按规定时间、金额从供应商基本账户汇出磋商保证金、交纳保证金的账户名称与供应商名称不一致的按照无效响应处理。</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.5供应商应在响应文件中提供交纳保证金的凭证。</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.6磋商保证金的有效期应与响应文件有效期一致。</w:t>
      </w:r>
    </w:p>
    <w:p>
      <w:pPr>
        <w:spacing w:line="276" w:lineRule="auto"/>
        <w:ind w:left="360" w:hanging="360" w:hangingChars="15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供应商有下列情形之一的，其磋商保证金不予退还：</w:t>
      </w:r>
    </w:p>
    <w:p>
      <w:pPr>
        <w:spacing w:line="276" w:lineRule="auto"/>
        <w:ind w:left="360" w:hanging="360" w:hangingChars="150"/>
        <w:rPr>
          <w:rFonts w:ascii="宋体" w:hAnsi="宋体" w:cs="宋体"/>
          <w:bCs/>
          <w:sz w:val="24"/>
        </w:rPr>
      </w:pPr>
      <w:r>
        <w:rPr>
          <w:rFonts w:hint="eastAsia" w:ascii="宋体" w:hAnsi="宋体" w:cs="宋体"/>
          <w:bCs/>
          <w:sz w:val="24"/>
        </w:rPr>
        <w:t>1)供应商在提交响应文件截止时间后撤回响应文件的；</w:t>
      </w:r>
    </w:p>
    <w:p>
      <w:pPr>
        <w:spacing w:line="276" w:lineRule="auto"/>
        <w:ind w:left="360" w:hanging="360" w:hangingChars="150"/>
        <w:rPr>
          <w:rFonts w:ascii="宋体" w:hAnsi="宋体" w:cs="宋体"/>
          <w:bCs/>
          <w:sz w:val="24"/>
        </w:rPr>
      </w:pPr>
      <w:r>
        <w:rPr>
          <w:rFonts w:hint="eastAsia" w:ascii="宋体" w:hAnsi="宋体" w:cs="宋体"/>
          <w:bCs/>
          <w:sz w:val="24"/>
        </w:rPr>
        <w:t>2)供应商在响应文件中提供虚假材料的；</w:t>
      </w:r>
    </w:p>
    <w:p>
      <w:pPr>
        <w:spacing w:line="276" w:lineRule="auto"/>
        <w:ind w:left="360" w:hanging="360" w:hangingChars="150"/>
        <w:rPr>
          <w:rFonts w:ascii="宋体" w:hAnsi="宋体" w:cs="宋体"/>
          <w:bCs/>
          <w:sz w:val="24"/>
        </w:rPr>
      </w:pPr>
      <w:r>
        <w:rPr>
          <w:rFonts w:hint="eastAsia" w:ascii="宋体" w:hAnsi="宋体" w:cs="宋体"/>
          <w:bCs/>
          <w:sz w:val="24"/>
        </w:rPr>
        <w:t>3)除因不可抗力或采购文件认可的情形以外，成交供应商不与采购人签订合同的；</w:t>
      </w:r>
    </w:p>
    <w:p>
      <w:pPr>
        <w:spacing w:line="276" w:lineRule="auto"/>
        <w:ind w:left="360" w:hanging="360" w:hangingChars="150"/>
        <w:rPr>
          <w:rFonts w:ascii="宋体" w:hAnsi="宋体" w:cs="宋体"/>
          <w:bCs/>
          <w:sz w:val="24"/>
        </w:rPr>
      </w:pPr>
      <w:r>
        <w:rPr>
          <w:rFonts w:hint="eastAsia" w:ascii="宋体" w:hAnsi="宋体" w:cs="宋体"/>
          <w:bCs/>
          <w:sz w:val="24"/>
        </w:rPr>
        <w:t>4)供应商与采购人、其他供应商或者采购代理机构恶意串通的；</w:t>
      </w:r>
    </w:p>
    <w:p>
      <w:pPr>
        <w:spacing w:line="276" w:lineRule="auto"/>
        <w:ind w:left="360" w:hanging="360" w:hangingChars="150"/>
        <w:rPr>
          <w:rFonts w:ascii="宋体" w:cs="宋体"/>
          <w:bCs/>
          <w:sz w:val="24"/>
        </w:rPr>
      </w:pPr>
      <w:r>
        <w:rPr>
          <w:rFonts w:hint="eastAsia" w:ascii="宋体" w:hAnsi="宋体" w:cs="宋体"/>
          <w:bCs/>
          <w:sz w:val="24"/>
        </w:rPr>
        <w:t>5)采购文件规定的其他情形。</w:t>
      </w:r>
    </w:p>
    <w:p>
      <w:pPr>
        <w:rPr>
          <w:rFonts w:hint="eastAsia"/>
        </w:rPr>
      </w:pPr>
    </w:p>
    <w:p>
      <w:pPr>
        <w:spacing w:line="276" w:lineRule="auto"/>
        <w:outlineLvl w:val="1"/>
        <w:rPr>
          <w:rFonts w:hint="eastAsia" w:ascii="宋体" w:hAnsi="宋体" w:cs="宋体"/>
          <w:bCs/>
          <w:sz w:val="24"/>
        </w:rPr>
      </w:pPr>
      <w:r>
        <w:rPr>
          <w:rFonts w:hint="eastAsia" w:ascii="宋体" w:hAnsi="宋体" w:cs="宋体"/>
          <w:bCs/>
          <w:sz w:val="24"/>
        </w:rPr>
        <w:t>二、响应文件的编制</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 xml:space="preserve">. </w:t>
      </w:r>
      <w:r>
        <w:rPr>
          <w:rFonts w:hint="eastAsia" w:ascii="宋体" w:hAnsi="宋体" w:cs="宋体"/>
          <w:bCs/>
          <w:sz w:val="24"/>
        </w:rPr>
        <w:t>响应文件编制基本要求</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.1</w:t>
      </w:r>
      <w:r>
        <w:rPr>
          <w:rFonts w:hint="eastAsia" w:ascii="宋体" w:hAnsi="宋体" w:cs="宋体"/>
          <w:bCs/>
          <w:sz w:val="24"/>
        </w:rPr>
        <w:t>响应文件以及与湖北国华项目管理咨询有限公司和采购人就有关磋商的所有来往函电均应使用简体中文。</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.2</w:t>
      </w:r>
      <w:r>
        <w:rPr>
          <w:rFonts w:hint="eastAsia" w:ascii="宋体" w:hAnsi="宋体" w:cs="宋体"/>
          <w:bCs/>
          <w:sz w:val="24"/>
        </w:rPr>
        <w:t>供应商应认真阅读、并充分理解本文件的全部内容（包括所有的补充、修改内容），承诺并履行本文件中各项条款规定及要求。</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.3</w:t>
      </w:r>
      <w:r>
        <w:rPr>
          <w:rFonts w:hint="eastAsia" w:ascii="宋体" w:hAnsi="宋体" w:cs="宋体"/>
          <w:bCs/>
          <w:sz w:val="24"/>
        </w:rPr>
        <w:t>响应文件须按本文件的全部内容，包括所有的补充通知及附件进行编制。</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.4</w:t>
      </w:r>
      <w:r>
        <w:rPr>
          <w:rFonts w:hint="eastAsia" w:ascii="宋体" w:hAnsi="宋体" w:cs="宋体"/>
          <w:bCs/>
          <w:sz w:val="24"/>
        </w:rPr>
        <w:t>如因供应商只填写和提供了本文件要求的部分内容和附件，而给评审造成困难，其可能导致的结果和责任由供应商自行承担。</w:t>
      </w:r>
    </w:p>
    <w:p>
      <w:pPr>
        <w:spacing w:line="276" w:lineRule="auto"/>
        <w:ind w:left="360" w:hanging="360" w:hangingChars="150"/>
        <w:rPr>
          <w:rFonts w:ascii="宋体" w:cs="宋体"/>
          <w:bCs/>
          <w:sz w:val="24"/>
        </w:rPr>
      </w:pPr>
      <w:r>
        <w:rPr>
          <w:rFonts w:hint="eastAsia" w:ascii="宋体" w:hAnsi="宋体" w:cs="宋体"/>
          <w:bCs/>
          <w:sz w:val="24"/>
          <w:lang w:val="en-US" w:eastAsia="zh-CN"/>
        </w:rPr>
        <w:t>5</w:t>
      </w:r>
      <w:r>
        <w:rPr>
          <w:rFonts w:ascii="宋体" w:hAnsi="宋体" w:cs="宋体"/>
          <w:bCs/>
          <w:sz w:val="24"/>
        </w:rPr>
        <w:t>.5</w:t>
      </w:r>
      <w:r>
        <w:rPr>
          <w:rFonts w:hint="eastAsia" w:ascii="宋体" w:hAnsi="宋体" w:cs="宋体"/>
          <w:bCs/>
          <w:sz w:val="24"/>
        </w:rPr>
        <w:t>响应文件的组成，不限于内容</w:t>
      </w:r>
      <w:r>
        <w:rPr>
          <w:rFonts w:ascii="宋体" w:cs="宋体"/>
          <w:bCs/>
          <w:sz w:val="24"/>
        </w:rPr>
        <w:t>,</w:t>
      </w:r>
      <w:r>
        <w:rPr>
          <w:rFonts w:hint="eastAsia" w:ascii="宋体" w:hAnsi="宋体" w:cs="宋体"/>
          <w:bCs/>
          <w:sz w:val="24"/>
        </w:rPr>
        <w:t>应该有的必须提供</w:t>
      </w:r>
      <w:r>
        <w:rPr>
          <w:rFonts w:ascii="宋体" w:cs="宋体"/>
          <w:bCs/>
          <w:sz w:val="24"/>
        </w:rPr>
        <w:t>,</w:t>
      </w:r>
      <w:r>
        <w:rPr>
          <w:rFonts w:hint="eastAsia" w:ascii="宋体" w:hAnsi="宋体" w:cs="宋体"/>
          <w:bCs/>
          <w:sz w:val="24"/>
        </w:rPr>
        <w:t>如未提供</w:t>
      </w:r>
      <w:r>
        <w:rPr>
          <w:rFonts w:ascii="宋体" w:cs="宋体"/>
          <w:bCs/>
          <w:sz w:val="24"/>
        </w:rPr>
        <w:t>,</w:t>
      </w:r>
      <w:r>
        <w:rPr>
          <w:rFonts w:hint="eastAsia" w:ascii="宋体" w:hAnsi="宋体" w:cs="宋体"/>
          <w:bCs/>
          <w:sz w:val="24"/>
        </w:rPr>
        <w:t>磋商小组有权拒绝其响应文件。</w:t>
      </w:r>
    </w:p>
    <w:p>
      <w:pPr>
        <w:spacing w:line="276" w:lineRule="auto"/>
        <w:ind w:left="360" w:hanging="360" w:hangingChars="150"/>
        <w:rPr>
          <w:rFonts w:ascii="宋体" w:cs="宋体"/>
          <w:bCs/>
          <w:sz w:val="24"/>
        </w:rPr>
      </w:pPr>
      <w:r>
        <w:rPr>
          <w:rFonts w:hint="eastAsia" w:ascii="宋体" w:hAnsi="宋体" w:cs="宋体"/>
          <w:bCs/>
          <w:sz w:val="24"/>
          <w:lang w:val="en-US" w:eastAsia="zh-CN"/>
        </w:rPr>
        <w:t>6</w:t>
      </w:r>
      <w:r>
        <w:rPr>
          <w:rFonts w:ascii="宋体" w:hAnsi="宋体" w:cs="宋体"/>
          <w:bCs/>
          <w:sz w:val="24"/>
        </w:rPr>
        <w:t xml:space="preserve">. </w:t>
      </w:r>
      <w:r>
        <w:rPr>
          <w:rFonts w:hint="eastAsia" w:ascii="宋体" w:hAnsi="宋体" w:cs="宋体"/>
          <w:bCs/>
          <w:sz w:val="24"/>
        </w:rPr>
        <w:t>计量单位</w:t>
      </w:r>
    </w:p>
    <w:p>
      <w:pPr>
        <w:spacing w:line="276" w:lineRule="auto"/>
        <w:ind w:left="360" w:hanging="360" w:hangingChars="150"/>
        <w:rPr>
          <w:rFonts w:ascii="宋体" w:cs="宋体"/>
          <w:bCs/>
          <w:sz w:val="24"/>
        </w:rPr>
      </w:pPr>
      <w:r>
        <w:rPr>
          <w:rFonts w:hint="eastAsia" w:ascii="宋体" w:hAnsi="宋体" w:cs="宋体"/>
          <w:bCs/>
          <w:sz w:val="24"/>
          <w:lang w:val="en-US" w:eastAsia="zh-CN"/>
        </w:rPr>
        <w:t>6</w:t>
      </w:r>
      <w:r>
        <w:rPr>
          <w:rFonts w:ascii="宋体" w:hAnsi="宋体" w:cs="宋体"/>
          <w:bCs/>
          <w:sz w:val="24"/>
        </w:rPr>
        <w:t>.1</w:t>
      </w:r>
      <w:r>
        <w:rPr>
          <w:rFonts w:hint="eastAsia" w:ascii="宋体" w:hAnsi="宋体" w:cs="宋体"/>
          <w:bCs/>
          <w:sz w:val="24"/>
        </w:rPr>
        <w:t>除技术要求中另有规定外，本文件所使用的计量单位均应采用国家法定计量单位。</w:t>
      </w:r>
    </w:p>
    <w:p>
      <w:pPr>
        <w:spacing w:line="276" w:lineRule="auto"/>
        <w:rPr>
          <w:rFonts w:ascii="宋体" w:cs="宋体"/>
          <w:bCs/>
          <w:sz w:val="24"/>
        </w:rPr>
      </w:pPr>
    </w:p>
    <w:p>
      <w:pPr>
        <w:spacing w:line="276" w:lineRule="auto"/>
        <w:outlineLvl w:val="1"/>
        <w:rPr>
          <w:rFonts w:ascii="宋体" w:cs="宋体"/>
          <w:bCs/>
          <w:sz w:val="24"/>
        </w:rPr>
      </w:pPr>
      <w:r>
        <w:rPr>
          <w:rFonts w:hint="eastAsia" w:ascii="宋体" w:hAnsi="宋体" w:cs="宋体"/>
          <w:bCs/>
          <w:sz w:val="24"/>
        </w:rPr>
        <w:t>三、响应文件有效期</w:t>
      </w:r>
    </w:p>
    <w:p>
      <w:pPr>
        <w:spacing w:line="276" w:lineRule="auto"/>
        <w:ind w:left="360" w:hanging="360" w:hangingChars="150"/>
        <w:rPr>
          <w:rFonts w:ascii="宋体" w:cs="宋体"/>
          <w:bCs/>
          <w:sz w:val="24"/>
        </w:rPr>
      </w:pPr>
      <w:r>
        <w:rPr>
          <w:rFonts w:hint="eastAsia" w:ascii="宋体" w:hAnsi="宋体" w:cs="宋体"/>
          <w:bCs/>
          <w:sz w:val="24"/>
          <w:lang w:val="en-US" w:eastAsia="zh-CN"/>
        </w:rPr>
        <w:t>7</w:t>
      </w:r>
      <w:r>
        <w:rPr>
          <w:rFonts w:ascii="宋体" w:hAnsi="宋体" w:cs="宋体"/>
          <w:bCs/>
          <w:sz w:val="24"/>
        </w:rPr>
        <w:t xml:space="preserve">. </w:t>
      </w:r>
      <w:r>
        <w:rPr>
          <w:rFonts w:hint="eastAsia" w:ascii="宋体" w:hAnsi="宋体" w:cs="宋体"/>
          <w:bCs/>
          <w:sz w:val="24"/>
        </w:rPr>
        <w:t>本项目响应文件有效期：详见</w:t>
      </w:r>
      <w:r>
        <w:rPr>
          <w:rFonts w:hint="eastAsia" w:ascii="宋体" w:hAnsi="宋体" w:cs="宋体"/>
          <w:sz w:val="24"/>
          <w:szCs w:val="24"/>
        </w:rPr>
        <w:t>《供应商须知前附表》</w:t>
      </w:r>
      <w:r>
        <w:rPr>
          <w:rFonts w:hint="eastAsia" w:ascii="宋体" w:hAnsi="宋体" w:cs="宋体"/>
          <w:bCs/>
          <w:sz w:val="24"/>
        </w:rPr>
        <w:t>。磋商结束后，在有效期内供应商不得改变磋商报价、服务期及承诺的全部义务。磋商有效期比本文件规定短的，磋商小组将视响应文件无效予以拒绝。</w:t>
      </w:r>
    </w:p>
    <w:p>
      <w:pPr>
        <w:spacing w:line="276" w:lineRule="auto"/>
        <w:ind w:left="360" w:hanging="360" w:hangingChars="150"/>
        <w:rPr>
          <w:rFonts w:ascii="宋体" w:cs="宋体"/>
          <w:bCs/>
          <w:sz w:val="24"/>
        </w:rPr>
      </w:pPr>
      <w:r>
        <w:rPr>
          <w:rFonts w:hint="eastAsia" w:ascii="宋体" w:hAnsi="宋体" w:cs="宋体"/>
          <w:bCs/>
          <w:sz w:val="24"/>
          <w:lang w:val="en-US" w:eastAsia="zh-CN"/>
        </w:rPr>
        <w:t>8</w:t>
      </w:r>
      <w:r>
        <w:rPr>
          <w:rFonts w:ascii="宋体" w:hAnsi="宋体" w:cs="宋体"/>
          <w:bCs/>
          <w:sz w:val="24"/>
        </w:rPr>
        <w:t xml:space="preserve">. </w:t>
      </w:r>
      <w:r>
        <w:rPr>
          <w:rFonts w:hint="eastAsia" w:ascii="宋体" w:hAnsi="宋体" w:cs="宋体"/>
          <w:bCs/>
          <w:sz w:val="24"/>
        </w:rPr>
        <w:t>在特殊情况下，在原磋商有效期满之前，</w:t>
      </w:r>
      <w:r>
        <w:rPr>
          <w:rFonts w:hint="eastAsia" w:ascii="宋体" w:hAnsi="宋体" w:cs="宋体"/>
          <w:bCs/>
          <w:sz w:val="24"/>
          <w:lang w:val="en-US" w:eastAsia="zh-CN"/>
        </w:rPr>
        <w:t>采购人</w:t>
      </w:r>
      <w:r>
        <w:rPr>
          <w:rFonts w:hint="eastAsia" w:ascii="宋体" w:hAnsi="宋体" w:cs="宋体"/>
          <w:bCs/>
          <w:sz w:val="24"/>
        </w:rPr>
        <w:t>可向供应商提出延长磋商有效期的要求。这种要求与答复均应采用书面形式。供应商可以拒绝</w:t>
      </w:r>
      <w:r>
        <w:rPr>
          <w:rFonts w:hint="eastAsia" w:ascii="宋体" w:hAnsi="宋体" w:cs="宋体"/>
          <w:bCs/>
          <w:sz w:val="24"/>
          <w:lang w:val="en-US" w:eastAsia="zh-CN"/>
        </w:rPr>
        <w:t>采购人</w:t>
      </w:r>
      <w:r>
        <w:rPr>
          <w:rFonts w:hint="eastAsia" w:ascii="宋体" w:hAnsi="宋体" w:cs="宋体"/>
          <w:bCs/>
          <w:sz w:val="24"/>
        </w:rPr>
        <w:t>的要求，其保证金不会被没收，但其响应文件在原有效期期满后将不再有效。同意延长磋商有效期的供应商不允许修改其响应文件。</w:t>
      </w:r>
    </w:p>
    <w:p>
      <w:pPr>
        <w:spacing w:line="276" w:lineRule="auto"/>
      </w:pPr>
    </w:p>
    <w:p>
      <w:pPr>
        <w:spacing w:line="276" w:lineRule="auto"/>
        <w:outlineLvl w:val="1"/>
        <w:rPr>
          <w:rFonts w:ascii="宋体" w:cs="宋体"/>
          <w:sz w:val="24"/>
        </w:rPr>
      </w:pPr>
      <w:r>
        <w:rPr>
          <w:rFonts w:hint="eastAsia" w:ascii="宋体" w:hAnsi="宋体" w:cs="宋体"/>
          <w:sz w:val="24"/>
        </w:rPr>
        <w:t>四、报价要求</w:t>
      </w:r>
    </w:p>
    <w:p>
      <w:pPr>
        <w:spacing w:line="276" w:lineRule="auto"/>
        <w:ind w:left="360" w:hanging="360" w:hangingChars="150"/>
        <w:rPr>
          <w:rFonts w:ascii="宋体" w:cs="宋体"/>
          <w:sz w:val="24"/>
        </w:rPr>
      </w:pPr>
      <w:r>
        <w:rPr>
          <w:rFonts w:hint="eastAsia" w:ascii="宋体" w:cs="宋体"/>
          <w:sz w:val="24"/>
          <w:lang w:val="en-US" w:eastAsia="zh-CN"/>
        </w:rPr>
        <w:t>9</w:t>
      </w:r>
      <w:r>
        <w:rPr>
          <w:rFonts w:ascii="宋体" w:hAnsi="宋体" w:cs="宋体"/>
          <w:bCs/>
          <w:sz w:val="24"/>
        </w:rPr>
        <w:t xml:space="preserve">. </w:t>
      </w:r>
      <w:r>
        <w:rPr>
          <w:rFonts w:hint="eastAsia" w:ascii="宋体" w:cs="宋体"/>
          <w:sz w:val="24"/>
        </w:rPr>
        <w:t>响应报价为供应商在响应文件中提出的各项支付金额的总和。本项目响应报价的计价方式采用总价包干方式。</w:t>
      </w:r>
    </w:p>
    <w:p>
      <w:pPr>
        <w:numPr>
          <w:ilvl w:val="0"/>
          <w:numId w:val="0"/>
        </w:numPr>
        <w:spacing w:line="276" w:lineRule="auto"/>
        <w:ind w:left="360" w:leftChars="0" w:hanging="360" w:hangingChars="150"/>
        <w:rPr>
          <w:rFonts w:ascii="宋体" w:cs="宋体"/>
          <w:sz w:val="24"/>
        </w:rPr>
      </w:pPr>
      <w:r>
        <w:rPr>
          <w:rFonts w:ascii="宋体" w:hAnsi="Times New Roman" w:eastAsia="宋体" w:cs="Times New Roman"/>
          <w:kern w:val="2"/>
          <w:sz w:val="24"/>
          <w:szCs w:val="21"/>
          <w:lang w:val="en-US" w:eastAsia="zh-CN" w:bidi="ar-SA"/>
        </w:rPr>
        <w:t>1</w:t>
      </w:r>
      <w:r>
        <w:rPr>
          <w:rFonts w:hint="eastAsia" w:ascii="宋体" w:cs="Times New Roman"/>
          <w:kern w:val="2"/>
          <w:sz w:val="24"/>
          <w:szCs w:val="21"/>
          <w:lang w:val="en-US" w:eastAsia="zh-CN" w:bidi="ar-SA"/>
        </w:rPr>
        <w:t>0</w:t>
      </w:r>
      <w:r>
        <w:rPr>
          <w:rFonts w:ascii="宋体" w:hAnsi="Times New Roman" w:eastAsia="宋体" w:cs="Times New Roman"/>
          <w:kern w:val="2"/>
          <w:sz w:val="24"/>
          <w:szCs w:val="21"/>
          <w:lang w:val="en-US" w:eastAsia="zh-CN" w:bidi="ar-SA"/>
        </w:rPr>
        <w:t>.</w:t>
      </w:r>
      <w:r>
        <w:rPr>
          <w:rFonts w:hint="eastAsia" w:ascii="宋体" w:hAnsi="宋体" w:cs="宋体"/>
          <w:bCs/>
          <w:sz w:val="24"/>
        </w:rPr>
        <w:t>成交供应商负</w:t>
      </w:r>
      <w:r>
        <w:rPr>
          <w:rFonts w:hint="eastAsia" w:ascii="宋体" w:hAnsi="宋体" w:cs="宋体"/>
          <w:sz w:val="24"/>
        </w:rPr>
        <w:t>责本项目所需的售后服务等全部工作，文件另有规定的除外。</w:t>
      </w:r>
    </w:p>
    <w:p>
      <w:pPr>
        <w:spacing w:line="276" w:lineRule="auto"/>
        <w:ind w:left="360" w:hanging="360" w:hangingChars="150"/>
        <w:rPr>
          <w:rFonts w:ascii="宋体" w:cs="宋体"/>
          <w:sz w:val="24"/>
        </w:rPr>
      </w:pPr>
      <w:r>
        <w:rPr>
          <w:rFonts w:ascii="宋体" w:hAnsi="宋体" w:cs="宋体"/>
          <w:bCs/>
          <w:sz w:val="24"/>
        </w:rPr>
        <w:t>1</w:t>
      </w:r>
      <w:r>
        <w:rPr>
          <w:rFonts w:hint="eastAsia" w:ascii="宋体" w:hAnsi="宋体" w:cs="宋体"/>
          <w:bCs/>
          <w:sz w:val="24"/>
          <w:lang w:val="en-US" w:eastAsia="zh-CN"/>
        </w:rPr>
        <w:t>1</w:t>
      </w:r>
      <w:r>
        <w:rPr>
          <w:rFonts w:ascii="宋体" w:hAnsi="宋体" w:cs="宋体"/>
          <w:bCs/>
          <w:sz w:val="24"/>
        </w:rPr>
        <w:t xml:space="preserve">. </w:t>
      </w:r>
      <w:r>
        <w:rPr>
          <w:rFonts w:hint="eastAsia" w:ascii="宋体" w:hAnsi="宋体" w:cs="宋体"/>
          <w:bCs/>
          <w:sz w:val="24"/>
        </w:rPr>
        <w:t>供应商最后报价超过本项目采购预算金额的，按无效响应处理</w:t>
      </w:r>
      <w:r>
        <w:rPr>
          <w:rFonts w:hint="eastAsia" w:ascii="宋体" w:hAnsi="宋体" w:cs="宋体"/>
          <w:sz w:val="24"/>
        </w:rPr>
        <w:t>。</w:t>
      </w:r>
    </w:p>
    <w:p>
      <w:pPr>
        <w:spacing w:line="276" w:lineRule="auto"/>
        <w:ind w:left="420" w:hanging="420"/>
        <w:rPr>
          <w:rFonts w:ascii="宋体" w:cs="宋体"/>
          <w:b/>
          <w:bCs/>
          <w:sz w:val="24"/>
        </w:rPr>
      </w:pPr>
    </w:p>
    <w:p>
      <w:pPr>
        <w:spacing w:line="276" w:lineRule="auto"/>
        <w:outlineLvl w:val="1"/>
        <w:rPr>
          <w:rFonts w:ascii="宋体" w:hAnsi="宋体" w:cs="宋体"/>
          <w:sz w:val="24"/>
        </w:rPr>
      </w:pPr>
      <w:r>
        <w:rPr>
          <w:rFonts w:hint="eastAsia" w:ascii="宋体" w:hAnsi="宋体" w:cs="宋体"/>
          <w:sz w:val="24"/>
        </w:rPr>
        <w:t>五、响应文件的份数、封装和递交</w:t>
      </w:r>
    </w:p>
    <w:p>
      <w:pPr>
        <w:spacing w:line="276" w:lineRule="auto"/>
        <w:ind w:left="420" w:hanging="420"/>
        <w:rPr>
          <w:rFonts w:ascii="宋体" w:cs="宋体"/>
          <w:bCs/>
          <w:sz w:val="24"/>
        </w:rPr>
      </w:pPr>
      <w:r>
        <w:rPr>
          <w:rFonts w:ascii="宋体" w:hAnsi="宋体" w:cs="宋体"/>
          <w:bCs/>
          <w:sz w:val="24"/>
        </w:rPr>
        <w:t>1</w:t>
      </w:r>
      <w:r>
        <w:rPr>
          <w:rFonts w:hint="eastAsia" w:ascii="宋体" w:hAnsi="宋体" w:cs="宋体"/>
          <w:bCs/>
          <w:sz w:val="24"/>
          <w:lang w:val="en-US" w:eastAsia="zh-CN"/>
        </w:rPr>
        <w:t>2</w:t>
      </w:r>
      <w:r>
        <w:rPr>
          <w:rFonts w:ascii="宋体" w:hAnsi="宋体" w:cs="宋体"/>
          <w:bCs/>
          <w:sz w:val="24"/>
        </w:rPr>
        <w:t xml:space="preserve">. </w:t>
      </w:r>
      <w:r>
        <w:rPr>
          <w:rFonts w:hint="eastAsia" w:ascii="宋体" w:hAnsi="宋体" w:cs="宋体"/>
          <w:bCs/>
          <w:sz w:val="24"/>
        </w:rPr>
        <w:t>响应文件的份数和封装</w:t>
      </w:r>
    </w:p>
    <w:p>
      <w:pPr>
        <w:spacing w:line="276" w:lineRule="auto"/>
        <w:ind w:left="420" w:hanging="420"/>
        <w:rPr>
          <w:rFonts w:ascii="宋体" w:cs="宋体"/>
          <w:bCs/>
          <w:sz w:val="24"/>
          <w:szCs w:val="24"/>
        </w:rPr>
      </w:pPr>
      <w:r>
        <w:rPr>
          <w:rFonts w:ascii="宋体" w:hAnsi="宋体" w:cs="宋体"/>
          <w:bCs/>
          <w:sz w:val="24"/>
        </w:rPr>
        <w:t>1</w:t>
      </w:r>
      <w:r>
        <w:rPr>
          <w:rFonts w:hint="eastAsia" w:ascii="宋体" w:hAnsi="宋体" w:cs="宋体"/>
          <w:bCs/>
          <w:sz w:val="24"/>
          <w:lang w:val="en-US" w:eastAsia="zh-CN"/>
        </w:rPr>
        <w:t>2</w:t>
      </w:r>
      <w:r>
        <w:rPr>
          <w:rFonts w:ascii="宋体" w:hAnsi="宋体" w:cs="宋体"/>
          <w:bCs/>
          <w:sz w:val="24"/>
        </w:rPr>
        <w:t>.1</w:t>
      </w:r>
      <w:r>
        <w:rPr>
          <w:rFonts w:hint="eastAsia" w:ascii="宋体" w:hAnsi="宋体" w:cs="宋体"/>
          <w:bCs/>
          <w:sz w:val="24"/>
        </w:rPr>
        <w:t>所有文件胶装密封递交。响应文件一式三份，其中正本一份，副本二份，电子版一份（</w:t>
      </w:r>
      <w:r>
        <w:rPr>
          <w:rFonts w:ascii="宋体" w:hAnsi="宋体" w:cs="宋体"/>
          <w:bCs/>
          <w:sz w:val="24"/>
        </w:rPr>
        <w:t>U</w:t>
      </w:r>
      <w:r>
        <w:rPr>
          <w:rFonts w:hint="eastAsia" w:ascii="宋体" w:hAnsi="宋体" w:cs="宋体"/>
          <w:bCs/>
          <w:sz w:val="24"/>
        </w:rPr>
        <w:t>盘、磋商后不退）。</w:t>
      </w:r>
      <w:r>
        <w:rPr>
          <w:rFonts w:ascii="宋体" w:hAnsi="宋体" w:cs="宋体"/>
          <w:bCs/>
          <w:sz w:val="24"/>
        </w:rPr>
        <w:t xml:space="preserve"> </w:t>
      </w:r>
      <w:r>
        <w:rPr>
          <w:rFonts w:hint="eastAsia" w:ascii="宋体" w:hAnsi="宋体" w:cs="宋体"/>
          <w:bCs/>
          <w:sz w:val="24"/>
        </w:rPr>
        <w:t>另外将“价格文件与电子版”单独封装（价格文件是指的“价</w:t>
      </w:r>
      <w:r>
        <w:rPr>
          <w:rFonts w:hint="eastAsia" w:ascii="宋体" w:hAnsi="宋体" w:cs="宋体"/>
          <w:bCs/>
          <w:sz w:val="24"/>
          <w:szCs w:val="24"/>
        </w:rPr>
        <w:t>格表”</w:t>
      </w:r>
      <w:r>
        <w:rPr>
          <w:rFonts w:ascii="宋体" w:hAnsi="宋体" w:cs="宋体"/>
          <w:bCs/>
          <w:sz w:val="24"/>
          <w:szCs w:val="24"/>
        </w:rPr>
        <w:t xml:space="preserve"> </w:t>
      </w:r>
      <w:r>
        <w:rPr>
          <w:rFonts w:hint="eastAsia" w:ascii="宋体" w:hAnsi="宋体" w:cs="宋体"/>
          <w:bCs/>
          <w:sz w:val="24"/>
          <w:szCs w:val="24"/>
        </w:rPr>
        <w:t>提供两份，电子版是指一整套电子版响应文件），信封上标明“报价表”。</w:t>
      </w:r>
    </w:p>
    <w:p>
      <w:pPr>
        <w:spacing w:line="276" w:lineRule="auto"/>
        <w:ind w:left="360" w:hanging="360" w:hangingChars="150"/>
        <w:rPr>
          <w:rFonts w:ascii="宋体" w:cs="宋体"/>
          <w:bCs/>
          <w:sz w:val="24"/>
          <w:szCs w:val="24"/>
        </w:rPr>
      </w:pPr>
      <w:r>
        <w:rPr>
          <w:rFonts w:ascii="宋体" w:hAnsi="宋体" w:cs="宋体"/>
          <w:bCs/>
          <w:sz w:val="24"/>
          <w:szCs w:val="24"/>
        </w:rPr>
        <w:t>1</w:t>
      </w:r>
      <w:r>
        <w:rPr>
          <w:rFonts w:hint="eastAsia" w:ascii="宋体" w:hAnsi="宋体" w:cs="宋体"/>
          <w:bCs/>
          <w:sz w:val="24"/>
          <w:szCs w:val="24"/>
          <w:lang w:val="en-US" w:eastAsia="zh-CN"/>
        </w:rPr>
        <w:t>2</w:t>
      </w:r>
      <w:r>
        <w:rPr>
          <w:rFonts w:ascii="宋体" w:hAnsi="宋体" w:cs="宋体"/>
          <w:bCs/>
          <w:sz w:val="24"/>
          <w:szCs w:val="24"/>
        </w:rPr>
        <w:t>.2</w:t>
      </w:r>
      <w:r>
        <w:rPr>
          <w:rFonts w:hint="eastAsia" w:ascii="宋体" w:hAnsi="宋体" w:cs="宋体"/>
          <w:bCs/>
          <w:sz w:val="24"/>
          <w:szCs w:val="24"/>
        </w:rPr>
        <w:t>响应文件的信封上应写明</w:t>
      </w:r>
      <w:r>
        <w:rPr>
          <w:rFonts w:ascii="宋体" w:hAnsi="宋体" w:cs="宋体"/>
          <w:bCs/>
          <w:sz w:val="24"/>
          <w:szCs w:val="24"/>
        </w:rPr>
        <w:t>:</w:t>
      </w:r>
      <w:r>
        <w:rPr>
          <w:rFonts w:hint="eastAsia" w:ascii="宋体" w:hAnsi="宋体" w:cs="宋体"/>
          <w:bCs/>
          <w:sz w:val="24"/>
          <w:szCs w:val="24"/>
        </w:rPr>
        <w:t>项目编号、项目名称、磋商内容、供应商名称。</w:t>
      </w:r>
    </w:p>
    <w:p>
      <w:pPr>
        <w:spacing w:line="276" w:lineRule="auto"/>
        <w:ind w:left="360" w:hanging="360" w:hangingChars="150"/>
        <w:rPr>
          <w:rFonts w:ascii="宋体" w:cs="宋体"/>
          <w:bCs/>
          <w:sz w:val="24"/>
          <w:szCs w:val="24"/>
        </w:rPr>
      </w:pPr>
      <w:r>
        <w:rPr>
          <w:rFonts w:ascii="宋体" w:hAnsi="宋体" w:cs="宋体"/>
          <w:bCs/>
          <w:sz w:val="24"/>
          <w:szCs w:val="24"/>
        </w:rPr>
        <w:t>1</w:t>
      </w:r>
      <w:r>
        <w:rPr>
          <w:rFonts w:hint="eastAsia" w:ascii="宋体" w:hAnsi="宋体" w:cs="宋体"/>
          <w:bCs/>
          <w:sz w:val="24"/>
          <w:szCs w:val="24"/>
          <w:lang w:val="en-US" w:eastAsia="zh-CN"/>
        </w:rPr>
        <w:t>3</w:t>
      </w:r>
      <w:r>
        <w:rPr>
          <w:rFonts w:ascii="宋体" w:hAnsi="宋体" w:cs="宋体"/>
          <w:bCs/>
          <w:sz w:val="24"/>
          <w:szCs w:val="24"/>
        </w:rPr>
        <w:t xml:space="preserve">. </w:t>
      </w:r>
      <w:r>
        <w:rPr>
          <w:rFonts w:hint="eastAsia" w:ascii="宋体" w:hAnsi="宋体" w:cs="宋体"/>
          <w:bCs/>
          <w:sz w:val="24"/>
          <w:szCs w:val="24"/>
        </w:rPr>
        <w:t>响应文件的递交</w:t>
      </w:r>
    </w:p>
    <w:p>
      <w:pPr>
        <w:spacing w:line="276" w:lineRule="auto"/>
        <w:jc w:val="left"/>
        <w:rPr>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sz w:val="24"/>
          <w:szCs w:val="24"/>
        </w:rPr>
        <w:t>所有响应文件应于第一章“竞争性磋商邀请函”中规定的时间前递交到</w:t>
      </w:r>
      <w:r>
        <w:rPr>
          <w:rFonts w:hint="eastAsia"/>
          <w:sz w:val="24"/>
          <w:szCs w:val="24"/>
          <w:lang w:val="en-US" w:eastAsia="zh-CN"/>
        </w:rPr>
        <w:t>采购人</w:t>
      </w:r>
      <w:r>
        <w:rPr>
          <w:rFonts w:hint="eastAsia"/>
          <w:sz w:val="24"/>
          <w:szCs w:val="24"/>
        </w:rPr>
        <w:t>。</w:t>
      </w:r>
    </w:p>
    <w:p>
      <w:pPr>
        <w:spacing w:line="276" w:lineRule="auto"/>
        <w:ind w:left="360" w:hanging="360" w:hangingChars="150"/>
        <w:rPr>
          <w:rFonts w:ascii="宋体" w:cs="宋体"/>
          <w:bCs/>
          <w:sz w:val="24"/>
          <w:szCs w:val="24"/>
        </w:rPr>
      </w:pPr>
      <w:r>
        <w:rPr>
          <w:rFonts w:ascii="宋体" w:hAnsi="宋体" w:cs="宋体"/>
          <w:bCs/>
          <w:sz w:val="24"/>
          <w:szCs w:val="24"/>
        </w:rPr>
        <w:t>1</w:t>
      </w:r>
      <w:r>
        <w:rPr>
          <w:rFonts w:hint="eastAsia" w:ascii="宋体" w:hAnsi="宋体" w:cs="宋体"/>
          <w:bCs/>
          <w:sz w:val="24"/>
          <w:szCs w:val="24"/>
          <w:lang w:val="en-US" w:eastAsia="zh-CN"/>
        </w:rPr>
        <w:t>4</w:t>
      </w:r>
      <w:r>
        <w:rPr>
          <w:rFonts w:hint="eastAsia" w:ascii="宋体" w:hAnsi="宋体" w:cs="宋体"/>
          <w:bCs/>
          <w:sz w:val="24"/>
          <w:szCs w:val="24"/>
          <w:lang w:eastAsia="zh-CN"/>
        </w:rPr>
        <w:t>、</w:t>
      </w:r>
      <w:r>
        <w:rPr>
          <w:rFonts w:hint="eastAsia" w:ascii="宋体" w:hAnsi="宋体" w:cs="宋体"/>
          <w:bCs/>
          <w:sz w:val="24"/>
          <w:szCs w:val="24"/>
        </w:rPr>
        <w:t>迟交的响应文件</w:t>
      </w:r>
    </w:p>
    <w:p>
      <w:pPr>
        <w:spacing w:line="276" w:lineRule="auto"/>
        <w:jc w:val="left"/>
        <w:rPr>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.1采购</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将</w:t>
      </w:r>
      <w:r>
        <w:rPr>
          <w:rFonts w:hint="eastAsia"/>
          <w:sz w:val="24"/>
          <w:szCs w:val="24"/>
        </w:rPr>
        <w:t>拒绝或原封退回在其规定的递交响应文件截止时间之后递交的任何响应文件。</w:t>
      </w:r>
    </w:p>
    <w:p>
      <w:pPr>
        <w:spacing w:line="276" w:lineRule="auto"/>
        <w:rPr>
          <w:rFonts w:ascii="宋体" w:cs="宋体"/>
          <w:bCs/>
          <w:sz w:val="24"/>
        </w:rPr>
      </w:pPr>
    </w:p>
    <w:p>
      <w:pPr>
        <w:spacing w:line="276" w:lineRule="auto"/>
        <w:outlineLvl w:val="1"/>
        <w:rPr>
          <w:rFonts w:ascii="宋体" w:cs="宋体"/>
          <w:bCs/>
          <w:sz w:val="24"/>
        </w:rPr>
      </w:pPr>
      <w:r>
        <w:rPr>
          <w:rFonts w:hint="eastAsia" w:ascii="宋体" w:hAnsi="宋体" w:cs="宋体"/>
          <w:bCs/>
          <w:sz w:val="24"/>
        </w:rPr>
        <w:t>六、磋商小组的组成</w:t>
      </w:r>
    </w:p>
    <w:p>
      <w:pPr>
        <w:spacing w:line="276" w:lineRule="auto"/>
        <w:ind w:left="420" w:hanging="420"/>
        <w:rPr>
          <w:rFonts w:ascii="宋体" w:cs="宋体"/>
          <w:bCs/>
          <w:sz w:val="24"/>
        </w:rPr>
      </w:pPr>
      <w:r>
        <w:rPr>
          <w:rFonts w:ascii="宋体" w:hAnsi="宋体" w:cs="宋体"/>
          <w:bCs/>
          <w:sz w:val="24"/>
        </w:rPr>
        <w:t>1</w:t>
      </w:r>
      <w:r>
        <w:rPr>
          <w:rFonts w:hint="eastAsia" w:ascii="宋体" w:hAnsi="宋体" w:cs="宋体"/>
          <w:bCs/>
          <w:sz w:val="24"/>
          <w:lang w:val="en-US" w:eastAsia="zh-CN"/>
        </w:rPr>
        <w:t>5</w:t>
      </w:r>
      <w:r>
        <w:rPr>
          <w:rFonts w:ascii="宋体" w:hAnsi="宋体" w:cs="宋体"/>
          <w:bCs/>
          <w:sz w:val="24"/>
        </w:rPr>
        <w:t>.</w:t>
      </w:r>
      <w:r>
        <w:rPr>
          <w:rFonts w:hint="eastAsia" w:ascii="宋体" w:hAnsi="宋体" w:cs="宋体"/>
          <w:bCs/>
          <w:sz w:val="24"/>
        </w:rPr>
        <w:t>磋商小组成员</w:t>
      </w:r>
      <w:r>
        <w:rPr>
          <w:rFonts w:hint="eastAsia" w:ascii="宋体" w:hAnsi="宋体" w:cs="宋体"/>
          <w:kern w:val="0"/>
          <w:sz w:val="24"/>
          <w:szCs w:val="24"/>
        </w:rPr>
        <w:t>由3人组成，其中业主评委人数不超过磋商小组总数的1/3</w:t>
      </w:r>
      <w:r>
        <w:rPr>
          <w:rFonts w:hint="eastAsia" w:ascii="宋体" w:hAnsi="宋体" w:cs="宋体"/>
          <w:bCs/>
          <w:sz w:val="24"/>
        </w:rPr>
        <w:t>。</w:t>
      </w:r>
    </w:p>
    <w:p>
      <w:pPr>
        <w:spacing w:line="276" w:lineRule="auto"/>
        <w:ind w:left="360" w:hanging="360" w:hangingChars="150"/>
        <w:rPr>
          <w:rFonts w:ascii="宋体" w:cs="宋体"/>
          <w:bCs/>
          <w:sz w:val="24"/>
        </w:rPr>
      </w:pPr>
      <w:r>
        <w:rPr>
          <w:rFonts w:ascii="宋体" w:hAnsi="宋体" w:cs="宋体"/>
          <w:bCs/>
          <w:sz w:val="24"/>
        </w:rPr>
        <w:t>1</w:t>
      </w:r>
      <w:r>
        <w:rPr>
          <w:rFonts w:hint="eastAsia" w:ascii="宋体" w:hAnsi="宋体" w:cs="宋体"/>
          <w:bCs/>
          <w:sz w:val="24"/>
          <w:lang w:val="en-US" w:eastAsia="zh-CN"/>
        </w:rPr>
        <w:t>5</w:t>
      </w:r>
      <w:r>
        <w:rPr>
          <w:rFonts w:ascii="宋体" w:hAnsi="宋体" w:cs="宋体"/>
          <w:bCs/>
          <w:sz w:val="24"/>
        </w:rPr>
        <w:t>.1</w:t>
      </w:r>
      <w:r>
        <w:rPr>
          <w:rFonts w:hint="eastAsia" w:ascii="宋体" w:hAnsi="宋体" w:cs="宋体"/>
          <w:bCs/>
          <w:sz w:val="24"/>
        </w:rPr>
        <w:t>磋商小组负责确定制定磋商文件、确定磋商供应商名单、响应文件的评审、磋商谈判、商务服务评议并评分、根据综合评分情况编写评审报告，协助处理质疑、投诉等工作。</w:t>
      </w:r>
    </w:p>
    <w:p>
      <w:pPr>
        <w:spacing w:line="276" w:lineRule="auto"/>
        <w:rPr>
          <w:rFonts w:ascii="宋体" w:cs="宋体"/>
          <w:bCs/>
          <w:sz w:val="24"/>
        </w:rPr>
      </w:pPr>
    </w:p>
    <w:p>
      <w:pPr>
        <w:spacing w:line="276" w:lineRule="auto"/>
        <w:outlineLvl w:val="1"/>
        <w:rPr>
          <w:rFonts w:ascii="宋体" w:hAnsi="宋体" w:cs="宋体"/>
          <w:bCs/>
          <w:sz w:val="24"/>
        </w:rPr>
      </w:pPr>
      <w:r>
        <w:rPr>
          <w:rFonts w:hint="eastAsia" w:ascii="宋体" w:hAnsi="宋体" w:cs="宋体"/>
          <w:bCs/>
          <w:sz w:val="24"/>
        </w:rPr>
        <w:t>七、磋商的步骤</w:t>
      </w:r>
    </w:p>
    <w:p>
      <w:pPr>
        <w:spacing w:line="276" w:lineRule="auto"/>
        <w:rPr>
          <w:rFonts w:ascii="宋体" w:cs="宋体"/>
          <w:bCs/>
          <w:sz w:val="24"/>
        </w:rPr>
      </w:pPr>
      <w:r>
        <w:rPr>
          <w:rFonts w:hint="eastAsia" w:ascii="宋体" w:cs="宋体"/>
          <w:bCs/>
          <w:sz w:val="24"/>
        </w:rPr>
        <w:t>1</w:t>
      </w:r>
      <w:r>
        <w:rPr>
          <w:rFonts w:hint="eastAsia" w:ascii="宋体" w:cs="宋体"/>
          <w:bCs/>
          <w:sz w:val="24"/>
          <w:lang w:val="en-US" w:eastAsia="zh-CN"/>
        </w:rPr>
        <w:t>6</w:t>
      </w:r>
      <w:r>
        <w:rPr>
          <w:rFonts w:hint="eastAsia" w:ascii="宋体" w:cs="宋体"/>
          <w:bCs/>
          <w:sz w:val="24"/>
        </w:rPr>
        <w:t>、响应文件开启</w:t>
      </w:r>
    </w:p>
    <w:p>
      <w:pPr>
        <w:spacing w:line="276" w:lineRule="auto"/>
        <w:ind w:left="360" w:hanging="360" w:hangingChars="150"/>
        <w:jc w:val="left"/>
        <w:rPr>
          <w:rFonts w:ascii="宋体" w:hAnsi="宋体" w:cs="宋体"/>
          <w:bCs/>
          <w:sz w:val="24"/>
        </w:rPr>
      </w:pPr>
      <w:r>
        <w:rPr>
          <w:rFonts w:hint="eastAsia" w:ascii="宋体" w:cs="宋体"/>
          <w:bCs/>
          <w:sz w:val="24"/>
        </w:rPr>
        <w:t>1</w:t>
      </w:r>
      <w:r>
        <w:rPr>
          <w:rFonts w:hint="eastAsia" w:ascii="宋体" w:cs="宋体"/>
          <w:bCs/>
          <w:sz w:val="24"/>
          <w:lang w:val="en-US" w:eastAsia="zh-CN"/>
        </w:rPr>
        <w:t>6</w:t>
      </w:r>
      <w:r>
        <w:rPr>
          <w:rFonts w:hint="eastAsia" w:ascii="宋体" w:cs="宋体"/>
          <w:bCs/>
          <w:sz w:val="24"/>
        </w:rPr>
        <w:t>.1采购</w:t>
      </w:r>
      <w:r>
        <w:rPr>
          <w:rFonts w:hint="eastAsia" w:ascii="宋体" w:cs="宋体"/>
          <w:bCs/>
          <w:sz w:val="24"/>
          <w:lang w:val="en-US" w:eastAsia="zh-CN"/>
        </w:rPr>
        <w:t>人</w:t>
      </w:r>
      <w:r>
        <w:rPr>
          <w:rFonts w:hint="eastAsia" w:ascii="宋体" w:cs="宋体"/>
          <w:bCs/>
          <w:sz w:val="24"/>
        </w:rPr>
        <w:t>在第一章“磋商谈判邀请函”中约定的日期、时间和地点组织公开开启，</w:t>
      </w:r>
      <w:bookmarkStart w:id="21" w:name="_Hlk156938025"/>
      <w:r>
        <w:rPr>
          <w:rFonts w:hint="eastAsia" w:ascii="宋体" w:hAnsi="宋体" w:cs="宋体"/>
          <w:bCs/>
          <w:sz w:val="24"/>
        </w:rPr>
        <w:t>供应商法人或授权代表及其项目相关的商务技术人员按要求参加本项目磋商过程。</w:t>
      </w:r>
    </w:p>
    <w:bookmarkEnd w:id="21"/>
    <w:p>
      <w:pPr>
        <w:spacing w:line="276" w:lineRule="auto"/>
        <w:rPr>
          <w:rFonts w:ascii="宋体" w:hAnsi="宋体" w:cs="宋体"/>
          <w:bCs/>
          <w:sz w:val="24"/>
        </w:rPr>
      </w:pPr>
      <w:r>
        <w:rPr>
          <w:rFonts w:ascii="宋体" w:hAnsi="宋体" w:cs="宋体"/>
          <w:bCs/>
          <w:sz w:val="24"/>
        </w:rPr>
        <w:t>1</w:t>
      </w:r>
      <w:r>
        <w:rPr>
          <w:rFonts w:hint="eastAsia" w:ascii="宋体" w:hAnsi="宋体" w:cs="宋体"/>
          <w:bCs/>
          <w:sz w:val="24"/>
          <w:lang w:val="en-US" w:eastAsia="zh-CN"/>
        </w:rPr>
        <w:t>7</w:t>
      </w:r>
      <w:r>
        <w:rPr>
          <w:rFonts w:ascii="宋体" w:hAnsi="宋体" w:cs="宋体"/>
          <w:bCs/>
          <w:sz w:val="24"/>
        </w:rPr>
        <w:t xml:space="preserve">. </w:t>
      </w:r>
      <w:r>
        <w:rPr>
          <w:rFonts w:hint="eastAsia" w:ascii="宋体" w:hAnsi="宋体" w:cs="宋体"/>
          <w:bCs/>
          <w:sz w:val="24"/>
        </w:rPr>
        <w:t>资格性审查</w:t>
      </w:r>
    </w:p>
    <w:p>
      <w:pPr>
        <w:spacing w:line="276" w:lineRule="auto"/>
        <w:ind w:left="360" w:hanging="360" w:hangingChars="150"/>
        <w:jc w:val="left"/>
        <w:rPr>
          <w:rFonts w:ascii="宋体" w:hAnsi="宋体" w:cs="宋体"/>
          <w:bCs/>
          <w:sz w:val="24"/>
        </w:rPr>
      </w:pPr>
      <w:r>
        <w:rPr>
          <w:rFonts w:ascii="宋体" w:hAnsi="宋体" w:cs="宋体"/>
          <w:bCs/>
          <w:sz w:val="24"/>
        </w:rPr>
        <w:t>1</w:t>
      </w:r>
      <w:r>
        <w:rPr>
          <w:rFonts w:hint="eastAsia" w:ascii="宋体" w:hAnsi="宋体" w:cs="宋体"/>
          <w:bCs/>
          <w:sz w:val="24"/>
          <w:lang w:val="en-US" w:eastAsia="zh-CN"/>
        </w:rPr>
        <w:t>7</w:t>
      </w:r>
      <w:r>
        <w:rPr>
          <w:rFonts w:ascii="宋体" w:hAnsi="宋体" w:cs="宋体"/>
          <w:bCs/>
          <w:sz w:val="24"/>
        </w:rPr>
        <w:t>.1</w:t>
      </w:r>
      <w:r>
        <w:rPr>
          <w:rFonts w:hint="eastAsia" w:ascii="宋体" w:hAnsi="宋体" w:cs="宋体"/>
          <w:bCs/>
          <w:sz w:val="24"/>
        </w:rPr>
        <w:t>磋商小组验证各供应商代表或委托授权人的身份。供应商代表或委托授权人身份与响应文件不符的、响应文件未按要求加盖印章和签字的，磋商小组有权拒绝该供应商参加磋商。</w:t>
      </w:r>
    </w:p>
    <w:p>
      <w:pPr>
        <w:spacing w:line="276" w:lineRule="auto"/>
        <w:ind w:left="360" w:hanging="360" w:hangingChars="150"/>
        <w:jc w:val="left"/>
        <w:rPr>
          <w:rFonts w:ascii="宋体" w:hAnsi="宋体" w:cs="宋体"/>
          <w:bCs/>
          <w:sz w:val="24"/>
        </w:rPr>
      </w:pPr>
      <w:r>
        <w:rPr>
          <w:rFonts w:ascii="宋体" w:hAnsi="宋体" w:cs="宋体"/>
          <w:bCs/>
          <w:sz w:val="24"/>
        </w:rPr>
        <w:t>1</w:t>
      </w:r>
      <w:r>
        <w:rPr>
          <w:rFonts w:hint="eastAsia" w:ascii="宋体" w:hAnsi="宋体" w:cs="宋体"/>
          <w:bCs/>
          <w:sz w:val="24"/>
          <w:lang w:val="en-US" w:eastAsia="zh-CN"/>
        </w:rPr>
        <w:t>7</w:t>
      </w:r>
      <w:r>
        <w:rPr>
          <w:rFonts w:ascii="宋体" w:hAnsi="宋体" w:cs="宋体"/>
          <w:bCs/>
          <w:sz w:val="24"/>
        </w:rPr>
        <w:t>.2</w:t>
      </w:r>
      <w:r>
        <w:rPr>
          <w:rFonts w:hint="eastAsia" w:ascii="宋体" w:hAnsi="宋体" w:cs="宋体"/>
          <w:bCs/>
          <w:sz w:val="24"/>
        </w:rPr>
        <w:t>磋商小组根据磋商文件规定对供应商响应文件的有效性、完整性和响应程度进行审查。审查内容包括供应商资格条件、是否足额缴纳保证金、实质性响应的情况等。未实质性响应磋商文件的响应文件按无效处理，并告知有关供应商。</w:t>
      </w:r>
    </w:p>
    <w:p>
      <w:pPr>
        <w:spacing w:line="276" w:lineRule="auto"/>
        <w:ind w:left="360" w:hanging="360" w:hangingChars="150"/>
        <w:jc w:val="left"/>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8</w:t>
      </w:r>
      <w:r>
        <w:rPr>
          <w:rFonts w:hint="eastAsia" w:ascii="宋体" w:hAnsi="宋体" w:cs="宋体"/>
          <w:bCs/>
          <w:sz w:val="24"/>
        </w:rPr>
        <w:t>供应商信用信息及查询</w:t>
      </w:r>
    </w:p>
    <w:p>
      <w:pPr>
        <w:spacing w:line="276" w:lineRule="auto"/>
        <w:ind w:left="360" w:hanging="360" w:hangingChars="150"/>
        <w:jc w:val="left"/>
        <w:rPr>
          <w:rFonts w:ascii="宋体" w:hAnsi="宋体" w:cs="宋体"/>
          <w:bCs/>
          <w:sz w:val="24"/>
        </w:rPr>
      </w:pPr>
      <w:r>
        <w:rPr>
          <w:rFonts w:hint="eastAsia" w:ascii="宋体" w:hAnsi="宋体" w:cs="宋体"/>
          <w:bCs/>
          <w:sz w:val="24"/>
        </w:rPr>
        <w:t>1)信用记录的查询渠道为“信用中国”网站（</w:t>
      </w:r>
      <w:r>
        <w:rPr>
          <w:rFonts w:hint="eastAsia"/>
          <w:color w:val="0000FF"/>
          <w:sz w:val="24"/>
          <w:szCs w:val="24"/>
          <w:u w:val="single"/>
        </w:rPr>
        <w:t>www.creditchina.gov.cn</w:t>
      </w:r>
      <w:r>
        <w:rPr>
          <w:rFonts w:hint="eastAsia" w:ascii="宋体" w:hAnsi="宋体" w:cs="宋体"/>
          <w:bCs/>
          <w:sz w:val="24"/>
        </w:rPr>
        <w:t>）或中国执行信息公开网（</w:t>
      </w:r>
      <w:r>
        <w:fldChar w:fldCharType="begin"/>
      </w:r>
      <w:r>
        <w:instrText xml:space="preserve">HYPERLINK "F:\\湖北国华工作资料\\荆州机场\\荆州机场飞行区及地服区物业管理采购项目\\zxgk.court.gov.cn" </w:instrText>
      </w:r>
      <w:r>
        <w:fldChar w:fldCharType="separate"/>
      </w:r>
      <w:r>
        <w:rPr>
          <w:rFonts w:hint="eastAsia"/>
          <w:color w:val="0000FF"/>
          <w:sz w:val="24"/>
          <w:szCs w:val="24"/>
          <w:u w:val="single"/>
        </w:rPr>
        <w:t>zxgk.court.gov.cn</w:t>
      </w:r>
      <w:r>
        <w:fldChar w:fldCharType="end"/>
      </w:r>
      <w:r>
        <w:rPr>
          <w:rFonts w:hint="eastAsia" w:ascii="宋体" w:hAnsi="宋体" w:cs="宋体"/>
          <w:bCs/>
          <w:sz w:val="24"/>
        </w:rPr>
        <w:t>）。</w:t>
      </w:r>
    </w:p>
    <w:p>
      <w:pPr>
        <w:spacing w:line="276" w:lineRule="auto"/>
        <w:ind w:left="360" w:hanging="360" w:hangingChars="150"/>
        <w:jc w:val="left"/>
        <w:rPr>
          <w:rFonts w:ascii="宋体" w:hAnsi="宋体" w:cs="宋体"/>
          <w:bCs/>
          <w:sz w:val="24"/>
        </w:rPr>
      </w:pPr>
      <w:r>
        <w:rPr>
          <w:rFonts w:hint="eastAsia" w:ascii="宋体" w:hAnsi="宋体" w:cs="宋体"/>
          <w:bCs/>
          <w:sz w:val="24"/>
        </w:rPr>
        <w:t>2)列入失信被执行人名单的供应商，采购</w:t>
      </w:r>
      <w:r>
        <w:rPr>
          <w:rFonts w:hint="eastAsia" w:ascii="宋体" w:hAnsi="宋体" w:cs="宋体"/>
          <w:bCs/>
          <w:sz w:val="24"/>
          <w:lang w:val="en-US" w:eastAsia="zh-CN"/>
        </w:rPr>
        <w:t>人</w:t>
      </w:r>
      <w:r>
        <w:rPr>
          <w:rFonts w:hint="eastAsia" w:ascii="宋体" w:hAnsi="宋体" w:cs="宋体"/>
          <w:bCs/>
          <w:sz w:val="24"/>
        </w:rPr>
        <w:t>拒绝其参与采购活动。</w:t>
      </w:r>
    </w:p>
    <w:p>
      <w:pPr>
        <w:spacing w:line="276" w:lineRule="auto"/>
        <w:ind w:left="360" w:hanging="360" w:hangingChars="150"/>
        <w:jc w:val="left"/>
        <w:rPr>
          <w:rFonts w:ascii="宋体" w:hAnsi="宋体" w:cs="宋体"/>
          <w:bCs/>
          <w:sz w:val="24"/>
        </w:rPr>
      </w:pPr>
      <w:r>
        <w:rPr>
          <w:rFonts w:hint="eastAsia" w:ascii="宋体" w:hAnsi="宋体" w:cs="宋体"/>
          <w:bCs/>
          <w:sz w:val="24"/>
        </w:rPr>
        <w:t>3)两个及以上投标人组成联合体，以一个供应商的身份共同参加采购活动的，应当对所有联合体成员进行信用记录查询，联合体成员存在不良信用记录的，视同联合体存在不良信用信息。</w:t>
      </w:r>
    </w:p>
    <w:p>
      <w:pPr>
        <w:spacing w:line="276" w:lineRule="auto"/>
        <w:ind w:left="360" w:hanging="360" w:hangingChars="150"/>
        <w:jc w:val="left"/>
        <w:rPr>
          <w:rFonts w:ascii="宋体" w:hAnsi="宋体" w:cs="宋体"/>
          <w:bCs/>
          <w:sz w:val="24"/>
        </w:rPr>
      </w:pPr>
      <w:r>
        <w:rPr>
          <w:rFonts w:hint="eastAsia" w:ascii="宋体" w:hAnsi="宋体" w:cs="宋体"/>
          <w:bCs/>
          <w:sz w:val="24"/>
        </w:rPr>
        <w:t>4)在资格审查与评审工作未同日进行的特殊情形下，采购</w:t>
      </w:r>
      <w:r>
        <w:rPr>
          <w:rFonts w:hint="eastAsia" w:ascii="宋体" w:hAnsi="宋体" w:cs="宋体"/>
          <w:bCs/>
          <w:sz w:val="24"/>
          <w:lang w:val="en-US" w:eastAsia="zh-CN"/>
        </w:rPr>
        <w:t>人</w:t>
      </w:r>
      <w:r>
        <w:rPr>
          <w:rFonts w:hint="eastAsia" w:ascii="宋体" w:hAnsi="宋体" w:cs="宋体"/>
          <w:bCs/>
          <w:sz w:val="24"/>
        </w:rPr>
        <w:t>工作人员在评审时对供应商的信用信息进行复核，发现评审当日存在不良信用信息的，由评审委员会按照符合性审查不合格作无效响应处理。</w:t>
      </w:r>
    </w:p>
    <w:p>
      <w:pPr>
        <w:spacing w:line="276" w:lineRule="auto"/>
        <w:ind w:left="360" w:hanging="360" w:hangingChars="150"/>
        <w:jc w:val="left"/>
        <w:rPr>
          <w:rFonts w:ascii="宋体" w:hAnsi="宋体" w:cs="宋体"/>
          <w:bCs/>
          <w:sz w:val="24"/>
        </w:rPr>
      </w:pPr>
      <w:r>
        <w:rPr>
          <w:rFonts w:hint="eastAsia" w:ascii="宋体" w:hAnsi="宋体" w:cs="宋体"/>
          <w:bCs/>
          <w:sz w:val="24"/>
          <w:lang w:val="en-US" w:eastAsia="zh-CN"/>
        </w:rPr>
        <w:t>19</w:t>
      </w:r>
      <w:r>
        <w:rPr>
          <w:rFonts w:hint="eastAsia" w:ascii="宋体" w:hAnsi="宋体" w:cs="宋体"/>
          <w:bCs/>
          <w:sz w:val="24"/>
        </w:rPr>
        <w:t>、响应文件的澄清和说明</w:t>
      </w:r>
    </w:p>
    <w:p>
      <w:pPr>
        <w:spacing w:line="276" w:lineRule="auto"/>
        <w:ind w:left="360" w:hanging="360" w:hangingChars="150"/>
        <w:jc w:val="left"/>
        <w:rPr>
          <w:rFonts w:ascii="宋体" w:hAnsi="宋体" w:cs="宋体"/>
          <w:bCs/>
          <w:sz w:val="24"/>
        </w:rPr>
      </w:pPr>
      <w:r>
        <w:rPr>
          <w:rFonts w:hint="eastAsia" w:ascii="宋体" w:hAnsi="宋体" w:cs="宋体"/>
          <w:bCs/>
          <w:sz w:val="24"/>
          <w:lang w:val="en-US" w:eastAsia="zh-CN"/>
        </w:rPr>
        <w:t>19</w:t>
      </w:r>
      <w:r>
        <w:rPr>
          <w:rFonts w:ascii="宋体" w:hAnsi="宋体" w:cs="宋体"/>
          <w:bCs/>
          <w:sz w:val="24"/>
        </w:rPr>
        <w:t>.1</w:t>
      </w:r>
      <w:r>
        <w:rPr>
          <w:rFonts w:hint="eastAsia" w:ascii="宋体" w:hAnsi="宋体" w:cs="宋体"/>
          <w:bCs/>
          <w:sz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76" w:lineRule="auto"/>
        <w:ind w:left="360" w:hanging="360" w:hangingChars="150"/>
        <w:jc w:val="left"/>
        <w:rPr>
          <w:rFonts w:ascii="宋体" w:hAnsi="宋体" w:cs="宋体"/>
          <w:bCs/>
          <w:sz w:val="24"/>
        </w:rPr>
      </w:pPr>
      <w:r>
        <w:rPr>
          <w:rFonts w:hint="eastAsia" w:ascii="宋体" w:hAnsi="宋体" w:cs="宋体"/>
          <w:bCs/>
          <w:sz w:val="24"/>
          <w:lang w:val="en-US" w:eastAsia="zh-CN"/>
        </w:rPr>
        <w:t>19</w:t>
      </w:r>
      <w:r>
        <w:rPr>
          <w:rFonts w:ascii="宋体" w:hAnsi="宋体" w:cs="宋体"/>
          <w:bCs/>
          <w:sz w:val="24"/>
        </w:rPr>
        <w:t>.2</w:t>
      </w:r>
      <w:r>
        <w:rPr>
          <w:rFonts w:hint="eastAsia" w:ascii="宋体" w:hAnsi="宋体" w:cs="宋体"/>
          <w:bCs/>
          <w:sz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276" w:lineRule="auto"/>
        <w:ind w:left="360" w:hanging="360" w:hangingChars="150"/>
        <w:jc w:val="left"/>
        <w:rPr>
          <w:rFonts w:ascii="宋体" w:hAnsi="宋体" w:cs="宋体"/>
          <w:bCs/>
          <w:sz w:val="24"/>
        </w:rPr>
      </w:pPr>
      <w:r>
        <w:rPr>
          <w:rFonts w:hint="eastAsia" w:ascii="宋体" w:hAnsi="宋体" w:cs="宋体"/>
          <w:bCs/>
          <w:sz w:val="24"/>
          <w:lang w:val="en-US" w:eastAsia="zh-CN"/>
        </w:rPr>
        <w:t>19</w:t>
      </w:r>
      <w:r>
        <w:rPr>
          <w:rFonts w:ascii="宋体" w:hAnsi="宋体" w:cs="宋体"/>
          <w:bCs/>
          <w:sz w:val="24"/>
        </w:rPr>
        <w:t>.3</w:t>
      </w:r>
      <w:r>
        <w:rPr>
          <w:rFonts w:hint="eastAsia" w:ascii="宋体" w:hAnsi="宋体" w:cs="宋体"/>
          <w:bCs/>
          <w:sz w:val="24"/>
        </w:rPr>
        <w:t>供应商可以对参加竞争性磋商项目的采购需求提出优化建议，并以书面提交磋商小组。</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.1磋商小组将根据采购文件第四章规定的程序和方法与供应商进行磋商。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.2第一轮磋商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.2.1磋商小组将按照供应商签到顺序的倒序与单一供应商分别进行磋商。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.2.2磋商小组对照采购文件与供应商的响应文件分别就采购需求、质量和服务等进行磋商，并了解其报价组成情况。磋商中，磋商的任何一方不得透露与磋商有关的其他供应商的技术资料、价格和其他信息。</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.2.3磋商小组按采购文件设定的方法和标准确定供应商符合采购文件要求的，该供应商即为合格的供应商。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2.4第一轮磋商后，合格的供应商超过三家的，磋商小组可根据采购项目的特点、采购人的实际需求及与各供应商的磋商情况对采购文件作出实质性变动，并进行下一轮磋商谈判，或直接进入最后报价。变动后的采购文件应不得少于3家供应商满足。</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.2.5合格的供应商不足三家的，磋商小组、采购人在降低采购需求中的技术、服务要求以及合同草案条款后进行下一轮磋商。如磋商小组、采购人不降低采购需求，则本次磋商终止。</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2.6采用磋商谈判采购方式采购的政府购买服务项目（含政府和社会资本合作项目），在采购过程中符合要求的供应商（社会资本）只有2家的，磋商谈判采购活动可以继续进行。采购过程中符合要求的供应商（社会资本）只有1家的，采购人（项目实施机构）或者采购</w:t>
      </w:r>
      <w:r>
        <w:rPr>
          <w:rFonts w:hint="eastAsia" w:ascii="宋体" w:hAnsi="宋体" w:cs="宋体"/>
          <w:bCs/>
          <w:sz w:val="24"/>
          <w:lang w:val="en-US" w:eastAsia="zh-CN"/>
        </w:rPr>
        <w:t>人</w:t>
      </w:r>
      <w:r>
        <w:rPr>
          <w:rFonts w:hint="eastAsia" w:ascii="宋体" w:hAnsi="宋体" w:cs="宋体"/>
          <w:bCs/>
          <w:sz w:val="24"/>
        </w:rPr>
        <w:t>应当终止磋商谈判采购活动，发布项目终止公告并说明原因，重新开展采购活动。</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.3采购文件的修正</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.3.1磋商小组可根据采购文件和磋商情况实质性变动采购需求中的技术、服务要求以及合同草案条款，但不得变动采购文件中的其他内容。</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.3.2对采购文件作出的实质性变动是采购文件的有效组成部分，磋商小组将磋商文件的修改结果以书面形式通知所有参加磋商的供应商。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.3.3供应商应当根据第一轮磋商情况和采购文件的变动情况，对原响应文件进行修正，并将修正文件签字（或盖章）后密封送交磋商小组。逾时不交的，视同放弃磋商。修正文件与响应文件同具法律效应。</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.3.4对无法详细描述需求，需要供应商提供设计或者解决方案的项目，磋商小组可以根据采购人对需求的确认情况，进行多轮磋商，直至采购人代表最终确认需求为止。</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.4第二轮磋商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.4.1磋商小组就修正后的采购文件集中与供应商分别进行磋商。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.4.2第二轮磋商结束后，实质性响应采购文件及变动后采购文件要求的供应商超过或不足三家的，按照上一轮磋商程序办理，以此类推。</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.5最后报价</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.5.1磋商小组对采购文件中能够详细列明采购标的的技术、服务要求的，在磋商结束后，</w:t>
      </w:r>
      <w:bookmarkStart w:id="22" w:name="_Hlk156938877"/>
      <w:r>
        <w:rPr>
          <w:rFonts w:hint="eastAsia" w:ascii="宋体" w:hAnsi="宋体" w:cs="宋体"/>
          <w:bCs/>
          <w:sz w:val="24"/>
        </w:rPr>
        <w:t>所有继续参加磋商合格的供应商应在规定时间内提交最后报价</w:t>
      </w:r>
      <w:bookmarkEnd w:id="22"/>
      <w:r>
        <w:rPr>
          <w:rFonts w:hint="eastAsia" w:ascii="宋体" w:hAnsi="宋体" w:cs="宋体"/>
          <w:bCs/>
          <w:sz w:val="24"/>
        </w:rPr>
        <w:t>。</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5.2磋商小组对采购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.5.3供应商的报价均超过了采购预算或报价未超过采购预算的供应商不足三家的（第21.2.6条所述情形除外），磋商活动终止。</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.5.4最后报价文件应在规定的同一时间内提交并由采购人开启。最后报价是供应商响应文件的有效组成部分。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.5.5在提交最后报价之前，供应商可以根据磋商情况退出磋商。采购人、采购</w:t>
      </w:r>
      <w:r>
        <w:rPr>
          <w:rFonts w:hint="eastAsia" w:ascii="宋体" w:hAnsi="宋体" w:cs="宋体"/>
          <w:bCs/>
          <w:sz w:val="24"/>
          <w:lang w:val="en-US" w:eastAsia="zh-CN"/>
        </w:rPr>
        <w:t>人</w:t>
      </w:r>
      <w:r>
        <w:rPr>
          <w:rFonts w:hint="eastAsia" w:ascii="宋体" w:hAnsi="宋体" w:cs="宋体"/>
          <w:bCs/>
          <w:sz w:val="24"/>
        </w:rPr>
        <w:t>应当退还退出磋商的供应商的磋商保证金。</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.6综合评审</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.6.1磋商小组将按照采购文件确定的评审办法对提交最后报价的供应商的响应文件和最后报价进行综合评审。</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.6.2本次评审由磋商小组采用综合评分法对提交最后报价的供应商的响应文件和最后报价进行综合评分。 综合评分法是指响应文件满足采购文件全部实质性要求且按评审因素的量化指标评审得分最高的供应商为成交候选供应商的评审方法。具体评审因素的量化指标详见“第四章 评审办法及评分标准”。</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.6.3磋商小组决定响应文件的响应性只根据响应文件本身的真实无误的内容，而不依据外部的证据，但响应文件有不真实不正确的内容时除外。</w:t>
      </w:r>
    </w:p>
    <w:p>
      <w:pPr>
        <w:spacing w:line="276" w:lineRule="auto"/>
        <w:ind w:left="360" w:hanging="360" w:hangingChars="15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hint="eastAsia" w:ascii="宋体" w:hAnsi="宋体" w:cs="宋体"/>
          <w:bCs/>
          <w:sz w:val="24"/>
        </w:rPr>
        <w:t>.6.4价格分采用低价优先法计算，即满足采购文件要求且最后报价最低的供应商的价格为磋商基准价，其价格分为满分。其他供应商的价格分计算公式：磋商报价得分=（磋商基准价/最后磋商报价）×价格权值×100。报价得分四舍五入后保留至小数点后2位。</w:t>
      </w:r>
    </w:p>
    <w:p>
      <w:pPr>
        <w:spacing w:line="276" w:lineRule="auto"/>
        <w:ind w:left="360" w:hanging="360" w:hangingChars="150"/>
        <w:jc w:val="left"/>
        <w:rPr>
          <w:rFonts w:asci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ascii="宋体" w:hAnsi="宋体" w:cs="宋体"/>
          <w:bCs/>
          <w:sz w:val="24"/>
        </w:rPr>
        <w:t>.6.</w:t>
      </w:r>
      <w:r>
        <w:rPr>
          <w:rFonts w:hint="eastAsia" w:ascii="宋体" w:hAnsi="宋体" w:cs="宋体"/>
          <w:bCs/>
          <w:sz w:val="24"/>
        </w:rPr>
        <w:t>5算术错误将按其中的高价数据更正；若大写金额与小写金额不一致，以大写金额为准。</w:t>
      </w:r>
    </w:p>
    <w:p>
      <w:pPr>
        <w:spacing w:line="276" w:lineRule="auto"/>
        <w:ind w:left="360" w:hanging="360" w:hangingChars="150"/>
        <w:jc w:val="left"/>
        <w:rPr>
          <w:rFonts w:asci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ascii="宋体" w:hAnsi="宋体" w:cs="宋体"/>
          <w:bCs/>
          <w:sz w:val="24"/>
        </w:rPr>
        <w:t>.6.6</w:t>
      </w:r>
      <w:r>
        <w:rPr>
          <w:rFonts w:hint="eastAsia" w:ascii="宋体" w:hAnsi="宋体" w:cs="宋体"/>
          <w:bCs/>
          <w:sz w:val="24"/>
        </w:rPr>
        <w:t>对于单项有明显低于成本的单项报价（含根据21.6.4更正后的价格），应当要求该供应商作出说明并提供相关证明材料。供应商不能合理说明或者不能提供相关证明材料的，将以最高价（即拦标价）计分后减</w:t>
      </w:r>
      <w:r>
        <w:rPr>
          <w:rFonts w:ascii="宋体" w:hAnsi="宋体" w:cs="宋体"/>
          <w:bCs/>
          <w:sz w:val="24"/>
        </w:rPr>
        <w:t>5</w:t>
      </w:r>
      <w:r>
        <w:rPr>
          <w:rFonts w:hint="eastAsia" w:ascii="宋体" w:hAnsi="宋体" w:cs="宋体"/>
          <w:bCs/>
          <w:sz w:val="24"/>
        </w:rPr>
        <w:t>分作为该供应商价格分。</w:t>
      </w:r>
    </w:p>
    <w:p>
      <w:pPr>
        <w:spacing w:line="276" w:lineRule="auto"/>
        <w:ind w:left="360" w:hanging="360" w:hangingChars="150"/>
        <w:jc w:val="left"/>
        <w:rPr>
          <w:rFonts w:ascii="宋体" w:cs="宋体"/>
          <w:bCs/>
          <w:sz w:val="24"/>
        </w:rPr>
      </w:pPr>
      <w:r>
        <w:rPr>
          <w:rFonts w:hint="eastAsia" w:ascii="宋体" w:hAnsi="宋体" w:cs="宋体"/>
          <w:bCs/>
          <w:sz w:val="24"/>
        </w:rPr>
        <w:t>2</w:t>
      </w:r>
      <w:r>
        <w:rPr>
          <w:rFonts w:hint="eastAsia" w:ascii="宋体" w:hAnsi="宋体" w:cs="宋体"/>
          <w:bCs/>
          <w:sz w:val="24"/>
          <w:lang w:val="en-US" w:eastAsia="zh-CN"/>
        </w:rPr>
        <w:t>0</w:t>
      </w:r>
      <w:r>
        <w:rPr>
          <w:rFonts w:ascii="宋体" w:hAnsi="宋体" w:cs="宋体"/>
          <w:bCs/>
          <w:sz w:val="24"/>
        </w:rPr>
        <w:t>.6.</w:t>
      </w:r>
      <w:r>
        <w:rPr>
          <w:rFonts w:hint="eastAsia" w:ascii="宋体" w:hAnsi="宋体" w:cs="宋体"/>
          <w:bCs/>
          <w:sz w:val="24"/>
        </w:rPr>
        <w:t>7对于有明显低于成本的总报价（含根据21.6.4更正后的价格），应当要求该供应商作出说明并提供相关证明材料。供应商不能合理说明或者不能提供相关证明材料的，作无效响应文件处理。</w:t>
      </w:r>
    </w:p>
    <w:p>
      <w:pPr>
        <w:pStyle w:val="12"/>
        <w:spacing w:line="276" w:lineRule="auto"/>
        <w:ind w:left="0"/>
      </w:pPr>
    </w:p>
    <w:p>
      <w:pPr>
        <w:spacing w:line="276" w:lineRule="auto"/>
        <w:outlineLvl w:val="1"/>
        <w:rPr>
          <w:rFonts w:ascii="宋体" w:cs="宋体"/>
          <w:bCs/>
          <w:sz w:val="24"/>
        </w:rPr>
      </w:pPr>
      <w:r>
        <w:rPr>
          <w:rFonts w:hint="eastAsia" w:ascii="宋体" w:hAnsi="宋体" w:cs="宋体"/>
          <w:bCs/>
          <w:sz w:val="24"/>
        </w:rPr>
        <w:t>八、确定成交供应商</w:t>
      </w:r>
    </w:p>
    <w:p>
      <w:pPr>
        <w:spacing w:line="276" w:lineRule="auto"/>
        <w:ind w:left="360" w:hanging="360" w:hangingChars="150"/>
        <w:rPr>
          <w:rFonts w:ascii="宋体" w:cs="宋体"/>
          <w:bCs/>
          <w:sz w:val="24"/>
        </w:rPr>
      </w:pPr>
      <w:r>
        <w:rPr>
          <w:rFonts w:ascii="宋体" w:hAnsi="宋体" w:cs="宋体"/>
          <w:bCs/>
          <w:sz w:val="24"/>
        </w:rPr>
        <w:t>2</w:t>
      </w:r>
      <w:r>
        <w:rPr>
          <w:rFonts w:hint="eastAsia" w:ascii="宋体" w:hAnsi="宋体" w:cs="宋体"/>
          <w:bCs/>
          <w:sz w:val="24"/>
          <w:lang w:val="en-US" w:eastAsia="zh-CN"/>
        </w:rPr>
        <w:t>1</w:t>
      </w:r>
      <w:r>
        <w:rPr>
          <w:rFonts w:ascii="宋体" w:hAnsi="宋体" w:cs="宋体"/>
          <w:bCs/>
          <w:sz w:val="24"/>
        </w:rPr>
        <w:t>.</w:t>
      </w:r>
      <w:r>
        <w:rPr>
          <w:rFonts w:hint="eastAsia" w:ascii="宋体" w:hAnsi="宋体" w:cs="宋体"/>
          <w:bCs/>
          <w:sz w:val="24"/>
        </w:rPr>
        <w:t>采购人从评审报告提出的成交候选供应商中，按照排序由高到低的原则确定成交供应商。</w:t>
      </w:r>
    </w:p>
    <w:p>
      <w:pPr>
        <w:spacing w:line="276" w:lineRule="auto"/>
        <w:ind w:left="360" w:hanging="360" w:hangingChars="150"/>
        <w:rPr>
          <w:rFonts w:ascii="宋体" w:cs="宋体"/>
          <w:b/>
          <w:sz w:val="24"/>
        </w:rPr>
      </w:pPr>
      <w:r>
        <w:rPr>
          <w:rFonts w:ascii="宋体" w:hAnsi="宋体" w:cs="宋体"/>
          <w:bCs/>
          <w:sz w:val="24"/>
        </w:rPr>
        <w:t>2</w:t>
      </w:r>
      <w:r>
        <w:rPr>
          <w:rFonts w:hint="eastAsia" w:ascii="宋体" w:hAnsi="宋体" w:cs="宋体"/>
          <w:bCs/>
          <w:sz w:val="24"/>
          <w:lang w:val="en-US" w:eastAsia="zh-CN"/>
        </w:rPr>
        <w:t>2</w:t>
      </w:r>
      <w:r>
        <w:rPr>
          <w:rFonts w:ascii="宋体" w:hAnsi="宋体" w:cs="宋体"/>
          <w:bCs/>
          <w:sz w:val="24"/>
        </w:rPr>
        <w:t>.</w:t>
      </w:r>
      <w:r>
        <w:rPr>
          <w:rFonts w:hint="eastAsia" w:ascii="宋体" w:hAnsi="宋体" w:cs="宋体"/>
          <w:b/>
          <w:sz w:val="24"/>
        </w:rPr>
        <w:t>磋商小组根据供应商资格审查情况，采用按综合评分法</w:t>
      </w:r>
      <w:r>
        <w:rPr>
          <w:rFonts w:ascii="宋体" w:cs="宋体"/>
          <w:b/>
          <w:sz w:val="24"/>
        </w:rPr>
        <w:t>,</w:t>
      </w:r>
      <w:r>
        <w:rPr>
          <w:rFonts w:hint="eastAsia" w:ascii="宋体" w:hAnsi="宋体" w:cs="宋体"/>
          <w:b/>
          <w:sz w:val="24"/>
        </w:rPr>
        <w:t>对响应文件评价和比较，并按照评分标准进行打分，按评审后总得分由高到低顺序排列。评审总得分相同的，按照最后报价（核算后）由低到高的顺序推荐。评审总得分且最后报价（核算后）相同的，按照技术指标优劣顺序推荐。磋商小组推荐前三名供应商并出具评标报告。</w:t>
      </w:r>
    </w:p>
    <w:p>
      <w:pPr>
        <w:spacing w:line="276" w:lineRule="auto"/>
        <w:ind w:left="360" w:hanging="360" w:hangingChars="150"/>
        <w:rPr>
          <w:rFonts w:hint="eastAsia" w:ascii="宋体" w:hAnsi="宋体" w:cs="宋体"/>
          <w:bCs/>
          <w:sz w:val="24"/>
        </w:rPr>
      </w:pPr>
      <w:r>
        <w:rPr>
          <w:rFonts w:ascii="宋体" w:hAnsi="宋体" w:cs="宋体"/>
          <w:bCs/>
          <w:sz w:val="24"/>
        </w:rPr>
        <w:t>2</w:t>
      </w:r>
      <w:r>
        <w:rPr>
          <w:rFonts w:hint="eastAsia" w:ascii="宋体" w:hAnsi="宋体" w:cs="宋体"/>
          <w:bCs/>
          <w:sz w:val="24"/>
          <w:lang w:val="en-US" w:eastAsia="zh-CN"/>
        </w:rPr>
        <w:t>3</w:t>
      </w:r>
      <w:r>
        <w:rPr>
          <w:rFonts w:ascii="宋体" w:hAnsi="宋体" w:cs="宋体"/>
          <w:bCs/>
          <w:sz w:val="24"/>
        </w:rPr>
        <w:t>.</w:t>
      </w:r>
      <w:r>
        <w:rPr>
          <w:rFonts w:hint="eastAsia" w:ascii="宋体" w:hAnsi="宋体" w:cs="宋体"/>
          <w:bCs/>
          <w:sz w:val="24"/>
        </w:rPr>
        <w:t>成交供应商拒绝签订采购合同的，采购人可以确定其他供应商作为成交供应商并签订采购合同，也可以重新开展采购活动。拒绝签订采购合同的成交供应商不得参加对该项目重新开展的采购活动。</w:t>
      </w:r>
    </w:p>
    <w:p/>
    <w:p>
      <w:pPr>
        <w:spacing w:line="276" w:lineRule="auto"/>
        <w:outlineLvl w:val="1"/>
        <w:rPr>
          <w:rFonts w:ascii="宋体" w:cs="宋体"/>
          <w:bCs/>
          <w:sz w:val="24"/>
        </w:rPr>
      </w:pPr>
      <w:r>
        <w:rPr>
          <w:rFonts w:hint="eastAsia" w:ascii="宋体" w:hAnsi="宋体" w:cs="宋体"/>
          <w:bCs/>
          <w:sz w:val="24"/>
        </w:rPr>
        <w:t>九、成交公告和质疑</w:t>
      </w:r>
    </w:p>
    <w:p>
      <w:pPr>
        <w:spacing w:line="276" w:lineRule="auto"/>
        <w:ind w:left="360" w:hanging="360" w:hangingChars="150"/>
        <w:rPr>
          <w:rFonts w:ascii="宋体" w:cs="宋体"/>
          <w:kern w:val="0"/>
          <w:sz w:val="24"/>
          <w:lang w:val="zh-CN"/>
        </w:rPr>
      </w:pPr>
      <w:r>
        <w:rPr>
          <w:rFonts w:ascii="宋体" w:hAnsi="宋体" w:cs="宋体"/>
          <w:bCs/>
          <w:sz w:val="24"/>
        </w:rPr>
        <w:t>2</w:t>
      </w:r>
      <w:r>
        <w:rPr>
          <w:rFonts w:hint="eastAsia" w:ascii="宋体" w:hAnsi="宋体" w:cs="宋体"/>
          <w:bCs/>
          <w:sz w:val="24"/>
          <w:lang w:val="en-US" w:eastAsia="zh-CN"/>
        </w:rPr>
        <w:t>4</w:t>
      </w:r>
      <w:r>
        <w:rPr>
          <w:rFonts w:ascii="宋体" w:hAnsi="宋体" w:cs="宋体"/>
          <w:bCs/>
          <w:sz w:val="24"/>
        </w:rPr>
        <w:t>.</w:t>
      </w:r>
      <w:r>
        <w:rPr>
          <w:rFonts w:hint="eastAsia" w:ascii="宋体" w:hAnsi="宋体" w:cs="宋体"/>
          <w:bCs/>
          <w:sz w:val="24"/>
        </w:rPr>
        <w:t>采购</w:t>
      </w:r>
      <w:r>
        <w:rPr>
          <w:rFonts w:hint="eastAsia" w:ascii="宋体" w:hAnsi="宋体" w:cs="宋体"/>
          <w:bCs/>
          <w:sz w:val="24"/>
          <w:lang w:val="en-US" w:eastAsia="zh-CN"/>
        </w:rPr>
        <w:t>人</w:t>
      </w:r>
      <w:r>
        <w:rPr>
          <w:rFonts w:hint="eastAsia" w:ascii="宋体" w:hAnsi="宋体" w:cs="宋体"/>
          <w:bCs/>
          <w:sz w:val="24"/>
        </w:rPr>
        <w:t>在成交供应商确定后，在指定媒体上公告成交结果公告，公告期限不少于三日，公告期限结束后无质疑或质疑处理完毕后向成交供应商发出成交通知书</w:t>
      </w:r>
      <w:r>
        <w:rPr>
          <w:rFonts w:hint="eastAsia" w:ascii="宋体" w:hAnsi="宋体" w:cs="宋体"/>
          <w:kern w:val="0"/>
          <w:sz w:val="24"/>
          <w:lang w:val="zh-CN"/>
        </w:rPr>
        <w:t>。</w:t>
      </w:r>
    </w:p>
    <w:p>
      <w:pPr>
        <w:spacing w:line="276" w:lineRule="auto"/>
        <w:ind w:left="360" w:hanging="360" w:hangingChars="150"/>
        <w:rPr>
          <w:rFonts w:ascii="宋体" w:cs="宋体"/>
          <w:sz w:val="24"/>
        </w:rPr>
      </w:pPr>
      <w:r>
        <w:rPr>
          <w:rFonts w:hint="eastAsia" w:ascii="宋体" w:hAnsi="宋体" w:cs="宋体"/>
          <w:kern w:val="0"/>
          <w:sz w:val="24"/>
        </w:rPr>
        <w:t>2</w:t>
      </w:r>
      <w:r>
        <w:rPr>
          <w:rFonts w:hint="eastAsia" w:ascii="宋体" w:hAnsi="宋体" w:cs="宋体"/>
          <w:kern w:val="0"/>
          <w:sz w:val="24"/>
          <w:lang w:val="en-US" w:eastAsia="zh-CN"/>
        </w:rPr>
        <w:t>5</w:t>
      </w:r>
      <w:r>
        <w:rPr>
          <w:rFonts w:ascii="宋体" w:hAnsi="宋体" w:cs="宋体"/>
          <w:kern w:val="0"/>
          <w:sz w:val="24"/>
          <w:lang w:val="zh-CN"/>
        </w:rPr>
        <w:t>.</w:t>
      </w:r>
      <w:r>
        <w:rPr>
          <w:rFonts w:hint="eastAsia" w:ascii="宋体" w:hAnsi="宋体" w:cs="宋体"/>
          <w:kern w:val="0"/>
          <w:sz w:val="24"/>
          <w:lang w:val="zh-CN"/>
        </w:rPr>
        <w:t>供应商认为</w:t>
      </w:r>
      <w:r>
        <w:rPr>
          <w:rFonts w:hint="eastAsia" w:ascii="宋体" w:hAnsi="宋体" w:cs="宋体"/>
          <w:bCs/>
          <w:sz w:val="24"/>
        </w:rPr>
        <w:t>成交结果使自己的权益受到损害的，可以在成交公告</w:t>
      </w:r>
      <w:r>
        <w:rPr>
          <w:rFonts w:hint="eastAsia" w:ascii="宋体" w:hAnsi="宋体" w:cs="宋体"/>
          <w:kern w:val="0"/>
          <w:sz w:val="24"/>
          <w:lang w:val="zh-CN"/>
        </w:rPr>
        <w:t>期限内以书面形式向湖北国华项目管理咨询有限公司提出质疑。</w:t>
      </w:r>
      <w:r>
        <w:rPr>
          <w:rFonts w:hint="eastAsia" w:ascii="宋体" w:hAnsi="宋体" w:cs="宋体"/>
          <w:sz w:val="24"/>
        </w:rPr>
        <w:t>质疑实行实名制，其质疑应当有具体的质疑事项及事实依据，不得进行虚假、恶意质疑。属于虚假、恶意质疑的将列入不良行为记录名单，必要时予以网上公布。质疑书应当包括下列主要内容：</w:t>
      </w:r>
    </w:p>
    <w:p>
      <w:pPr>
        <w:spacing w:line="276" w:lineRule="auto"/>
        <w:ind w:firstLine="360" w:firstLineChars="150"/>
        <w:rPr>
          <w:rFonts w:ascii="宋体" w:cs="宋体"/>
          <w:sz w:val="24"/>
        </w:rPr>
      </w:pPr>
      <w:r>
        <w:rPr>
          <w:rFonts w:ascii="宋体" w:hAnsi="宋体" w:cs="宋体"/>
          <w:sz w:val="24"/>
        </w:rPr>
        <w:t>1</w:t>
      </w:r>
      <w:r>
        <w:rPr>
          <w:rFonts w:hint="eastAsia" w:ascii="宋体" w:hAnsi="宋体" w:cs="宋体"/>
          <w:sz w:val="24"/>
        </w:rPr>
        <w:t>）质疑人的名称、地址、电话及联系人（法人授权代表）等；</w:t>
      </w:r>
    </w:p>
    <w:p>
      <w:pPr>
        <w:spacing w:line="276" w:lineRule="auto"/>
        <w:ind w:firstLine="360" w:firstLineChars="150"/>
        <w:rPr>
          <w:rFonts w:ascii="宋体" w:cs="宋体"/>
          <w:sz w:val="24"/>
        </w:rPr>
      </w:pPr>
      <w:r>
        <w:rPr>
          <w:rFonts w:ascii="宋体" w:hAnsi="宋体" w:cs="宋体"/>
          <w:sz w:val="24"/>
        </w:rPr>
        <w:t>2</w:t>
      </w:r>
      <w:r>
        <w:rPr>
          <w:rFonts w:hint="eastAsia" w:ascii="宋体" w:hAnsi="宋体" w:cs="宋体"/>
          <w:sz w:val="24"/>
        </w:rPr>
        <w:t>）质疑人法人签章和单位公章；</w:t>
      </w:r>
    </w:p>
    <w:p>
      <w:pPr>
        <w:spacing w:line="276" w:lineRule="auto"/>
        <w:ind w:firstLine="360" w:firstLineChars="150"/>
        <w:rPr>
          <w:rFonts w:ascii="宋体" w:cs="宋体"/>
          <w:sz w:val="24"/>
        </w:rPr>
      </w:pPr>
      <w:r>
        <w:rPr>
          <w:rFonts w:ascii="宋体" w:hAnsi="宋体" w:cs="宋体"/>
          <w:sz w:val="24"/>
        </w:rPr>
        <w:t>3</w:t>
      </w:r>
      <w:r>
        <w:rPr>
          <w:rFonts w:hint="eastAsia" w:ascii="宋体" w:hAnsi="宋体" w:cs="宋体"/>
          <w:sz w:val="24"/>
        </w:rPr>
        <w:t>）具体的质疑事项及事实依据；</w:t>
      </w:r>
    </w:p>
    <w:p>
      <w:pPr>
        <w:spacing w:line="276" w:lineRule="auto"/>
        <w:ind w:firstLine="360" w:firstLineChars="150"/>
        <w:rPr>
          <w:rFonts w:ascii="宋体" w:cs="宋体"/>
          <w:sz w:val="24"/>
        </w:rPr>
      </w:pPr>
      <w:r>
        <w:rPr>
          <w:rFonts w:ascii="宋体" w:hAnsi="宋体" w:cs="宋体"/>
          <w:sz w:val="24"/>
        </w:rPr>
        <w:t>4</w:t>
      </w:r>
      <w:r>
        <w:rPr>
          <w:rFonts w:hint="eastAsia" w:ascii="宋体" w:hAnsi="宋体" w:cs="宋体"/>
          <w:sz w:val="24"/>
        </w:rPr>
        <w:t>）明确的请求和必要的证明材料；</w:t>
      </w:r>
    </w:p>
    <w:p>
      <w:pPr>
        <w:spacing w:line="276" w:lineRule="auto"/>
        <w:ind w:firstLine="360" w:firstLineChars="150"/>
        <w:rPr>
          <w:rFonts w:ascii="宋体" w:cs="宋体"/>
          <w:sz w:val="24"/>
        </w:rPr>
      </w:pPr>
      <w:r>
        <w:rPr>
          <w:rFonts w:ascii="宋体" w:hAnsi="宋体" w:cs="宋体"/>
          <w:sz w:val="24"/>
        </w:rPr>
        <w:t>5</w:t>
      </w:r>
      <w:r>
        <w:rPr>
          <w:rFonts w:hint="eastAsia" w:ascii="宋体" w:hAnsi="宋体" w:cs="宋体"/>
          <w:sz w:val="24"/>
        </w:rPr>
        <w:t>）以联合体形式参与磋商的，则必须联合体各方共同签署、盖章；</w:t>
      </w:r>
    </w:p>
    <w:p>
      <w:pPr>
        <w:spacing w:line="276" w:lineRule="auto"/>
        <w:ind w:firstLine="360" w:firstLineChars="150"/>
        <w:rPr>
          <w:rFonts w:hint="eastAsia" w:ascii="宋体" w:hAnsi="宋体" w:cs="宋体"/>
          <w:sz w:val="24"/>
        </w:rPr>
      </w:pPr>
      <w:r>
        <w:rPr>
          <w:rFonts w:ascii="宋体" w:hAnsi="宋体" w:cs="宋体"/>
          <w:sz w:val="24"/>
        </w:rPr>
        <w:t>6</w:t>
      </w:r>
      <w:r>
        <w:rPr>
          <w:rFonts w:hint="eastAsia" w:ascii="宋体" w:hAnsi="宋体" w:cs="宋体"/>
          <w:sz w:val="24"/>
        </w:rPr>
        <w:t>）提起质疑的日期。</w:t>
      </w:r>
    </w:p>
    <w:p/>
    <w:p>
      <w:pPr>
        <w:spacing w:line="276" w:lineRule="auto"/>
        <w:outlineLvl w:val="1"/>
        <w:rPr>
          <w:rFonts w:ascii="宋体" w:cs="宋体"/>
          <w:bCs/>
          <w:sz w:val="24"/>
        </w:rPr>
      </w:pPr>
      <w:r>
        <w:rPr>
          <w:rFonts w:hint="eastAsia" w:ascii="宋体" w:hAnsi="宋体" w:cs="宋体"/>
          <w:bCs/>
          <w:sz w:val="24"/>
        </w:rPr>
        <w:t>十、签订合同</w:t>
      </w:r>
    </w:p>
    <w:p>
      <w:pPr>
        <w:adjustRightInd w:val="0"/>
        <w:snapToGrid w:val="0"/>
        <w:spacing w:line="276" w:lineRule="auto"/>
        <w:ind w:left="360" w:hanging="360" w:hangingChars="150"/>
        <w:rPr>
          <w:b/>
          <w:sz w:val="36"/>
          <w:szCs w:val="36"/>
        </w:rPr>
      </w:pPr>
      <w:r>
        <w:rPr>
          <w:rFonts w:hint="eastAsia" w:ascii="宋体" w:hAnsi="宋体" w:cs="宋体"/>
          <w:bCs/>
          <w:sz w:val="24"/>
        </w:rPr>
        <w:t>2</w:t>
      </w:r>
      <w:r>
        <w:rPr>
          <w:rFonts w:hint="eastAsia" w:ascii="宋体" w:hAnsi="宋体" w:cs="宋体"/>
          <w:bCs/>
          <w:sz w:val="24"/>
          <w:lang w:val="en-US" w:eastAsia="zh-CN"/>
        </w:rPr>
        <w:t>6</w:t>
      </w:r>
      <w:r>
        <w:rPr>
          <w:rFonts w:ascii="宋体" w:hAnsi="宋体" w:cs="宋体"/>
          <w:bCs/>
          <w:sz w:val="24"/>
        </w:rPr>
        <w:t>.</w:t>
      </w:r>
      <w:r>
        <w:rPr>
          <w:rFonts w:hint="eastAsia" w:ascii="宋体" w:hAnsi="宋体" w:cs="宋体"/>
          <w:bCs/>
          <w:sz w:val="24"/>
        </w:rPr>
        <w:t>成交供应商在收到成交通知书后，三十日内与采购人签订合同。</w:t>
      </w:r>
    </w:p>
    <w:p>
      <w:pPr>
        <w:spacing w:line="276" w:lineRule="auto"/>
        <w:ind w:left="360" w:hanging="360" w:hangingChars="150"/>
        <w:rPr>
          <w:rFonts w:ascii="宋体" w:hAnsi="宋体" w:cs="宋体"/>
          <w:kern w:val="0"/>
          <w:sz w:val="24"/>
        </w:rPr>
      </w:pPr>
    </w:p>
    <w:p>
      <w:pPr>
        <w:spacing w:line="276" w:lineRule="auto"/>
        <w:outlineLvl w:val="1"/>
        <w:rPr>
          <w:rFonts w:ascii="宋体" w:hAnsi="宋体" w:cs="宋体"/>
          <w:bCs/>
          <w:sz w:val="24"/>
        </w:rPr>
      </w:pPr>
      <w:r>
        <w:rPr>
          <w:rFonts w:hint="eastAsia" w:ascii="宋体" w:hAnsi="宋体" w:cs="宋体"/>
          <w:bCs/>
          <w:sz w:val="24"/>
        </w:rPr>
        <w:t>十一、履约保证金</w:t>
      </w:r>
    </w:p>
    <w:p>
      <w:pPr>
        <w:spacing w:line="276" w:lineRule="auto"/>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en-US" w:eastAsia="zh-CN"/>
        </w:rPr>
        <w:t>7</w:t>
      </w:r>
      <w:r>
        <w:rPr>
          <w:rFonts w:ascii="宋体" w:hAnsi="宋体" w:cs="宋体"/>
          <w:bCs/>
          <w:sz w:val="24"/>
          <w:szCs w:val="16"/>
        </w:rPr>
        <w:t>.</w:t>
      </w:r>
      <w:r>
        <w:rPr>
          <w:rFonts w:hint="eastAsia" w:ascii="宋体" w:hAnsi="宋体" w:cs="宋体"/>
          <w:kern w:val="0"/>
          <w:sz w:val="24"/>
          <w:szCs w:val="24"/>
        </w:rPr>
        <w:t>履约保证金：</w:t>
      </w:r>
      <w:r>
        <w:rPr>
          <w:rFonts w:hint="eastAsia" w:ascii="宋体" w:hAnsi="宋体" w:cs="宋体"/>
          <w:kern w:val="0"/>
          <w:sz w:val="24"/>
          <w:szCs w:val="24"/>
          <w:lang w:val="zh-CN"/>
        </w:rPr>
        <w:t>详见《供应商须知前附表》。</w:t>
      </w:r>
    </w:p>
    <w:p>
      <w:pPr>
        <w:pStyle w:val="12"/>
        <w:spacing w:line="276" w:lineRule="auto"/>
        <w:rPr>
          <w:lang w:val="zh-CN"/>
        </w:rPr>
      </w:pPr>
    </w:p>
    <w:p>
      <w:pPr>
        <w:spacing w:line="276" w:lineRule="auto"/>
        <w:outlineLvl w:val="1"/>
        <w:rPr>
          <w:rFonts w:ascii="宋体" w:hAnsi="宋体" w:cs="宋体"/>
          <w:kern w:val="0"/>
          <w:sz w:val="24"/>
        </w:rPr>
      </w:pPr>
      <w:r>
        <w:rPr>
          <w:rFonts w:hint="eastAsia" w:ascii="宋体" w:hAnsi="宋体" w:cs="宋体"/>
          <w:bCs/>
          <w:sz w:val="24"/>
        </w:rPr>
        <w:t>十二、其他</w:t>
      </w:r>
    </w:p>
    <w:p>
      <w:pPr>
        <w:spacing w:line="276" w:lineRule="auto"/>
        <w:rPr>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8</w:t>
      </w:r>
      <w:r>
        <w:rPr>
          <w:rFonts w:ascii="宋体" w:hAnsi="宋体" w:cs="宋体"/>
          <w:bCs/>
          <w:sz w:val="24"/>
          <w:szCs w:val="16"/>
        </w:rPr>
        <w:t>.</w:t>
      </w:r>
      <w:r>
        <w:rPr>
          <w:rFonts w:hint="eastAsia" w:ascii="宋体" w:hAnsi="宋体" w:cs="宋体"/>
          <w:kern w:val="0"/>
          <w:sz w:val="24"/>
          <w:szCs w:val="24"/>
        </w:rPr>
        <w:t>其他补充事宜：</w:t>
      </w:r>
      <w:r>
        <w:rPr>
          <w:rFonts w:hint="eastAsia" w:ascii="宋体" w:hAnsi="宋体" w:cs="宋体"/>
          <w:kern w:val="0"/>
          <w:sz w:val="24"/>
          <w:szCs w:val="24"/>
          <w:lang w:val="zh-CN"/>
        </w:rPr>
        <w:t>详见《供应商须知前附表》。</w:t>
      </w:r>
    </w:p>
    <w:p>
      <w:pPr>
        <w:rPr>
          <w:b/>
          <w:sz w:val="36"/>
          <w:szCs w:val="36"/>
        </w:rPr>
      </w:pPr>
      <w:bookmarkStart w:id="23" w:name="_Toc24302"/>
      <w:r>
        <w:rPr>
          <w:rFonts w:hint="eastAsia"/>
          <w:b/>
          <w:bCs/>
          <w:sz w:val="28"/>
          <w:szCs w:val="16"/>
          <w:lang w:val="zh-CN"/>
        </w:rPr>
        <w:br w:type="page"/>
      </w:r>
    </w:p>
    <w:p>
      <w:pPr>
        <w:numPr>
          <w:ilvl w:val="0"/>
          <w:numId w:val="5"/>
        </w:numPr>
        <w:spacing w:line="276" w:lineRule="auto"/>
        <w:jc w:val="center"/>
        <w:outlineLvl w:val="0"/>
        <w:rPr>
          <w:b/>
          <w:bCs/>
          <w:sz w:val="36"/>
          <w:szCs w:val="36"/>
        </w:rPr>
      </w:pPr>
      <w:r>
        <w:rPr>
          <w:rFonts w:hint="eastAsia"/>
          <w:b/>
          <w:bCs/>
          <w:sz w:val="36"/>
          <w:szCs w:val="36"/>
          <w:lang w:val="zh-CN"/>
        </w:rPr>
        <w:t xml:space="preserve"> </w:t>
      </w:r>
      <w:bookmarkEnd w:id="23"/>
      <w:bookmarkStart w:id="24" w:name="_Toc6810"/>
      <w:r>
        <w:rPr>
          <w:rFonts w:hint="eastAsia"/>
          <w:b/>
          <w:bCs/>
          <w:sz w:val="36"/>
          <w:szCs w:val="36"/>
        </w:rPr>
        <w:t>采购内容及要求</w:t>
      </w:r>
      <w:bookmarkEnd w:id="24"/>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Style w:val="110"/>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5" w:name="_Toc27014"/>
      <w:bookmarkStart w:id="26" w:name="_Toc16525"/>
      <w:r>
        <w:rPr>
          <w:rStyle w:val="110"/>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一、项目概况</w:t>
      </w:r>
      <w:bookmarkEnd w:id="25"/>
      <w:bookmarkEnd w:id="26"/>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1、项目名称：</w:t>
      </w:r>
      <w:r>
        <w:rPr>
          <w:rFonts w:hint="eastAsia" w:asciiTheme="minorEastAsia" w:hAnsiTheme="minorEastAsia" w:eastAsiaTheme="minorEastAsia" w:cstheme="minorEastAsia"/>
          <w:kern w:val="0"/>
          <w:sz w:val="24"/>
          <w:szCs w:val="24"/>
          <w:lang w:eastAsia="zh-CN"/>
        </w:rPr>
        <w:t>湖北机场集团</w:t>
      </w:r>
      <w:r>
        <w:rPr>
          <w:rFonts w:hint="eastAsia" w:asciiTheme="minorEastAsia" w:hAnsiTheme="minorEastAsia" w:eastAsiaTheme="minorEastAsia" w:cstheme="minorEastAsia"/>
          <w:kern w:val="0"/>
          <w:sz w:val="24"/>
          <w:szCs w:val="24"/>
          <w:lang w:val="en-US" w:eastAsia="zh-CN"/>
        </w:rPr>
        <w:t>恩施机场有限责任公</w:t>
      </w:r>
      <w:r>
        <w:rPr>
          <w:rFonts w:hint="eastAsia" w:asciiTheme="minorEastAsia" w:hAnsiTheme="minorEastAsia" w:eastAsiaTheme="minorEastAsia" w:cstheme="minorEastAsia"/>
          <w:kern w:val="0"/>
          <w:sz w:val="24"/>
          <w:szCs w:val="24"/>
          <w:highlight w:val="none"/>
          <w:lang w:val="en-US" w:eastAsia="zh-CN"/>
        </w:rPr>
        <w:t>司中央空调维保服务采购</w:t>
      </w:r>
      <w:r>
        <w:rPr>
          <w:rFonts w:hint="eastAsia" w:asciiTheme="minorEastAsia" w:hAnsiTheme="minorEastAsia" w:eastAsiaTheme="minorEastAsia" w:cstheme="minorEastAsia"/>
          <w:kern w:val="0"/>
          <w:sz w:val="24"/>
          <w:szCs w:val="24"/>
          <w:highlight w:val="none"/>
          <w:lang w:eastAsia="zh-CN"/>
        </w:rPr>
        <w:t>项目</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项目地点：</w:t>
      </w:r>
      <w:r>
        <w:rPr>
          <w:rFonts w:hint="eastAsia" w:asciiTheme="minorEastAsia" w:hAnsiTheme="minorEastAsia" w:eastAsiaTheme="minorEastAsia" w:cstheme="minorEastAsia"/>
          <w:kern w:val="0"/>
          <w:sz w:val="24"/>
          <w:szCs w:val="24"/>
          <w:lang w:val="en-US" w:eastAsia="zh-CN"/>
        </w:rPr>
        <w:t>恩施许家坪机场</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3、采购</w:t>
      </w:r>
      <w:r>
        <w:rPr>
          <w:rFonts w:hint="eastAsia" w:asciiTheme="minorEastAsia" w:hAnsiTheme="minorEastAsia" w:eastAsiaTheme="minorEastAsia" w:cstheme="minorEastAsia"/>
          <w:kern w:val="0"/>
          <w:sz w:val="24"/>
          <w:szCs w:val="24"/>
          <w:lang w:eastAsia="zh-CN"/>
        </w:rPr>
        <w:t>内容：</w:t>
      </w:r>
      <w:r>
        <w:rPr>
          <w:rFonts w:hint="eastAsia" w:asciiTheme="minorEastAsia" w:hAnsiTheme="minorEastAsia" w:eastAsiaTheme="minorEastAsia" w:cstheme="minorEastAsia"/>
          <w:kern w:val="0"/>
          <w:sz w:val="24"/>
          <w:szCs w:val="24"/>
          <w:lang w:val="en-US" w:eastAsia="zh-CN"/>
        </w:rPr>
        <w:t>对国际楼中央空调系统、贵宾室中央空调系统、国内楼中央空调系统进行日常维护，每季度、半年、年度进行一次设备例行保养，对设备进行检测。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bookmarkStart w:id="27" w:name="_Toc29080"/>
      <w:bookmarkStart w:id="28" w:name="_Toc16519"/>
      <w:r>
        <w:rPr>
          <w:rFonts w:hint="eastAsia" w:asciiTheme="minorEastAsia" w:hAnsiTheme="minorEastAsia" w:eastAsiaTheme="minorEastAsia" w:cstheme="minorEastAsia"/>
          <w:kern w:val="0"/>
          <w:sz w:val="24"/>
          <w:szCs w:val="24"/>
          <w:lang w:val="en-US" w:eastAsia="zh-CN"/>
        </w:rPr>
        <w:t>（1）对国际楼中央空调系统、贵宾室中央空调系统、国内楼中央空调系统进行日常维护，设备情况如下。</w:t>
      </w:r>
    </w:p>
    <w:tbl>
      <w:tblPr>
        <w:tblStyle w:val="38"/>
        <w:tblpPr w:leftFromText="180" w:rightFromText="180" w:vertAnchor="text" w:horzAnchor="page" w:tblpX="1905"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航站区中央空调设备详细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风机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水泵</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1台</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7台</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3台</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2台</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风机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贵宾室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贵宾室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末端控制</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4个区域</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2组</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24套</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2.每季度、半年、年度进行一次设备例行保养，对设备进行检测。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10"/>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（2）维护保养内容</w:t>
      </w:r>
    </w:p>
    <w:tbl>
      <w:tblPr>
        <w:tblStyle w:val="3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2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空调类型</w:t>
            </w: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中</w:t>
            </w:r>
            <w:r>
              <w:rPr>
                <w:rFonts w:hint="eastAsia" w:ascii="宋体" w:hAnsi="宋体" w:cs="宋体"/>
                <w:bCs/>
                <w:kern w:val="0"/>
                <w:sz w:val="24"/>
                <w:szCs w:val="24"/>
                <w:lang w:val="en-US" w:eastAsia="zh-CN"/>
              </w:rPr>
              <w:t>央</w:t>
            </w:r>
            <w:r>
              <w:rPr>
                <w:rFonts w:hint="eastAsia" w:ascii="宋体" w:hAnsi="宋体" w:cs="宋体"/>
                <w:sz w:val="24"/>
                <w:szCs w:val="24"/>
                <w:lang w:val="en-US" w:eastAsia="zh-CN"/>
              </w:rPr>
              <w:t>空调</w:t>
            </w: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每季度进行设备运行检测，含主机系统高低压力、排气吸气温度、机组运行电流、设备绝缘阻值、设备线路检测。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每季度清洗风柜过滤网、水路过滤器、主机冷凝器。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每季度检测风柜皮带。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每季度添加风柜电机、循环水电机润滑油。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每半年清洗出风口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每半年更换一次循环水系统软化水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每年更换压缩机冷冻润滑油、干燥过滤器、油过滤器、补充因更换油过滤器与干燥过滤器后损耗的冷媒。</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2、供应商需配置常用的空调维修配件，需要维修时及时维修。维修项目按实际发生进行结算，不包含在本项目费用内。</w:t>
      </w:r>
    </w:p>
    <w:p>
      <w:pPr>
        <w:pStyle w:val="3"/>
        <w:keepNext w:val="0"/>
        <w:keepLines w:val="0"/>
        <w:pageBreakBefore w:val="0"/>
        <w:widowControl w:val="0"/>
        <w:kinsoku/>
        <w:wordWrap/>
        <w:overflowPunct/>
        <w:topLinePunct w:val="0"/>
        <w:autoSpaceDE/>
        <w:autoSpaceDN/>
        <w:bidi w:val="0"/>
        <w:spacing w:line="360" w:lineRule="auto"/>
        <w:textAlignment w:val="auto"/>
        <w:rPr>
          <w:rStyle w:val="110"/>
          <w:rFonts w:hint="eastAsia" w:asciiTheme="minorEastAsia" w:hAnsiTheme="minorEastAsia" w:eastAsiaTheme="minorEastAsia" w:cstheme="minorEastAsia"/>
          <w:sz w:val="24"/>
          <w:szCs w:val="24"/>
          <w:lang w:val="en-US" w:eastAsia="zh-CN"/>
        </w:rPr>
      </w:pPr>
      <w:r>
        <w:rPr>
          <w:rStyle w:val="110"/>
          <w:rFonts w:hint="eastAsia" w:asciiTheme="minorEastAsia" w:hAnsiTheme="minorEastAsia" w:eastAsiaTheme="minorEastAsia" w:cstheme="minorEastAsia"/>
          <w:sz w:val="24"/>
          <w:szCs w:val="24"/>
          <w:lang w:val="en-US" w:eastAsia="zh-CN"/>
        </w:rPr>
        <w:t>三、商务要求</w:t>
      </w:r>
      <w:bookmarkEnd w:id="27"/>
      <w:bookmarkEnd w:id="28"/>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highlight w:val="yellow"/>
          <w:lang w:val="en-US" w:eastAsia="zh-CN"/>
        </w:rPr>
        <w:t>服务期</w:t>
      </w:r>
      <w:r>
        <w:rPr>
          <w:rFonts w:hint="eastAsia" w:asciiTheme="minorEastAsia" w:hAnsiTheme="minorEastAsia" w:eastAsiaTheme="minorEastAsia" w:cstheme="minorEastAsia"/>
          <w:kern w:val="0"/>
          <w:sz w:val="24"/>
          <w:szCs w:val="24"/>
          <w:highlight w:val="yellow"/>
        </w:rPr>
        <w:t>：</w:t>
      </w:r>
      <w:r>
        <w:rPr>
          <w:rFonts w:hint="eastAsia" w:asciiTheme="minorEastAsia" w:hAnsiTheme="minorEastAsia" w:eastAsiaTheme="minorEastAsia" w:cstheme="minorEastAsia"/>
          <w:kern w:val="0"/>
          <w:sz w:val="24"/>
          <w:szCs w:val="24"/>
          <w:highlight w:val="yellow"/>
          <w:lang w:val="en-US" w:eastAsia="zh-CN"/>
        </w:rPr>
        <w:t>自合同签订之日起1年</w:t>
      </w:r>
      <w:r>
        <w:rPr>
          <w:rFonts w:hint="eastAsia" w:asciiTheme="minorEastAsia" w:hAnsiTheme="minorEastAsia" w:eastAsiaTheme="minorEastAsia" w:cstheme="minorEastAsia"/>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Theme="minorEastAsia" w:hAnsiTheme="minorEastAsia" w:eastAsiaTheme="minorEastAsia" w:cstheme="minorEastAsia"/>
          <w:kern w:val="0"/>
          <w:sz w:val="24"/>
          <w:szCs w:val="24"/>
          <w:lang w:val="en-US" w:eastAsia="zh-CN"/>
        </w:rPr>
        <w:t>2、付款方式：合同到期后，经采购人验收合格后，成交供应商出具增值税专票，采购人15个工作日内结算。</w:t>
      </w:r>
      <w:r>
        <w:br w:type="page"/>
      </w:r>
    </w:p>
    <w:p>
      <w:pPr>
        <w:numPr>
          <w:ilvl w:val="0"/>
          <w:numId w:val="5"/>
        </w:numPr>
        <w:spacing w:line="276" w:lineRule="auto"/>
        <w:jc w:val="center"/>
        <w:outlineLvl w:val="0"/>
        <w:rPr>
          <w:b/>
          <w:bCs/>
          <w:sz w:val="36"/>
          <w:szCs w:val="36"/>
        </w:rPr>
      </w:pPr>
      <w:bookmarkStart w:id="29" w:name="_Toc5890"/>
      <w:bookmarkStart w:id="30" w:name="_Toc498004221"/>
      <w:bookmarkStart w:id="31" w:name="_Toc498004119"/>
      <w:r>
        <w:rPr>
          <w:rFonts w:hint="eastAsia"/>
          <w:b/>
          <w:bCs/>
          <w:sz w:val="36"/>
          <w:szCs w:val="36"/>
        </w:rPr>
        <w:t>评审办法及评分标准</w:t>
      </w:r>
      <w:bookmarkEnd w:id="29"/>
    </w:p>
    <w:p>
      <w:pPr>
        <w:spacing w:line="276" w:lineRule="auto"/>
        <w:ind w:firstLine="482" w:firstLineChars="200"/>
        <w:rPr>
          <w:rFonts w:ascii="宋体" w:cs="宋体"/>
          <w:b/>
          <w:bCs/>
          <w:sz w:val="24"/>
        </w:rPr>
      </w:pPr>
      <w:r>
        <w:rPr>
          <w:rFonts w:hint="eastAsia" w:ascii="宋体" w:hAnsi="宋体" w:cs="宋体"/>
          <w:b/>
          <w:bCs/>
          <w:sz w:val="24"/>
        </w:rPr>
        <w:t>一、评审方法</w:t>
      </w:r>
    </w:p>
    <w:p>
      <w:pPr>
        <w:spacing w:line="276" w:lineRule="auto"/>
        <w:ind w:firstLine="480" w:firstLineChars="200"/>
        <w:rPr>
          <w:rFonts w:ascii="宋体" w:hAnsi="宋体" w:cs="宋体"/>
          <w:sz w:val="24"/>
        </w:rPr>
      </w:pPr>
      <w:r>
        <w:rPr>
          <w:rFonts w:hint="eastAsia" w:ascii="宋体" w:hAnsi="宋体" w:cs="宋体"/>
          <w:sz w:val="24"/>
        </w:rPr>
        <w:t>本次评审采用综合评分法。即满分</w:t>
      </w:r>
      <w:r>
        <w:rPr>
          <w:rFonts w:ascii="宋体" w:hAnsi="宋体" w:cs="宋体"/>
          <w:sz w:val="24"/>
        </w:rPr>
        <w:t>100</w:t>
      </w:r>
      <w:r>
        <w:rPr>
          <w:rFonts w:hint="eastAsia" w:ascii="宋体" w:hAnsi="宋体" w:cs="宋体"/>
          <w:sz w:val="24"/>
        </w:rPr>
        <w:t>分。</w:t>
      </w:r>
    </w:p>
    <w:p>
      <w:pPr>
        <w:spacing w:line="276" w:lineRule="auto"/>
        <w:jc w:val="center"/>
        <w:outlineLvl w:val="1"/>
        <w:rPr>
          <w:rFonts w:ascii="宋体" w:hAnsi="宋体" w:cs="宋体"/>
          <w:b/>
          <w:sz w:val="24"/>
        </w:rPr>
      </w:pPr>
      <w:r>
        <w:rPr>
          <w:rFonts w:hint="eastAsia" w:ascii="宋体" w:hAnsi="宋体" w:cs="宋体"/>
          <w:b/>
          <w:sz w:val="24"/>
        </w:rPr>
        <w:t>资格性和符合性审查表</w:t>
      </w:r>
    </w:p>
    <w:tbl>
      <w:tblPr>
        <w:tblStyle w:val="37"/>
        <w:tblW w:w="9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108" w:type="dxa"/>
          <w:bottom w:w="57" w:type="dxa"/>
          <w:right w:w="108" w:type="dxa"/>
        </w:tblCellMar>
      </w:tblPr>
      <w:tblGrid>
        <w:gridCol w:w="832"/>
        <w:gridCol w:w="7074"/>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cs="宋体"/>
                <w:b/>
                <w:bCs/>
                <w:sz w:val="24"/>
                <w:szCs w:val="24"/>
              </w:rPr>
            </w:pPr>
            <w:r>
              <w:rPr>
                <w:rFonts w:hint="eastAsia" w:ascii="宋体" w:hAnsi="宋体" w:cs="宋体"/>
                <w:b/>
                <w:bCs/>
                <w:sz w:val="24"/>
                <w:szCs w:val="24"/>
              </w:rPr>
              <w:t>序号</w:t>
            </w:r>
          </w:p>
        </w:tc>
        <w:tc>
          <w:tcPr>
            <w:tcW w:w="707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bCs/>
                <w:sz w:val="24"/>
                <w:szCs w:val="24"/>
              </w:rPr>
            </w:pPr>
            <w:r>
              <w:rPr>
                <w:rFonts w:hint="eastAsia" w:ascii="宋体" w:hAnsi="宋体" w:cs="宋体"/>
                <w:b/>
                <w:bCs/>
                <w:sz w:val="24"/>
                <w:szCs w:val="24"/>
              </w:rPr>
              <w:t>审查内容</w:t>
            </w:r>
          </w:p>
        </w:tc>
        <w:tc>
          <w:tcPr>
            <w:tcW w:w="1471" w:type="dxa"/>
            <w:tcBorders>
              <w:top w:val="single" w:color="auto" w:sz="4" w:space="0"/>
              <w:left w:val="nil"/>
              <w:bottom w:val="single" w:color="auto" w:sz="4" w:space="0"/>
              <w:right w:val="single" w:color="auto" w:sz="4" w:space="0"/>
            </w:tcBorders>
            <w:shd w:val="clear" w:color="auto" w:fill="D9D9D9"/>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cs="宋体"/>
                <w:b/>
                <w:bCs/>
                <w:sz w:val="24"/>
                <w:szCs w:val="24"/>
              </w:rPr>
            </w:pPr>
            <w:r>
              <w:rPr>
                <w:rFonts w:hint="eastAsia" w:ascii="宋体" w:hAnsi="宋体" w:cs="宋体"/>
                <w:b/>
                <w:bCs/>
                <w:sz w:val="24"/>
                <w:szCs w:val="24"/>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nil"/>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r>
              <w:rPr>
                <w:rFonts w:hint="eastAsia" w:ascii="宋体" w:hAnsi="宋体" w:cs="宋体"/>
                <w:sz w:val="24"/>
                <w:szCs w:val="24"/>
              </w:rPr>
              <w:t>响应文件按照磋商文件规定要求密封、签署、盖章的。</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服务期满足磋商文件要求</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4919"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1供应商须在中华人民共和国境内注册登记，具有独立法人资格，并取得有效营业执照；</w:t>
            </w:r>
          </w:p>
          <w:p>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2供应商须具备建筑机电安装工程专业承包叁级及以上资质，并具有有效的安全生产许可证；</w:t>
            </w:r>
          </w:p>
          <w:p>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3供应商近三年（2021年1月1日至响应时间截止之日止,以合同签订时间为准）至少完成过一项单项合同金额为1.7万元及以上类似业绩，须提供清晰的合同复印件或扫描件（合同至少包含首页、采购内容、合同金额及签章页等关键内容)；</w:t>
            </w:r>
          </w:p>
          <w:p>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4供应商未被列入“信用中国”网</w:t>
            </w:r>
            <w:r>
              <w:rPr>
                <w:rFonts w:hint="default" w:ascii="Times New Roman" w:hAnsi="Times New Roman" w:cs="Times New Roman"/>
                <w:sz w:val="24"/>
                <w:szCs w:val="24"/>
              </w:rPr>
              <w:t>站(www.creditchina.gov.cn)或者“中国执行信息公开网”（zxgk.court.gov.cn）</w:t>
            </w:r>
            <w:r>
              <w:rPr>
                <w:rFonts w:hint="eastAsia" w:ascii="宋体" w:hAnsi="宋体" w:cs="宋体"/>
                <w:sz w:val="24"/>
                <w:szCs w:val="24"/>
              </w:rPr>
              <w:t>失信被执行人名单。（提供网页查询截图）；</w:t>
            </w:r>
          </w:p>
          <w:p>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5供应商应须针对《湖北机场集团有限公司“供应商不良行为”管理办法》在响应文件中出示承诺书。承诺格式详见磋商谈判响应文件格式；</w:t>
            </w:r>
          </w:p>
          <w:p>
            <w:pPr>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6本项目不接受联合体响应。</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r>
              <w:rPr>
                <w:rFonts w:hint="eastAsia" w:ascii="宋体" w:hAnsi="宋体" w:cs="宋体"/>
                <w:sz w:val="24"/>
                <w:szCs w:val="24"/>
              </w:rPr>
              <w:t>供应商按磋商文件要求进行报价。</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r>
              <w:rPr>
                <w:rFonts w:hint="eastAsia" w:ascii="宋体" w:hAnsi="宋体" w:cs="宋体"/>
                <w:sz w:val="24"/>
                <w:szCs w:val="24"/>
              </w:rPr>
              <w:t>响应文件有效期满足的。</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r>
              <w:rPr>
                <w:rFonts w:hint="eastAsia" w:ascii="宋体" w:hAnsi="宋体" w:cs="宋体"/>
                <w:sz w:val="24"/>
                <w:szCs w:val="24"/>
              </w:rPr>
              <w:t>响应文件中的内容没有出现重大偏离和超出偏差范围的、符合磋商文件的技术规格、技术标准的；且符合磋商文件规定的其他实质性要求的。</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417"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供应商提供服务实质性满足磋商文件要求的。</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adjustRightInd w:val="0"/>
              <w:snapToGrid w:val="0"/>
              <w:spacing w:before="0" w:beforeAutospacing="0" w:after="0" w:afterAutospacing="0"/>
              <w:ind w:right="0"/>
              <w:jc w:val="center"/>
              <w:rPr>
                <w:rFonts w:hint="default" w:ascii="宋体" w:hAnsi="宋体" w:cs="宋体"/>
                <w:kern w:val="0"/>
                <w:sz w:val="20"/>
                <w:szCs w:val="20"/>
              </w:rPr>
            </w:pPr>
          </w:p>
        </w:tc>
        <w:tc>
          <w:tcPr>
            <w:tcW w:w="7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符合磋商文件中规定响应的其它条款。</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79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r>
              <w:rPr>
                <w:rFonts w:hint="eastAsia" w:ascii="宋体" w:hAnsi="宋体" w:cs="宋体"/>
                <w:sz w:val="24"/>
                <w:szCs w:val="24"/>
              </w:rPr>
              <w:t>审核结论</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 w:val="24"/>
          <w:szCs w:val="24"/>
        </w:rPr>
      </w:pPr>
      <w:r>
        <w:rPr>
          <w:rFonts w:hint="eastAsia" w:hAnsi="宋体" w:cs="宋体"/>
          <w:sz w:val="24"/>
          <w:szCs w:val="24"/>
        </w:rPr>
        <w:t>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r>
        <w:rPr>
          <w:rFonts w:ascii="宋体" w:hAnsi="宋体" w:cs="宋体"/>
          <w:sz w:val="24"/>
          <w:szCs w:val="24"/>
        </w:rPr>
        <w:t xml:space="preserve">   1</w:t>
      </w:r>
      <w:r>
        <w:rPr>
          <w:rFonts w:hint="eastAsia" w:ascii="宋体" w:hAnsi="宋体" w:cs="宋体"/>
          <w:sz w:val="24"/>
          <w:szCs w:val="24"/>
        </w:rPr>
        <w:t>、磋商小组分别对每一响应文件依据上表进行检查。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r>
        <w:rPr>
          <w:rFonts w:ascii="宋体" w:hAnsi="宋体" w:cs="宋体"/>
          <w:sz w:val="24"/>
          <w:szCs w:val="24"/>
        </w:rPr>
        <w:t xml:space="preserve">   2</w:t>
      </w:r>
      <w:r>
        <w:rPr>
          <w:rFonts w:hint="eastAsia" w:ascii="宋体" w:hAnsi="宋体" w:cs="宋体"/>
          <w:sz w:val="24"/>
          <w:szCs w:val="24"/>
        </w:rPr>
        <w:t>、磋商小组评审只根据响应文件本身的真实无误的内容，而不依据外部的证据，但响应文件有不真实不正确的内容时除外。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r>
        <w:rPr>
          <w:rFonts w:ascii="宋体" w:hAnsi="宋体" w:cs="宋体"/>
          <w:sz w:val="24"/>
          <w:szCs w:val="24"/>
        </w:rPr>
        <w:t xml:space="preserve">   3</w:t>
      </w:r>
      <w:r>
        <w:rPr>
          <w:rFonts w:hint="eastAsia" w:ascii="宋体" w:hAnsi="宋体" w:cs="宋体"/>
          <w:sz w:val="24"/>
          <w:szCs w:val="24"/>
        </w:rPr>
        <w:t>、满足要求的条款打“√”，否则为“×”。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r>
        <w:rPr>
          <w:rFonts w:ascii="宋体" w:hAnsi="宋体" w:cs="宋体"/>
          <w:sz w:val="24"/>
          <w:szCs w:val="24"/>
        </w:rPr>
        <w:t xml:space="preserve">   4</w:t>
      </w:r>
      <w:r>
        <w:rPr>
          <w:rFonts w:hint="eastAsia" w:ascii="宋体" w:hAnsi="宋体" w:cs="宋体"/>
          <w:sz w:val="24"/>
          <w:szCs w:val="24"/>
        </w:rPr>
        <w:t>、对于响应文件中有任意一条不满足要求将导致其响应无效，不进入下一项评审。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24"/>
          <w:szCs w:val="24"/>
        </w:rPr>
      </w:pPr>
      <w:r>
        <w:rPr>
          <w:rFonts w:ascii="宋体" w:hAnsi="宋体" w:cs="宋体"/>
          <w:sz w:val="24"/>
          <w:szCs w:val="24"/>
        </w:rPr>
        <w:t xml:space="preserve">   5</w:t>
      </w:r>
      <w:r>
        <w:rPr>
          <w:rFonts w:hint="eastAsia" w:ascii="宋体" w:hAnsi="宋体" w:cs="宋体"/>
          <w:sz w:val="24"/>
          <w:szCs w:val="24"/>
        </w:rPr>
        <w:t>、资格性审</w:t>
      </w:r>
      <w:r>
        <w:rPr>
          <w:rFonts w:hint="eastAsia" w:hAnsi="宋体" w:cs="宋体"/>
          <w:sz w:val="24"/>
          <w:szCs w:val="24"/>
        </w:rPr>
        <w:t>查：按照磋商文件第一章所要求的供应商资质要求进行评审。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sz w:val="24"/>
          <w:szCs w:val="24"/>
        </w:rPr>
      </w:pPr>
      <w:r>
        <w:rPr>
          <w:rFonts w:hint="eastAsia" w:hAnsi="宋体" w:cs="宋体"/>
          <w:sz w:val="24"/>
          <w:szCs w:val="24"/>
        </w:rPr>
        <w:t>通过资格性和符合性审查的供应商才能提交最后报价。</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bCs/>
          <w:sz w:val="24"/>
        </w:rPr>
      </w:pPr>
      <w:r>
        <w:rPr>
          <w:rFonts w:hint="eastAsia" w:ascii="宋体" w:hAnsi="宋体" w:cs="宋体"/>
          <w:b/>
          <w:bCs/>
          <w:sz w:val="24"/>
        </w:rPr>
        <w:t>二、评审步骤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磋商小组对响应文件的评审分为商务服务评议和价格评议；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（一）商务评议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磋商小组依据“商务评分表”中的分值及标准进行评分。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（二）技术评议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（三）价格评议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eastAsia="宋体" w:cs="宋体"/>
          <w:sz w:val="24"/>
          <w:lang w:val="en-US" w:eastAsia="zh-CN"/>
        </w:rPr>
      </w:pPr>
      <w:r>
        <w:rPr>
          <w:rFonts w:hint="eastAsia" w:ascii="宋体" w:cs="宋体"/>
          <w:sz w:val="24"/>
        </w:rPr>
        <w:t>价格分</w:t>
      </w:r>
      <w:r>
        <w:rPr>
          <w:rFonts w:hint="eastAsia" w:ascii="宋体" w:cs="宋体"/>
          <w:sz w:val="24"/>
          <w:lang w:val="en-US" w:eastAsia="zh-CN"/>
        </w:rPr>
        <w:t>评分标准见评分表。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确定响应供应商进行最后报价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cs="宋体"/>
          <w:sz w:val="24"/>
        </w:rPr>
      </w:pPr>
      <w:r>
        <w:rPr>
          <w:rFonts w:hint="eastAsia" w:ascii="宋体" w:hAnsi="宋体" w:cs="宋体"/>
          <w:sz w:val="24"/>
        </w:rPr>
        <w:t>磋商文件能完整、明确列明采购需求，无需要供应商提供最终技术方案或者解决方案的：在磋商结束后，磋商小组向所有通过初步审核的响应供应商发出报价书，并要求其在规定时间内提交最后报价；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cs="宋体"/>
          <w:sz w:val="24"/>
        </w:rPr>
      </w:pPr>
      <w:r>
        <w:rPr>
          <w:rFonts w:hint="eastAsia" w:ascii="宋体" w:hAnsi="宋体" w:cs="宋体"/>
          <w:sz w:val="24"/>
        </w:rPr>
        <w:t>磋商文件不能完整、明确列明采购需求，需要由供应商提供最终技术方案或者解决方案的：在磋商结束后，磋商小组应当按照少数服从多数的原则投票推荐</w:t>
      </w:r>
      <w:r>
        <w:rPr>
          <w:rFonts w:ascii="宋体" w:hAnsi="宋体" w:cs="宋体"/>
          <w:sz w:val="24"/>
        </w:rPr>
        <w:t>3</w:t>
      </w:r>
      <w:r>
        <w:rPr>
          <w:rFonts w:hint="eastAsia" w:ascii="宋体" w:hAnsi="宋体" w:cs="宋体"/>
          <w:sz w:val="24"/>
        </w:rPr>
        <w:t>家以上的供应商的技术方案或者解决方案，并要求其在规定时间内提交最后报价。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（五）推荐成交候选供应商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磋商小组应当根据综合评分情况，按照评审得分由高到低顺序推荐</w:t>
      </w:r>
      <w:r>
        <w:rPr>
          <w:rFonts w:ascii="宋体" w:hAnsi="宋体" w:cs="宋体"/>
          <w:sz w:val="24"/>
        </w:rPr>
        <w:t>3</w:t>
      </w:r>
      <w:r>
        <w:rPr>
          <w:rFonts w:hint="eastAsia" w:ascii="宋体" w:hAnsi="宋体" w:cs="宋体"/>
          <w:sz w:val="24"/>
        </w:rPr>
        <w:t>名成交候选供应商，并编写评审报告。评审得分相同的，按照评审价格由低到高的顺序推荐。评审得分且评审价格相同的，按照技术指标优劣顺序推荐。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br w:type="page"/>
      </w:r>
    </w:p>
    <w:p>
      <w:pPr>
        <w:spacing w:line="276" w:lineRule="auto"/>
        <w:jc w:val="center"/>
        <w:outlineLvl w:val="1"/>
        <w:rPr>
          <w:b/>
          <w:sz w:val="28"/>
          <w:szCs w:val="28"/>
        </w:rPr>
      </w:pPr>
      <w:r>
        <w:rPr>
          <w:rFonts w:hint="eastAsia" w:ascii="宋体" w:hAnsi="宋体" w:cs="宋体"/>
          <w:b/>
          <w:sz w:val="24"/>
        </w:rPr>
        <w:t>评分标准</w:t>
      </w:r>
    </w:p>
    <w:tbl>
      <w:tblPr>
        <w:tblStyle w:val="3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334"/>
        <w:gridCol w:w="926"/>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jc w:val="center"/>
        </w:trPr>
        <w:tc>
          <w:tcPr>
            <w:tcW w:w="2507" w:type="dxa"/>
            <w:gridSpan w:val="2"/>
            <w:shd w:val="clear" w:color="auto" w:fill="D9D9D9"/>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kern w:val="0"/>
                <w:sz w:val="22"/>
                <w:szCs w:val="22"/>
              </w:rPr>
            </w:pPr>
            <w:r>
              <w:rPr>
                <w:rFonts w:hint="eastAsia" w:ascii="宋体" w:hAnsi="宋体" w:cs="宋体"/>
                <w:b/>
                <w:kern w:val="0"/>
                <w:sz w:val="22"/>
                <w:szCs w:val="22"/>
              </w:rPr>
              <w:t>评分项目</w:t>
            </w:r>
          </w:p>
        </w:tc>
        <w:tc>
          <w:tcPr>
            <w:tcW w:w="926" w:type="dxa"/>
            <w:shd w:val="clear" w:color="auto" w:fill="D9D9D9"/>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kern w:val="0"/>
                <w:sz w:val="22"/>
                <w:szCs w:val="22"/>
              </w:rPr>
            </w:pPr>
            <w:r>
              <w:rPr>
                <w:rFonts w:hint="eastAsia" w:ascii="宋体" w:hAnsi="宋体" w:cs="宋体"/>
                <w:b/>
                <w:kern w:val="0"/>
                <w:sz w:val="22"/>
                <w:szCs w:val="22"/>
              </w:rPr>
              <w:t>分值</w:t>
            </w:r>
          </w:p>
        </w:tc>
        <w:tc>
          <w:tcPr>
            <w:tcW w:w="6024" w:type="dxa"/>
            <w:shd w:val="clear" w:color="auto" w:fill="D9D9D9"/>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kern w:val="0"/>
                <w:sz w:val="22"/>
                <w:szCs w:val="22"/>
              </w:rPr>
            </w:pPr>
            <w:r>
              <w:rPr>
                <w:rFonts w:hint="eastAsia" w:ascii="宋体" w:hAnsi="宋体" w:cs="宋体"/>
                <w:b/>
                <w:kern w:val="0"/>
                <w:sz w:val="22"/>
                <w:szCs w:val="22"/>
              </w:rPr>
              <w:t xml:space="preserve">评  分  标 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73"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价格部分</w:t>
            </w:r>
            <w:r>
              <w:rPr>
                <w:rFonts w:hint="eastAsia" w:ascii="宋体" w:hAnsi="宋体" w:cs="宋体"/>
                <w:bCs/>
                <w:kern w:val="0"/>
                <w:sz w:val="22"/>
                <w:szCs w:val="22"/>
                <w:lang w:val="en-US" w:eastAsia="zh-CN"/>
              </w:rPr>
              <w:t>60</w:t>
            </w:r>
            <w:r>
              <w:rPr>
                <w:rFonts w:hint="eastAsia" w:ascii="宋体" w:hAnsi="宋体" w:cs="宋体"/>
                <w:bCs/>
                <w:kern w:val="0"/>
                <w:sz w:val="22"/>
                <w:szCs w:val="22"/>
              </w:rPr>
              <w:t>分</w:t>
            </w:r>
          </w:p>
        </w:tc>
        <w:tc>
          <w:tcPr>
            <w:tcW w:w="1334"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价格评议</w:t>
            </w:r>
          </w:p>
        </w:tc>
        <w:tc>
          <w:tcPr>
            <w:tcW w:w="926"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lang w:val="en-US" w:eastAsia="zh-CN"/>
              </w:rPr>
              <w:t>60</w:t>
            </w:r>
            <w:r>
              <w:rPr>
                <w:rFonts w:hint="eastAsia" w:ascii="宋体" w:hAnsi="宋体" w:cs="宋体"/>
                <w:bCs/>
                <w:kern w:val="0"/>
                <w:sz w:val="22"/>
                <w:szCs w:val="22"/>
              </w:rPr>
              <w:t>分</w:t>
            </w:r>
          </w:p>
        </w:tc>
        <w:tc>
          <w:tcPr>
            <w:tcW w:w="6024" w:type="dxa"/>
            <w:vAlign w:val="center"/>
          </w:tcPr>
          <w:p>
            <w:pPr>
              <w:keepNext w:val="0"/>
              <w:keepLines w:val="0"/>
              <w:widowControl/>
              <w:suppressLineNumbers w:val="0"/>
              <w:spacing w:before="0" w:beforeAutospacing="0" w:after="0" w:afterAutospacing="0" w:line="300" w:lineRule="exact"/>
              <w:ind w:left="0" w:right="0"/>
              <w:rPr>
                <w:rFonts w:hint="default" w:ascii="宋体" w:hAnsi="宋体" w:cs="宋体"/>
                <w:bCs/>
                <w:sz w:val="22"/>
                <w:szCs w:val="22"/>
              </w:rPr>
            </w:pPr>
            <w:r>
              <w:rPr>
                <w:rFonts w:hint="eastAsia" w:ascii="宋体" w:hAnsi="宋体" w:cs="宋体"/>
                <w:bCs/>
                <w:sz w:val="22"/>
                <w:szCs w:val="22"/>
              </w:rPr>
              <w:t>磋商小组只对资格性审查和符合性审查合格的响应文件进行价格评议，价格分采用低价优先法计算，即满足磋商文件要求且最后报价（核算后）最低的供应商的价格为磋商基准价，其价格分为满分。其他供应商的价格分计算公式：</w:t>
            </w:r>
          </w:p>
          <w:p>
            <w:pPr>
              <w:keepNext w:val="0"/>
              <w:keepLines w:val="0"/>
              <w:widowControl/>
              <w:suppressLineNumbers w:val="0"/>
              <w:spacing w:before="0" w:beforeAutospacing="0" w:after="0" w:afterAutospacing="0" w:line="300" w:lineRule="exact"/>
              <w:ind w:left="0" w:right="0"/>
              <w:rPr>
                <w:rFonts w:hint="default" w:ascii="宋体" w:hAnsi="宋体" w:cs="宋体"/>
                <w:bCs/>
                <w:sz w:val="22"/>
                <w:szCs w:val="22"/>
              </w:rPr>
            </w:pPr>
            <w:r>
              <w:rPr>
                <w:rFonts w:hint="eastAsia" w:ascii="宋体" w:hAnsi="宋体" w:cs="宋体"/>
                <w:bCs/>
                <w:sz w:val="22"/>
                <w:szCs w:val="22"/>
              </w:rPr>
              <w:t>磋商报价得分=（磋商基准价/最后磋商报价（核算后））×</w:t>
            </w:r>
            <w:r>
              <w:rPr>
                <w:rFonts w:hint="eastAsia" w:ascii="宋体" w:hAnsi="宋体" w:cs="宋体"/>
                <w:bCs/>
                <w:sz w:val="22"/>
                <w:szCs w:val="22"/>
                <w:lang w:val="en-US" w:eastAsia="zh-CN"/>
              </w:rPr>
              <w:t>60</w:t>
            </w:r>
            <w:r>
              <w:rPr>
                <w:rFonts w:hint="eastAsia" w:ascii="宋体" w:hAnsi="宋体" w:cs="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73" w:type="dxa"/>
            <w:vMerge w:val="restart"/>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商务评议</w:t>
            </w:r>
            <w:r>
              <w:rPr>
                <w:rFonts w:hint="eastAsia" w:ascii="宋体" w:hAnsi="宋体" w:cs="宋体"/>
                <w:bCs/>
                <w:kern w:val="0"/>
                <w:sz w:val="22"/>
                <w:szCs w:val="22"/>
                <w:lang w:val="en-US" w:eastAsia="zh-CN"/>
              </w:rPr>
              <w:t>15</w:t>
            </w:r>
            <w:r>
              <w:rPr>
                <w:rFonts w:hint="eastAsia" w:ascii="宋体" w:hAnsi="宋体" w:cs="宋体"/>
                <w:bCs/>
                <w:kern w:val="0"/>
                <w:sz w:val="22"/>
                <w:szCs w:val="22"/>
              </w:rPr>
              <w:t>分</w:t>
            </w:r>
          </w:p>
        </w:tc>
        <w:tc>
          <w:tcPr>
            <w:tcW w:w="1334"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1.类似业绩</w:t>
            </w:r>
          </w:p>
        </w:tc>
        <w:tc>
          <w:tcPr>
            <w:tcW w:w="926"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lang w:val="en-US" w:eastAsia="zh-CN"/>
              </w:rPr>
              <w:t>12</w:t>
            </w:r>
            <w:r>
              <w:rPr>
                <w:rFonts w:hint="eastAsia" w:ascii="宋体" w:hAnsi="宋体" w:cs="宋体"/>
                <w:bCs/>
                <w:kern w:val="0"/>
                <w:sz w:val="22"/>
                <w:szCs w:val="22"/>
              </w:rPr>
              <w:t>分</w:t>
            </w:r>
          </w:p>
        </w:tc>
        <w:tc>
          <w:tcPr>
            <w:tcW w:w="6024" w:type="dxa"/>
            <w:vAlign w:val="center"/>
          </w:tcPr>
          <w:p>
            <w:pPr>
              <w:keepNext w:val="0"/>
              <w:keepLines w:val="0"/>
              <w:widowControl/>
              <w:suppressLineNumbers w:val="0"/>
              <w:spacing w:before="0" w:beforeAutospacing="0" w:after="0" w:afterAutospacing="0" w:line="300" w:lineRule="exact"/>
              <w:ind w:left="0" w:right="0"/>
              <w:rPr>
                <w:rFonts w:hint="eastAsia" w:ascii="宋体" w:hAnsi="宋体" w:cs="宋体"/>
                <w:bCs/>
                <w:kern w:val="0"/>
                <w:sz w:val="22"/>
                <w:szCs w:val="22"/>
                <w:lang w:val="en-US" w:eastAsia="zh-CN"/>
              </w:rPr>
            </w:pPr>
            <w:r>
              <w:rPr>
                <w:rFonts w:hint="default" w:ascii="宋体" w:hAnsi="宋体" w:cs="宋体"/>
                <w:bCs/>
                <w:kern w:val="0"/>
                <w:sz w:val="22"/>
                <w:szCs w:val="22"/>
              </w:rPr>
              <w:t>供应商近三年（2021年1月1日至响应时间截止之日止,以合同签订时间为准）完成过单项合同金额为1.7万元及以上类似业绩，</w:t>
            </w:r>
            <w:r>
              <w:rPr>
                <w:rFonts w:hint="eastAsia" w:ascii="宋体" w:hAnsi="宋体" w:cs="宋体"/>
                <w:bCs/>
                <w:kern w:val="0"/>
                <w:sz w:val="22"/>
                <w:szCs w:val="22"/>
                <w:lang w:val="en-US" w:eastAsia="zh-CN"/>
              </w:rPr>
              <w:t>每提供</w:t>
            </w:r>
            <w:r>
              <w:rPr>
                <w:rFonts w:hint="eastAsia" w:ascii="宋体" w:hAnsi="宋体" w:eastAsia="宋体" w:cs="宋体"/>
                <w:lang w:bidi="ar"/>
              </w:rPr>
              <w:t>1项业绩</w:t>
            </w:r>
            <w:r>
              <w:rPr>
                <w:rFonts w:hint="eastAsia" w:ascii="宋体" w:hAnsi="宋体" w:cs="宋体"/>
                <w:bCs/>
                <w:kern w:val="0"/>
                <w:sz w:val="22"/>
                <w:szCs w:val="22"/>
                <w:lang w:val="en-US" w:eastAsia="zh-CN"/>
              </w:rPr>
              <w:t>得4分，最高得12分。</w:t>
            </w:r>
          </w:p>
          <w:p>
            <w:pPr>
              <w:keepNext w:val="0"/>
              <w:keepLines w:val="0"/>
              <w:widowControl/>
              <w:suppressLineNumbers w:val="0"/>
              <w:spacing w:before="0" w:beforeAutospacing="0" w:after="0" w:afterAutospacing="0" w:line="300" w:lineRule="exact"/>
              <w:ind w:left="0" w:right="0"/>
              <w:rPr>
                <w:rFonts w:hint="default" w:ascii="宋体" w:hAnsi="宋体" w:cs="宋体"/>
                <w:bCs/>
                <w:kern w:val="0"/>
                <w:sz w:val="22"/>
                <w:szCs w:val="22"/>
              </w:rPr>
            </w:pPr>
            <w:r>
              <w:rPr>
                <w:rFonts w:hint="eastAsia" w:ascii="宋体" w:hAnsi="宋体" w:cs="宋体"/>
                <w:b/>
                <w:bCs w:val="0"/>
                <w:kern w:val="0"/>
                <w:sz w:val="22"/>
                <w:szCs w:val="22"/>
                <w:lang w:val="en-US" w:eastAsia="zh-CN"/>
              </w:rPr>
              <w:t>注：</w:t>
            </w:r>
            <w:r>
              <w:rPr>
                <w:rFonts w:hint="default" w:ascii="宋体" w:hAnsi="宋体" w:cs="宋体"/>
                <w:bCs/>
                <w:kern w:val="0"/>
                <w:sz w:val="22"/>
                <w:szCs w:val="22"/>
              </w:rPr>
              <w:t>须提供清晰的合同复印件或扫描件（合同至少包含首页、采购内容、合同金额及签章页等关键内容)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173" w:type="dxa"/>
            <w:vMerge w:val="continue"/>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sz w:val="22"/>
                <w:szCs w:val="22"/>
              </w:rPr>
            </w:pPr>
          </w:p>
        </w:tc>
        <w:tc>
          <w:tcPr>
            <w:tcW w:w="1334"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2</w:t>
            </w:r>
            <w:r>
              <w:rPr>
                <w:rFonts w:hint="eastAsia" w:ascii="宋体" w:hAnsi="宋体" w:cs="宋体"/>
                <w:bCs/>
                <w:kern w:val="0"/>
                <w:sz w:val="22"/>
                <w:szCs w:val="22"/>
              </w:rPr>
              <w:t>.</w:t>
            </w:r>
            <w:r>
              <w:rPr>
                <w:rFonts w:hint="eastAsia" w:ascii="宋体" w:hAnsi="宋体" w:cs="宋体"/>
                <w:bCs/>
                <w:kern w:val="0"/>
                <w:sz w:val="22"/>
                <w:szCs w:val="22"/>
                <w:lang w:val="en-US" w:eastAsia="zh-CN"/>
              </w:rPr>
              <w:t>人员资质</w:t>
            </w:r>
          </w:p>
        </w:tc>
        <w:tc>
          <w:tcPr>
            <w:tcW w:w="926"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lang w:val="en-US" w:eastAsia="zh-CN"/>
              </w:rPr>
              <w:t>3</w:t>
            </w:r>
            <w:r>
              <w:rPr>
                <w:rFonts w:hint="eastAsia" w:ascii="宋体" w:hAnsi="宋体" w:cs="宋体"/>
                <w:bCs/>
                <w:kern w:val="0"/>
                <w:sz w:val="22"/>
                <w:szCs w:val="22"/>
              </w:rPr>
              <w:t>分</w:t>
            </w:r>
          </w:p>
        </w:tc>
        <w:tc>
          <w:tcPr>
            <w:tcW w:w="6024" w:type="dxa"/>
            <w:vAlign w:val="center"/>
          </w:tcPr>
          <w:p>
            <w:pPr>
              <w:keepNext w:val="0"/>
              <w:keepLines w:val="0"/>
              <w:widowControl/>
              <w:suppressLineNumbers w:val="0"/>
              <w:spacing w:before="0" w:beforeAutospacing="0" w:after="0" w:afterAutospacing="0" w:line="300" w:lineRule="exact"/>
              <w:ind w:left="0" w:right="0"/>
              <w:jc w:val="left"/>
              <w:rPr>
                <w:rFonts w:hint="eastAsia" w:ascii="宋体" w:hAnsi="宋体" w:cs="Times New Roman"/>
                <w:sz w:val="22"/>
                <w:szCs w:val="22"/>
              </w:rPr>
            </w:pPr>
            <w:r>
              <w:rPr>
                <w:rFonts w:hint="eastAsia" w:ascii="宋体" w:hAnsi="宋体" w:cs="Times New Roman"/>
                <w:sz w:val="22"/>
                <w:szCs w:val="22"/>
              </w:rPr>
              <w:t>供应商拟派的维保服务人员具备行政主管部门颁发操作证（电工作业、高处作业、焊接作业、制冷与空调作业），同一个人具备其中任一一种或以上证书得</w:t>
            </w:r>
            <w:r>
              <w:rPr>
                <w:rFonts w:hint="eastAsia" w:ascii="宋体" w:hAnsi="宋体" w:cs="Times New Roman"/>
                <w:sz w:val="22"/>
                <w:szCs w:val="22"/>
                <w:lang w:val="en-US" w:eastAsia="zh-CN"/>
              </w:rPr>
              <w:t>1</w:t>
            </w:r>
            <w:r>
              <w:rPr>
                <w:rFonts w:hint="eastAsia" w:ascii="宋体" w:hAnsi="宋体" w:cs="Times New Roman"/>
                <w:sz w:val="22"/>
                <w:szCs w:val="22"/>
              </w:rPr>
              <w:t>分，最</w:t>
            </w:r>
            <w:r>
              <w:rPr>
                <w:rFonts w:hint="eastAsia" w:ascii="宋体" w:hAnsi="宋体" w:cs="宋体"/>
                <w:bCs/>
                <w:kern w:val="0"/>
                <w:sz w:val="22"/>
                <w:szCs w:val="22"/>
                <w:lang w:val="en-US" w:eastAsia="zh-CN"/>
              </w:rPr>
              <w:t>高</w:t>
            </w:r>
            <w:r>
              <w:rPr>
                <w:rFonts w:hint="eastAsia" w:ascii="宋体" w:hAnsi="宋体" w:cs="Times New Roman"/>
                <w:sz w:val="22"/>
                <w:szCs w:val="22"/>
              </w:rPr>
              <w:t>得</w:t>
            </w:r>
            <w:r>
              <w:rPr>
                <w:rFonts w:hint="eastAsia" w:ascii="宋体" w:hAnsi="宋体" w:cs="Times New Roman"/>
                <w:sz w:val="22"/>
                <w:szCs w:val="22"/>
                <w:lang w:val="en-US" w:eastAsia="zh-CN"/>
              </w:rPr>
              <w:t>3</w:t>
            </w:r>
            <w:r>
              <w:rPr>
                <w:rFonts w:hint="eastAsia" w:ascii="宋体" w:hAnsi="宋体" w:cs="Times New Roman"/>
                <w:sz w:val="22"/>
                <w:szCs w:val="22"/>
              </w:rPr>
              <w:t>分。</w:t>
            </w:r>
          </w:p>
          <w:p>
            <w:pPr>
              <w:keepNext w:val="0"/>
              <w:keepLines w:val="0"/>
              <w:widowControl/>
              <w:suppressLineNumbers w:val="0"/>
              <w:spacing w:before="0" w:beforeAutospacing="0" w:after="0" w:afterAutospacing="0" w:line="300" w:lineRule="exact"/>
              <w:ind w:left="0" w:right="0"/>
              <w:jc w:val="left"/>
              <w:rPr>
                <w:rFonts w:hint="default" w:ascii="宋体" w:hAnsi="宋体"/>
                <w:sz w:val="22"/>
                <w:szCs w:val="22"/>
              </w:rPr>
            </w:pPr>
            <w:r>
              <w:rPr>
                <w:rFonts w:hint="eastAsia" w:ascii="宋体" w:hAnsi="宋体" w:cs="宋体"/>
                <w:b/>
                <w:bCs w:val="0"/>
                <w:kern w:val="0"/>
                <w:sz w:val="22"/>
                <w:szCs w:val="22"/>
                <w:lang w:val="en-US" w:eastAsia="zh-CN"/>
              </w:rPr>
              <w:t>注：</w:t>
            </w:r>
            <w:r>
              <w:rPr>
                <w:rFonts w:hint="eastAsia" w:ascii="宋体" w:hAnsi="宋体" w:cs="Times New Roman"/>
                <w:sz w:val="22"/>
                <w:szCs w:val="22"/>
              </w:rPr>
              <w:t>须提供证书清晰的复印件、</w:t>
            </w:r>
            <w:r>
              <w:rPr>
                <w:rFonts w:hint="eastAsia" w:ascii="宋体" w:hAnsi="宋体" w:cs="Times New Roman"/>
                <w:sz w:val="22"/>
                <w:szCs w:val="22"/>
                <w:lang w:val="en-US" w:eastAsia="zh-CN"/>
              </w:rPr>
              <w:t>响应</w:t>
            </w:r>
            <w:r>
              <w:rPr>
                <w:rFonts w:hint="eastAsia" w:ascii="宋体" w:hAnsi="宋体" w:cs="Times New Roman"/>
                <w:sz w:val="22"/>
                <w:szCs w:val="22"/>
              </w:rPr>
              <w:t>截止日前3个月缴纳社的保证明材料，未提供或未按要求提供不得分。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173" w:type="dxa"/>
            <w:vMerge w:val="restart"/>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技术评议</w:t>
            </w:r>
          </w:p>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lang w:val="en-US" w:eastAsia="zh-CN"/>
              </w:rPr>
              <w:t>25</w:t>
            </w:r>
            <w:r>
              <w:rPr>
                <w:rFonts w:hint="eastAsia" w:ascii="宋体" w:hAnsi="宋体" w:cs="宋体"/>
                <w:bCs/>
                <w:kern w:val="0"/>
                <w:sz w:val="22"/>
                <w:szCs w:val="22"/>
              </w:rPr>
              <w:t>分</w:t>
            </w:r>
          </w:p>
        </w:tc>
        <w:tc>
          <w:tcPr>
            <w:tcW w:w="1334"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bCs/>
                <w:sz w:val="22"/>
                <w:szCs w:val="22"/>
              </w:rPr>
            </w:pPr>
            <w:r>
              <w:rPr>
                <w:rFonts w:hint="eastAsia" w:ascii="宋体" w:hAnsi="宋体" w:eastAsia="宋体" w:cs="宋体"/>
                <w:lang w:val="en-US" w:eastAsia="zh-CN" w:bidi="ar"/>
              </w:rPr>
              <w:t>1.</w:t>
            </w:r>
            <w:r>
              <w:rPr>
                <w:rFonts w:hint="eastAsia" w:ascii="宋体" w:hAnsi="宋体" w:eastAsia="宋体" w:cs="宋体"/>
                <w:lang w:bidi="ar"/>
              </w:rPr>
              <w:t>整体服务方案</w:t>
            </w:r>
          </w:p>
        </w:tc>
        <w:tc>
          <w:tcPr>
            <w:tcW w:w="926"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lang w:val="en-US" w:eastAsia="zh-CN"/>
              </w:rPr>
              <w:t>8</w:t>
            </w:r>
            <w:r>
              <w:rPr>
                <w:rFonts w:hint="eastAsia" w:ascii="宋体" w:hAnsi="宋体" w:cs="宋体"/>
                <w:sz w:val="22"/>
                <w:szCs w:val="22"/>
              </w:rPr>
              <w:t>分</w:t>
            </w:r>
          </w:p>
        </w:tc>
        <w:tc>
          <w:tcPr>
            <w:tcW w:w="6024" w:type="dxa"/>
            <w:vAlign w:val="top"/>
          </w:tcPr>
          <w:p>
            <w:pPr>
              <w:keepNext w:val="0"/>
              <w:keepLines w:val="0"/>
              <w:widowControl/>
              <w:suppressLineNumbers w:val="0"/>
              <w:spacing w:before="0" w:beforeAutospacing="0" w:after="0" w:afterAutospacing="0" w:line="300" w:lineRule="exact"/>
              <w:ind w:left="0" w:right="0"/>
              <w:jc w:val="left"/>
              <w:rPr>
                <w:rFonts w:hint="eastAsia" w:ascii="宋体" w:hAnsi="宋体" w:cs="Times New Roman"/>
                <w:sz w:val="22"/>
                <w:szCs w:val="22"/>
              </w:rPr>
            </w:pPr>
            <w:r>
              <w:rPr>
                <w:rFonts w:hint="eastAsia" w:ascii="宋体" w:hAnsi="宋体" w:cs="Times New Roman"/>
                <w:sz w:val="22"/>
                <w:szCs w:val="22"/>
              </w:rPr>
              <w:t>根据供应商针对本项目提供的整体服务方案进行评审，包括但不限于：①清理保养服务方案；②维护清洗服务方案；③定期巡查检查服务方案；④维保人服务员岗位安排及职责分工方案。</w:t>
            </w:r>
          </w:p>
          <w:p>
            <w:pPr>
              <w:keepNext w:val="0"/>
              <w:keepLines w:val="0"/>
              <w:widowControl/>
              <w:suppressLineNumbers w:val="0"/>
              <w:spacing w:before="0" w:beforeAutospacing="0" w:after="0" w:afterAutospacing="0" w:line="300" w:lineRule="exact"/>
              <w:ind w:left="0" w:right="0"/>
              <w:jc w:val="left"/>
              <w:rPr>
                <w:rFonts w:hint="default" w:ascii="宋体" w:hAnsi="宋体"/>
                <w:sz w:val="22"/>
                <w:szCs w:val="22"/>
              </w:rPr>
            </w:pPr>
            <w:r>
              <w:rPr>
                <w:rFonts w:hint="eastAsia" w:ascii="宋体" w:hAnsi="宋体" w:cs="Times New Roman"/>
                <w:sz w:val="22"/>
                <w:szCs w:val="22"/>
              </w:rPr>
              <w:t>上述每项内客内容详细、清晰完整、符合标准得</w:t>
            </w:r>
            <w:r>
              <w:rPr>
                <w:rFonts w:hint="eastAsia" w:ascii="宋体" w:hAnsi="宋体" w:cs="Times New Roman"/>
                <w:sz w:val="22"/>
                <w:szCs w:val="22"/>
                <w:lang w:val="en-US" w:eastAsia="zh-CN"/>
              </w:rPr>
              <w:t>2</w:t>
            </w:r>
            <w:r>
              <w:rPr>
                <w:rFonts w:hint="eastAsia" w:ascii="宋体" w:hAnsi="宋体" w:cs="Times New Roman"/>
                <w:sz w:val="22"/>
                <w:szCs w:val="22"/>
              </w:rPr>
              <w:t>分；每项内容存在缺陷 (缺陷是指:内容简略、内容与本项目实际需求不符、不符合相关规范及标准)得1分；不提供不得分。最多得</w:t>
            </w:r>
            <w:r>
              <w:rPr>
                <w:rFonts w:hint="eastAsia" w:ascii="宋体" w:hAnsi="宋体" w:cs="Times New Roman"/>
                <w:sz w:val="22"/>
                <w:szCs w:val="22"/>
                <w:lang w:val="en-US" w:eastAsia="zh-CN"/>
              </w:rPr>
              <w:t>8</w:t>
            </w:r>
            <w:r>
              <w:rPr>
                <w:rFonts w:hint="eastAsia" w:ascii="宋体" w:hAnsi="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173" w:type="dxa"/>
            <w:vMerge w:val="continue"/>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cs="宋体"/>
                <w:bCs/>
                <w:kern w:val="0"/>
                <w:sz w:val="22"/>
                <w:szCs w:val="22"/>
              </w:rPr>
            </w:pPr>
          </w:p>
        </w:tc>
        <w:tc>
          <w:tcPr>
            <w:tcW w:w="1334"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bCs/>
                <w:sz w:val="22"/>
                <w:szCs w:val="22"/>
              </w:rPr>
            </w:pPr>
            <w:r>
              <w:rPr>
                <w:rFonts w:hint="eastAsia" w:ascii="宋体" w:hAnsi="宋体" w:eastAsia="宋体" w:cs="宋体"/>
                <w:szCs w:val="21"/>
                <w:lang w:val="en-US" w:eastAsia="zh-CN" w:bidi="ar"/>
              </w:rPr>
              <w:t>2.</w:t>
            </w:r>
            <w:r>
              <w:rPr>
                <w:rFonts w:hint="eastAsia" w:ascii="宋体" w:hAnsi="宋体" w:eastAsia="宋体" w:cs="宋体"/>
                <w:szCs w:val="21"/>
                <w:lang w:bidi="ar"/>
              </w:rPr>
              <w:t>服务质量保证措施</w:t>
            </w:r>
          </w:p>
        </w:tc>
        <w:tc>
          <w:tcPr>
            <w:tcW w:w="926"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宋体"/>
                <w:sz w:val="22"/>
                <w:szCs w:val="22"/>
                <w:lang w:val="en-US" w:eastAsia="zh-CN"/>
              </w:rPr>
              <w:t>8</w:t>
            </w:r>
            <w:r>
              <w:rPr>
                <w:rFonts w:hint="eastAsia" w:ascii="宋体" w:hAnsi="宋体" w:cs="宋体"/>
                <w:sz w:val="22"/>
                <w:szCs w:val="22"/>
              </w:rPr>
              <w:t>分</w:t>
            </w:r>
          </w:p>
        </w:tc>
        <w:tc>
          <w:tcPr>
            <w:tcW w:w="6024" w:type="dxa"/>
            <w:vAlign w:val="center"/>
          </w:tcPr>
          <w:p>
            <w:pPr>
              <w:keepNext w:val="0"/>
              <w:keepLines w:val="0"/>
              <w:suppressLineNumbers w:val="0"/>
              <w:spacing w:before="0" w:beforeAutospacing="0" w:after="0" w:afterAutospacing="0"/>
              <w:ind w:left="0" w:right="0"/>
              <w:rPr>
                <w:rFonts w:hint="eastAsia" w:ascii="宋体" w:hAnsi="宋体" w:cs="宋体"/>
                <w:szCs w:val="21"/>
                <w:lang w:bidi="ar"/>
              </w:rPr>
            </w:pPr>
            <w:r>
              <w:rPr>
                <w:rFonts w:hint="eastAsia" w:ascii="宋体" w:hAnsi="宋体" w:cs="宋体"/>
                <w:szCs w:val="21"/>
                <w:lang w:bidi="ar"/>
              </w:rPr>
              <w:t>根据供应商针对本项目提供的服务质量保证措施进行评审，括但不限于：①健全的质量管理制度和成熟的质量管理体系；②详细的质控措施、维保质量保障措施；③配套的质量监管措施及责任制度；④设备维保工具和设备。</w:t>
            </w:r>
          </w:p>
          <w:p>
            <w:pPr>
              <w:keepNext w:val="0"/>
              <w:keepLines w:val="0"/>
              <w:suppressLineNumbers w:val="0"/>
              <w:spacing w:before="0" w:beforeAutospacing="0" w:after="0" w:afterAutospacing="0"/>
              <w:ind w:left="0" w:right="0"/>
              <w:rPr>
                <w:rFonts w:hint="default" w:ascii="宋体" w:hAnsi="宋体" w:cs="宋体"/>
                <w:bCs/>
                <w:sz w:val="22"/>
                <w:szCs w:val="22"/>
              </w:rPr>
            </w:pPr>
            <w:r>
              <w:rPr>
                <w:rFonts w:hint="eastAsia" w:ascii="宋体" w:hAnsi="宋体" w:cs="宋体"/>
                <w:szCs w:val="21"/>
                <w:lang w:bidi="ar"/>
              </w:rPr>
              <w:t>上述每项内客内容详细、清晰完整、符合标准得</w:t>
            </w:r>
            <w:r>
              <w:rPr>
                <w:rFonts w:hint="eastAsia" w:ascii="宋体" w:hAnsi="宋体" w:cs="宋体"/>
                <w:szCs w:val="21"/>
                <w:lang w:val="en-US" w:eastAsia="zh-CN" w:bidi="ar"/>
              </w:rPr>
              <w:t>2</w:t>
            </w:r>
            <w:r>
              <w:rPr>
                <w:rFonts w:hint="eastAsia" w:ascii="宋体" w:hAnsi="宋体" w:cs="宋体"/>
                <w:szCs w:val="21"/>
                <w:lang w:bidi="ar"/>
              </w:rPr>
              <w:t>分；每项内容存在缺陷 (缺陷是指:内容简略、内容与本项目实际需求不符、不符合相关规范及标准)得1分；不提供不得分。最多得</w:t>
            </w:r>
            <w:r>
              <w:rPr>
                <w:rFonts w:hint="eastAsia" w:ascii="宋体" w:hAnsi="宋体" w:cs="宋体"/>
                <w:szCs w:val="21"/>
                <w:lang w:val="en-US" w:eastAsia="zh-CN" w:bidi="ar"/>
              </w:rPr>
              <w:t>8</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173" w:type="dxa"/>
            <w:vMerge w:val="continue"/>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cs="宋体"/>
                <w:bCs/>
                <w:kern w:val="0"/>
                <w:sz w:val="22"/>
                <w:szCs w:val="22"/>
              </w:rPr>
            </w:pPr>
          </w:p>
        </w:tc>
        <w:tc>
          <w:tcPr>
            <w:tcW w:w="133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2"/>
                <w:szCs w:val="22"/>
              </w:rPr>
            </w:pPr>
            <w:r>
              <w:rPr>
                <w:rFonts w:hint="eastAsia" w:ascii="宋体" w:hAnsi="宋体" w:cs="宋体"/>
                <w:szCs w:val="21"/>
                <w:lang w:val="en-US" w:eastAsia="zh-CN" w:bidi="ar"/>
              </w:rPr>
              <w:t>3.</w:t>
            </w:r>
            <w:r>
              <w:rPr>
                <w:rFonts w:hint="eastAsia" w:ascii="宋体" w:hAnsi="宋体" w:cs="宋体"/>
                <w:szCs w:val="21"/>
                <w:lang w:bidi="ar"/>
              </w:rPr>
              <w:t>日常保养方案</w:t>
            </w:r>
          </w:p>
        </w:tc>
        <w:tc>
          <w:tcPr>
            <w:tcW w:w="926"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宋体"/>
                <w:sz w:val="22"/>
                <w:szCs w:val="22"/>
                <w:lang w:val="en-US" w:eastAsia="zh-CN"/>
              </w:rPr>
              <w:t>5</w:t>
            </w:r>
            <w:r>
              <w:rPr>
                <w:rFonts w:hint="eastAsia" w:ascii="宋体" w:hAnsi="宋体" w:cs="宋体"/>
                <w:sz w:val="22"/>
                <w:szCs w:val="22"/>
              </w:rPr>
              <w:t>分</w:t>
            </w:r>
          </w:p>
        </w:tc>
        <w:tc>
          <w:tcPr>
            <w:tcW w:w="6024" w:type="dxa"/>
            <w:vAlign w:val="center"/>
          </w:tcPr>
          <w:p>
            <w:pPr>
              <w:keepNext w:val="0"/>
              <w:keepLines w:val="0"/>
              <w:suppressLineNumbers w:val="0"/>
              <w:spacing w:before="0" w:beforeAutospacing="0" w:after="0" w:afterAutospacing="0"/>
              <w:ind w:left="0" w:right="0"/>
              <w:rPr>
                <w:rFonts w:hint="eastAsia" w:ascii="宋体" w:hAnsi="宋体" w:cs="宋体"/>
                <w:szCs w:val="21"/>
                <w:lang w:bidi="ar"/>
              </w:rPr>
            </w:pPr>
            <w:r>
              <w:rPr>
                <w:rFonts w:hint="eastAsia" w:ascii="宋体" w:hAnsi="宋体" w:cs="宋体"/>
                <w:szCs w:val="21"/>
                <w:lang w:bidi="ar"/>
              </w:rPr>
              <w:t>根据供应商针对本项目提供的日常保养方案进行评审，包括但不限于：①设备保养作业内容</w:t>
            </w:r>
            <w:r>
              <w:rPr>
                <w:rFonts w:hint="eastAsia" w:ascii="宋体" w:hAnsi="宋体" w:cs="宋体"/>
                <w:szCs w:val="21"/>
                <w:lang w:val="en-US" w:eastAsia="zh-CN" w:bidi="ar"/>
              </w:rPr>
              <w:t>及制度</w:t>
            </w:r>
            <w:r>
              <w:rPr>
                <w:rFonts w:hint="eastAsia" w:ascii="宋体" w:hAnsi="宋体" w:cs="宋体"/>
                <w:szCs w:val="21"/>
                <w:lang w:bidi="ar"/>
              </w:rPr>
              <w:t>；②设备保养服务标准。</w:t>
            </w:r>
          </w:p>
          <w:p>
            <w:pPr>
              <w:keepNext w:val="0"/>
              <w:keepLines w:val="0"/>
              <w:suppressLineNumbers w:val="0"/>
              <w:spacing w:before="0" w:beforeAutospacing="0" w:after="0" w:afterAutospacing="0"/>
              <w:ind w:left="0" w:right="0"/>
              <w:rPr>
                <w:rFonts w:hint="default" w:ascii="宋体" w:hAnsi="宋体"/>
                <w:kern w:val="0"/>
                <w:sz w:val="22"/>
                <w:szCs w:val="22"/>
              </w:rPr>
            </w:pPr>
            <w:r>
              <w:rPr>
                <w:rFonts w:hint="eastAsia" w:ascii="宋体" w:hAnsi="宋体" w:cs="宋体"/>
                <w:szCs w:val="21"/>
                <w:lang w:bidi="ar"/>
              </w:rPr>
              <w:t>上述每项内客内容详细、清晰完整、符合标准得</w:t>
            </w:r>
            <w:r>
              <w:rPr>
                <w:rFonts w:hint="eastAsia" w:ascii="宋体" w:hAnsi="宋体" w:cs="宋体"/>
                <w:szCs w:val="21"/>
                <w:lang w:val="en-US" w:eastAsia="zh-CN" w:bidi="ar"/>
              </w:rPr>
              <w:t>2.5</w:t>
            </w:r>
            <w:r>
              <w:rPr>
                <w:rFonts w:hint="eastAsia" w:ascii="宋体" w:hAnsi="宋体" w:cs="宋体"/>
                <w:szCs w:val="21"/>
                <w:lang w:bidi="ar"/>
              </w:rPr>
              <w:t>分；每项内容存在缺陷 (缺陷是指:内容简略、内容与本项目实际需求不符、不符合相关规范及标准)得1分；不提供不得分。最多得</w:t>
            </w:r>
            <w:r>
              <w:rPr>
                <w:rFonts w:hint="eastAsia" w:ascii="宋体" w:hAnsi="宋体" w:cs="宋体"/>
                <w:szCs w:val="21"/>
                <w:lang w:val="en-US" w:eastAsia="zh-CN" w:bidi="ar"/>
              </w:rPr>
              <w:t>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73" w:type="dxa"/>
            <w:vMerge w:val="continue"/>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cs="宋体"/>
                <w:bCs/>
                <w:kern w:val="0"/>
                <w:sz w:val="22"/>
                <w:szCs w:val="22"/>
              </w:rPr>
            </w:pPr>
          </w:p>
        </w:tc>
        <w:tc>
          <w:tcPr>
            <w:tcW w:w="133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2"/>
                <w:szCs w:val="22"/>
              </w:rPr>
            </w:pPr>
            <w:r>
              <w:rPr>
                <w:rFonts w:hint="eastAsia" w:ascii="宋体" w:hAnsi="宋体" w:cs="宋体"/>
                <w:szCs w:val="21"/>
                <w:lang w:val="en-US" w:eastAsia="zh-CN" w:bidi="ar"/>
              </w:rPr>
              <w:t>4.</w:t>
            </w:r>
            <w:r>
              <w:rPr>
                <w:rFonts w:hint="eastAsia" w:ascii="宋体" w:hAnsi="宋体" w:cs="宋体"/>
                <w:szCs w:val="21"/>
                <w:lang w:bidi="ar"/>
              </w:rPr>
              <w:t>应急预案</w:t>
            </w:r>
          </w:p>
        </w:tc>
        <w:tc>
          <w:tcPr>
            <w:tcW w:w="926"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lang w:val="en-US" w:eastAsia="zh-CN"/>
              </w:rPr>
              <w:t>4</w:t>
            </w:r>
            <w:r>
              <w:rPr>
                <w:rFonts w:hint="eastAsia" w:ascii="宋体" w:hAnsi="宋体" w:cs="宋体"/>
                <w:bCs/>
                <w:kern w:val="0"/>
                <w:sz w:val="22"/>
                <w:szCs w:val="22"/>
              </w:rPr>
              <w:t>分</w:t>
            </w:r>
          </w:p>
        </w:tc>
        <w:tc>
          <w:tcPr>
            <w:tcW w:w="6024" w:type="dxa"/>
            <w:vAlign w:val="center"/>
          </w:tcPr>
          <w:p>
            <w:pPr>
              <w:keepNext w:val="0"/>
              <w:keepLines w:val="0"/>
              <w:widowControl/>
              <w:suppressLineNumbers w:val="0"/>
              <w:spacing w:before="0" w:beforeAutospacing="0" w:after="0" w:afterAutospacing="0" w:line="300" w:lineRule="exact"/>
              <w:ind w:left="0" w:right="0"/>
              <w:jc w:val="left"/>
              <w:rPr>
                <w:rFonts w:hint="eastAsia" w:ascii="宋体" w:hAnsi="宋体"/>
                <w:sz w:val="22"/>
                <w:szCs w:val="22"/>
              </w:rPr>
            </w:pPr>
            <w:r>
              <w:rPr>
                <w:rFonts w:hint="eastAsia" w:ascii="宋体" w:hAnsi="宋体"/>
                <w:sz w:val="22"/>
                <w:szCs w:val="22"/>
              </w:rPr>
              <w:t>根据供应商针对本项目提供完整的应急预案进行评审，包括但不限于：①突发事件的应急预案、预防措施；②紧急情况的响应时间及处理流程。</w:t>
            </w:r>
          </w:p>
          <w:p>
            <w:pPr>
              <w:keepNext w:val="0"/>
              <w:keepLines w:val="0"/>
              <w:widowControl/>
              <w:suppressLineNumbers w:val="0"/>
              <w:spacing w:before="0" w:beforeAutospacing="0" w:after="0" w:afterAutospacing="0" w:line="300" w:lineRule="exact"/>
              <w:ind w:left="0" w:right="0"/>
              <w:jc w:val="left"/>
              <w:rPr>
                <w:rFonts w:hint="default" w:ascii="宋体" w:hAnsi="宋体" w:cs="宋体"/>
                <w:sz w:val="22"/>
                <w:szCs w:val="22"/>
              </w:rPr>
            </w:pPr>
            <w:r>
              <w:rPr>
                <w:rFonts w:hint="eastAsia" w:ascii="宋体" w:hAnsi="宋体"/>
                <w:sz w:val="22"/>
                <w:szCs w:val="22"/>
              </w:rPr>
              <w:t>上述每项内客内容详细、清晰完整、符合标准得</w:t>
            </w:r>
            <w:r>
              <w:rPr>
                <w:rFonts w:hint="eastAsia" w:ascii="宋体" w:hAnsi="宋体"/>
                <w:sz w:val="22"/>
                <w:szCs w:val="22"/>
                <w:lang w:val="en-US" w:eastAsia="zh-CN"/>
              </w:rPr>
              <w:t>2</w:t>
            </w:r>
            <w:r>
              <w:rPr>
                <w:rFonts w:hint="eastAsia" w:ascii="宋体" w:hAnsi="宋体"/>
                <w:sz w:val="22"/>
                <w:szCs w:val="22"/>
              </w:rPr>
              <w:t>分；每项内容存在缺陷 (缺陷是指:内容简略、内容与本项目实际需求不符、不符合相关规范及标准)得1分；不提供不得分。最多得</w:t>
            </w:r>
            <w:r>
              <w:rPr>
                <w:rFonts w:hint="eastAsia" w:ascii="宋体" w:hAnsi="宋体"/>
                <w:sz w:val="22"/>
                <w:szCs w:val="22"/>
                <w:lang w:val="en-US" w:eastAsia="zh-CN"/>
              </w:rPr>
              <w:t>4</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07" w:type="dxa"/>
            <w:gridSpan w:val="2"/>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得分</w:t>
            </w:r>
          </w:p>
        </w:tc>
        <w:tc>
          <w:tcPr>
            <w:tcW w:w="926"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r>
              <w:rPr>
                <w:rFonts w:hint="eastAsia" w:ascii="宋体" w:hAnsi="宋体" w:cs="宋体"/>
                <w:bCs/>
                <w:kern w:val="0"/>
                <w:sz w:val="22"/>
                <w:szCs w:val="22"/>
              </w:rPr>
              <w:t>100分</w:t>
            </w:r>
          </w:p>
        </w:tc>
        <w:tc>
          <w:tcPr>
            <w:tcW w:w="6024" w:type="dxa"/>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Cs/>
                <w:kern w:val="0"/>
                <w:sz w:val="22"/>
                <w:szCs w:val="22"/>
              </w:rPr>
            </w:pPr>
          </w:p>
        </w:tc>
      </w:tr>
    </w:tbl>
    <w:p>
      <w:pPr>
        <w:spacing w:line="276" w:lineRule="auto"/>
        <w:jc w:val="left"/>
        <w:rPr>
          <w:rFonts w:ascii="宋体" w:hAnsi="宋体" w:cs="宋体"/>
          <w:sz w:val="24"/>
          <w:szCs w:val="24"/>
        </w:rPr>
      </w:pPr>
      <w:r>
        <w:rPr>
          <w:rFonts w:hint="eastAsia" w:ascii="宋体" w:hAnsi="宋体" w:cs="宋体"/>
          <w:sz w:val="24"/>
          <w:szCs w:val="24"/>
        </w:rPr>
        <w:t>说明：</w:t>
      </w:r>
    </w:p>
    <w:p>
      <w:pPr>
        <w:spacing w:line="276" w:lineRule="auto"/>
        <w:ind w:firstLine="420"/>
        <w:jc w:val="left"/>
        <w:rPr>
          <w:rFonts w:ascii="宋体" w:cs="宋体"/>
          <w:sz w:val="24"/>
          <w:szCs w:val="24"/>
        </w:rPr>
      </w:pPr>
      <w:r>
        <w:rPr>
          <w:rFonts w:ascii="宋体" w:hAnsi="宋体" w:cs="宋体"/>
          <w:sz w:val="24"/>
          <w:szCs w:val="24"/>
        </w:rPr>
        <w:t>1.</w:t>
      </w:r>
      <w:r>
        <w:rPr>
          <w:rFonts w:hint="eastAsia" w:ascii="宋体" w:hAnsi="宋体" w:cs="宋体"/>
          <w:sz w:val="24"/>
          <w:szCs w:val="24"/>
        </w:rPr>
        <w:t>磋商小组分别对每一响应文件依据上表进行评审，并打分。</w:t>
      </w:r>
    </w:p>
    <w:p>
      <w:pPr>
        <w:spacing w:line="276" w:lineRule="auto"/>
        <w:ind w:left="1" w:firstLine="420"/>
        <w:jc w:val="left"/>
        <w:rPr>
          <w:sz w:val="24"/>
          <w:szCs w:val="24"/>
        </w:rPr>
      </w:pPr>
      <w:r>
        <w:rPr>
          <w:rFonts w:ascii="宋体" w:hAnsi="宋体" w:cs="宋体"/>
          <w:sz w:val="24"/>
          <w:szCs w:val="24"/>
        </w:rPr>
        <w:t>2.</w:t>
      </w:r>
      <w:r>
        <w:rPr>
          <w:rFonts w:hint="eastAsia"/>
          <w:sz w:val="24"/>
          <w:szCs w:val="24"/>
        </w:rPr>
        <w:t>磋商小组决定的响应性只根据响应文件本身的真实无误的内容，而不依据外部的证据，但响应文件有不真实不正确的内容时除外。</w:t>
      </w:r>
    </w:p>
    <w:p>
      <w:pPr>
        <w:spacing w:line="276" w:lineRule="auto"/>
        <w:jc w:val="center"/>
        <w:outlineLvl w:val="0"/>
        <w:rPr>
          <w:rFonts w:cs="宋体"/>
          <w:b/>
          <w:bCs/>
          <w:sz w:val="36"/>
          <w:szCs w:val="36"/>
        </w:rPr>
        <w:sectPr>
          <w:footerReference r:id="rId10" w:type="default"/>
          <w:pgSz w:w="11906" w:h="16838"/>
          <w:pgMar w:top="1440" w:right="1800" w:bottom="1440" w:left="1800" w:header="851" w:footer="992" w:gutter="0"/>
          <w:pgNumType w:start="1"/>
          <w:cols w:space="720" w:num="1"/>
          <w:docGrid w:type="lines" w:linePitch="312" w:charSpace="0"/>
        </w:sectPr>
      </w:pPr>
    </w:p>
    <w:p>
      <w:pPr>
        <w:numPr>
          <w:ilvl w:val="0"/>
          <w:numId w:val="5"/>
        </w:numPr>
        <w:spacing w:line="276" w:lineRule="auto"/>
        <w:jc w:val="center"/>
        <w:outlineLvl w:val="0"/>
        <w:rPr>
          <w:b/>
          <w:bCs/>
          <w:sz w:val="36"/>
          <w:szCs w:val="36"/>
        </w:rPr>
      </w:pPr>
      <w:bookmarkStart w:id="32" w:name="_Toc31936"/>
      <w:r>
        <w:rPr>
          <w:rFonts w:hint="eastAsia"/>
          <w:b/>
          <w:bCs/>
          <w:sz w:val="36"/>
          <w:szCs w:val="36"/>
        </w:rPr>
        <w:t>合同书（参考格式）</w:t>
      </w:r>
      <w:bookmarkEnd w:id="32"/>
    </w:p>
    <w:p>
      <w:pPr>
        <w:spacing w:line="360" w:lineRule="auto"/>
        <w:ind w:firstLine="420"/>
        <w:jc w:val="center"/>
        <w:rPr>
          <w:bCs/>
          <w:sz w:val="22"/>
          <w:szCs w:val="22"/>
        </w:rPr>
      </w:pPr>
      <w:r>
        <w:rPr>
          <w:rFonts w:hint="eastAsia" w:cs="宋体"/>
          <w:kern w:val="0"/>
          <w:sz w:val="22"/>
          <w:szCs w:val="22"/>
        </w:rPr>
        <w:t>（此合同书仅作为签订正式合同时参考，正式合同书不限于本参考格式的内容）</w:t>
      </w:r>
    </w:p>
    <w:p/>
    <w:p>
      <w:pPr>
        <w:sectPr>
          <w:footerReference r:id="rId11" w:type="default"/>
          <w:pgSz w:w="11906" w:h="16838"/>
          <w:pgMar w:top="1440" w:right="1800" w:bottom="1440" w:left="1800" w:header="851" w:footer="992" w:gutter="0"/>
          <w:cols w:space="720" w:num="1"/>
          <w:docGrid w:type="lines" w:linePitch="312" w:charSpace="0"/>
        </w:sectPr>
      </w:pPr>
      <w: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湖北机场集团恩施机场有限责任公司</w:t>
      </w:r>
    </w:p>
    <w:p>
      <w:pPr>
        <w:keepNext w:val="0"/>
        <w:keepLines w:val="0"/>
        <w:pageBreakBefore w:val="0"/>
        <w:widowControl w:val="0"/>
        <w:kinsoku/>
        <w:wordWrap/>
        <w:overflowPunct/>
        <w:topLinePunct w:val="0"/>
        <w:autoSpaceDE/>
        <w:autoSpaceDN/>
        <w:bidi w:val="0"/>
        <w:adjustRightInd/>
        <w:snapToGrid/>
        <w:spacing w:line="360" w:lineRule="auto"/>
        <w:ind w:left="3520" w:hanging="4840" w:hangingChars="1100"/>
        <w:jc w:val="center"/>
        <w:textAlignment w:val="auto"/>
        <w:outlineLvl w:val="0"/>
        <w:rPr>
          <w:rFonts w:hint="eastAsia"/>
          <w:b w:val="0"/>
          <w:bCs/>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中央空调维保</w:t>
      </w:r>
      <w:r>
        <w:rPr>
          <w:rFonts w:hint="eastAsia" w:ascii="方正小标宋简体" w:hAnsi="方正小标宋简体" w:eastAsia="方正小标宋简体" w:cs="方正小标宋简体"/>
          <w:b w:val="0"/>
          <w:bCs w:val="0"/>
          <w:color w:val="auto"/>
          <w:sz w:val="44"/>
          <w:szCs w:val="44"/>
        </w:rPr>
        <w:t>服务</w:t>
      </w:r>
      <w:r>
        <w:rPr>
          <w:rFonts w:hint="eastAsia" w:ascii="方正小标宋简体" w:hAnsi="方正小标宋简体" w:eastAsia="方正小标宋简体" w:cs="方正小标宋简体"/>
          <w:b w:val="0"/>
          <w:bCs w:val="0"/>
          <w:color w:val="auto"/>
          <w:sz w:val="44"/>
          <w:szCs w:val="44"/>
          <w:lang w:val="en-US" w:eastAsia="zh-CN"/>
        </w:rPr>
        <w:t>外包</w:t>
      </w:r>
      <w:r>
        <w:rPr>
          <w:rFonts w:hint="eastAsia" w:ascii="方正小标宋简体" w:hAnsi="方正小标宋简体" w:eastAsia="方正小标宋简体" w:cs="方正小标宋简体"/>
          <w:b w:val="0"/>
          <w:bCs w:val="0"/>
          <w:color w:val="auto"/>
          <w:sz w:val="44"/>
          <w:szCs w:val="44"/>
        </w:rPr>
        <w:t>合同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_GB2312" w:hAnsi="楷体_GB2312" w:eastAsia="楷体_GB2312" w:cs="楷体_GB2312"/>
          <w:b/>
          <w:bCs/>
          <w:color w:val="auto"/>
          <w:sz w:val="28"/>
          <w:szCs w:val="28"/>
          <w:u w:val="single"/>
          <w:lang w:val="en-US" w:eastAsia="zh-CN"/>
        </w:rPr>
      </w:pPr>
      <w:r>
        <w:rPr>
          <w:rFonts w:hint="eastAsia" w:ascii="楷体_GB2312" w:hAnsi="楷体_GB2312" w:eastAsia="楷体_GB2312" w:cs="楷体_GB2312"/>
          <w:b/>
          <w:bCs/>
          <w:color w:val="auto"/>
          <w:sz w:val="28"/>
          <w:szCs w:val="28"/>
          <w:u w:val="none"/>
        </w:rPr>
        <w:t>甲方:</w:t>
      </w:r>
      <w:r>
        <w:rPr>
          <w:rFonts w:hint="eastAsia" w:ascii="楷体_GB2312" w:hAnsi="楷体_GB2312" w:eastAsia="楷体_GB2312" w:cs="楷体_GB2312"/>
          <w:b/>
          <w:bCs/>
          <w:color w:val="auto"/>
          <w:sz w:val="28"/>
          <w:szCs w:val="28"/>
          <w:u w:val="single"/>
        </w:rPr>
        <w:t>湖北机场集团恩施机场有限责任公司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u w:val="none"/>
        </w:rPr>
        <w:t>乙方:</w:t>
      </w:r>
      <w:r>
        <w:rPr>
          <w:rFonts w:hint="eastAsia" w:ascii="楷体_GB2312" w:hAnsi="楷体_GB2312" w:eastAsia="楷体_GB2312" w:cs="楷体_GB2312"/>
          <w:b/>
          <w:bCs/>
          <w:color w:val="auto"/>
          <w:sz w:val="28"/>
          <w:szCs w:val="28"/>
          <w:u w:val="single"/>
          <w:lang w:val="en-US" w:eastAsia="zh-CN"/>
        </w:rPr>
        <w:t xml:space="preserve">                                </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第一条  总则</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1.1 根据《中华人民共和国民法典》及相关法律法规的规定，甲、乙双方在平等、自愿、公平合理、互惠互利、协商一致的基础上，就甲方将 </w:t>
      </w:r>
      <w:r>
        <w:rPr>
          <w:rFonts w:hint="eastAsia" w:ascii="仿宋_GB2312" w:hAnsi="仿宋_GB2312" w:eastAsia="仿宋_GB2312" w:cs="仿宋_GB2312"/>
          <w:color w:val="auto"/>
          <w:kern w:val="2"/>
          <w:sz w:val="28"/>
          <w:szCs w:val="28"/>
          <w:u w:val="single"/>
          <w:lang w:val="en-US" w:eastAsia="zh-CN" w:bidi="ar-SA"/>
        </w:rPr>
        <w:t>湖北机场集团恩施机场有限责任公司中央空调维保项目</w:t>
      </w:r>
      <w:r>
        <w:rPr>
          <w:rFonts w:hint="eastAsia" w:ascii="仿宋_GB2312" w:hAnsi="仿宋_GB2312" w:eastAsia="仿宋_GB2312" w:cs="仿宋_GB2312"/>
          <w:color w:val="auto"/>
          <w:kern w:val="2"/>
          <w:sz w:val="28"/>
          <w:szCs w:val="28"/>
          <w:lang w:val="en-US" w:eastAsia="zh-CN" w:bidi="ar-SA"/>
        </w:rPr>
        <w:t>的服务外包给乙方办理事宜，共同签署本合同，以资共同遵守。</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 本合同所称服务外包，是指甲方根据自身经营需要，将部分（某个或某些项目）业务交由具有该类业务服务经验、良好的业绩、完备的资质、以及高效的管理团队的服务商进行办理，甲方根据服务商的服务工作量和服务质量，依据合同约定的计算方式，向服务商支付价款（外包服务费）的行为。</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1.3 乙方因履行本服务外包合同需要，派出的所有工作人员的劳动人事、工资福利、社会保险及其他费用等由乙方承担，与甲方无关。乙方有义务在本合同有效期内维持其与外包服务人员合法的劳动合同关系，不得因与外包服务人员间就劳动法律关系或在其他方面的任何争议或瑕疵影响其履行本合同的义务。同时，乙方在与甲方签订本合同时，甲方有权要求乙方提供被派出人员劳动合同及社会保险缴费记录。</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第二条  服务外包内容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对国际楼中央空调系统、贵宾室中央空调系统、国内楼中央空调系统进行日常维护，每季度、半年、年度进行一次设备例行保养，对设备进行检测。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（1）对国际楼中央空调系统、贵宾室中央空调系统、国内楼中央空调系统进行日常维护，设备情况如下。</w:t>
      </w:r>
    </w:p>
    <w:tbl>
      <w:tblPr>
        <w:tblStyle w:val="38"/>
        <w:tblpPr w:leftFromText="180" w:rightFromText="180" w:vertAnchor="text" w:horzAnchor="page" w:tblpX="1905"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航站区中央空调设备详细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风机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水泵</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1台</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7台</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3台</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2台</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国际航站楼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风机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贵宾室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主机</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贵宾室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末端控制</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4个区域</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2组</w:t>
            </w:r>
          </w:p>
        </w:tc>
        <w:tc>
          <w:tcPr>
            <w:tcW w:w="170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24套</w:t>
            </w: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asciiTheme="minorEastAsia" w:hAnsiTheme="minorEastAsia" w:eastAsiaTheme="minorEastAsia" w:cstheme="minorEastAsia"/>
                <w:kern w:val="0"/>
                <w:sz w:val="24"/>
                <w:szCs w:val="24"/>
                <w:lang w:val="en-US" w:eastAsia="zh-CN"/>
              </w:rPr>
            </w:pPr>
          </w:p>
        </w:tc>
        <w:tc>
          <w:tcPr>
            <w:tcW w:w="17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r>
    </w:tbl>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2.每季度、半年、年度进行一次设备例行保养，对设备进行检测。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bl>
      <w:tblPr>
        <w:tblStyle w:val="3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空调类型</w:t>
            </w: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中央空调</w:t>
            </w: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每季度进行设备运行检测，含主机系统高低压力、排气吸气温度、机组运行电流、设备绝缘阻值、设备线路检测。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每季度清洗风柜过滤网、水路过滤器、主机冷凝器。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每季度检测风柜皮带。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每季度添加风柜电机、循环水电机润滑油。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每半年清洗出风口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每半年更换一次循环水系统软化水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02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p>
        </w:tc>
        <w:tc>
          <w:tcPr>
            <w:tcW w:w="71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每年更换压缩机冷冻润滑油、干燥过滤器、油过滤器、补充因更换油过滤器与干燥过滤器后损耗的冷媒。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0"/>
          <w:sz w:val="28"/>
          <w:szCs w:val="28"/>
          <w:lang w:val="en-US" w:eastAsia="zh-CN" w:bidi="ar-SA"/>
        </w:rPr>
        <w:t>乙方单位需配置常用的空调维修配件，需要维修时及时维修。维修项目按实际发生进行结算，不包含在本合同服务费用内。</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第三条  合同期限</w:t>
      </w:r>
    </w:p>
    <w:p>
      <w:pPr>
        <w:keepNext w:val="0"/>
        <w:keepLines w:val="0"/>
        <w:pageBreakBefore w:val="0"/>
        <w:widowControl w:val="0"/>
        <w:kinsoku/>
        <w:wordWrap/>
        <w:overflowPunct/>
        <w:topLinePunct w:val="0"/>
        <w:bidi w:val="0"/>
        <w:adjustRightInd w:val="0"/>
        <w:snapToGrid w:val="0"/>
        <w:spacing w:before="30" w:after="30"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合同签订期限为1年，本合同期限从</w:t>
      </w:r>
      <w:r>
        <w:rPr>
          <w:rFonts w:hint="eastAsia" w:ascii="仿宋_GB2312" w:hAnsi="仿宋_GB2312" w:eastAsia="仿宋_GB2312" w:cs="仿宋_GB2312"/>
          <w:color w:val="auto"/>
          <w:kern w:val="0"/>
          <w:sz w:val="28"/>
          <w:szCs w:val="28"/>
          <w:lang w:val="en-US" w:eastAsia="zh-CN" w:bidi="ar-SA"/>
        </w:rPr>
        <w:t xml:space="preserve"> </w:t>
      </w:r>
      <w:r>
        <w:rPr>
          <w:rFonts w:hint="eastAsia" w:ascii="仿宋_GB2312" w:hAnsi="仿宋_GB2312" w:eastAsia="仿宋_GB2312" w:cs="仿宋_GB2312"/>
          <w:color w:val="auto"/>
          <w:kern w:val="0"/>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 xml:space="preserve">起至 </w:t>
      </w:r>
      <w:r>
        <w:rPr>
          <w:rFonts w:hint="eastAsia" w:ascii="仿宋_GB2312" w:hAnsi="仿宋_GB2312" w:eastAsia="仿宋_GB2312" w:cs="仿宋_GB2312"/>
          <w:color w:val="auto"/>
          <w:kern w:val="0"/>
          <w:sz w:val="28"/>
          <w:szCs w:val="28"/>
          <w:u w:val="single"/>
          <w:lang w:val="en-US" w:eastAsia="zh-CN" w:bidi="ar-SA"/>
        </w:rPr>
        <w:t xml:space="preserve">         </w:t>
      </w:r>
      <w:r>
        <w:rPr>
          <w:rFonts w:hint="eastAsia" w:ascii="仿宋_GB2312" w:hAnsi="仿宋_GB2312" w:eastAsia="仿宋_GB2312" w:cs="仿宋_GB2312"/>
          <w:color w:val="auto"/>
          <w:kern w:val="0"/>
          <w:sz w:val="28"/>
          <w:szCs w:val="28"/>
          <w:lang w:val="en-US" w:eastAsia="zh-CN" w:bidi="ar-SA"/>
        </w:rPr>
        <w:t>。</w:t>
      </w:r>
      <w:r>
        <w:rPr>
          <w:rFonts w:hint="eastAsia" w:ascii="仿宋_GB2312" w:hAnsi="仿宋_GB2312" w:eastAsia="仿宋_GB2312" w:cs="仿宋_GB2312"/>
          <w:color w:val="auto"/>
          <w:sz w:val="28"/>
          <w:szCs w:val="28"/>
        </w:rPr>
        <w:t xml:space="preserve"> </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第四条  外包服务费标准、结算方式和履约担保</w:t>
      </w:r>
    </w:p>
    <w:p>
      <w:pPr>
        <w:pStyle w:val="78"/>
        <w:keepNext w:val="0"/>
        <w:keepLines w:val="0"/>
        <w:pageBreakBefore w:val="0"/>
        <w:widowControl w:val="0"/>
        <w:kinsoku/>
        <w:wordWrap/>
        <w:overflowPunct/>
        <w:topLinePunct w:val="0"/>
        <w:bidi w:val="0"/>
        <w:spacing w:before="67" w:line="360" w:lineRule="auto"/>
        <w:ind w:left="101" w:leftChars="48" w:right="149" w:firstLine="560" w:firstLineChars="200"/>
        <w:textAlignment w:val="auto"/>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kern w:val="2"/>
          <w:sz w:val="28"/>
          <w:szCs w:val="28"/>
          <w:lang w:val="en-US" w:eastAsia="zh-CN" w:bidi="ar-SA"/>
        </w:rPr>
        <w:t xml:space="preserve">4.1 在乙方完全履行本合同的情况下，外包服务费金额共计人民币：（大写）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lang w:val="en-US" w:eastAsia="zh-CN" w:bidi="ar-SA"/>
        </w:rPr>
        <w:t>具体支付给乙方的外包服务费数额根据服务范围、工作要求和考核结果等确定。</w:t>
      </w:r>
    </w:p>
    <w:p>
      <w:pPr>
        <w:keepNext w:val="0"/>
        <w:keepLines w:val="0"/>
        <w:pageBreakBefore w:val="0"/>
        <w:widowControl w:val="0"/>
        <w:kinsoku/>
        <w:wordWrap/>
        <w:overflowPunct/>
        <w:topLinePunct w:val="0"/>
        <w:bidi w:val="0"/>
        <w:spacing w:line="360" w:lineRule="auto"/>
        <w:ind w:firstLine="560" w:firstLineChars="200"/>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lang w:val="en-US" w:eastAsia="zh-CN" w:bidi="ar-SA"/>
        </w:rPr>
        <w:t>4.2 外包服务费的结算方式：</w:t>
      </w:r>
      <w:r>
        <w:rPr>
          <w:rFonts w:hint="eastAsia" w:ascii="仿宋_GB2312" w:hAnsi="仿宋_GB2312" w:eastAsia="仿宋_GB2312" w:cs="仿宋_GB2312"/>
          <w:kern w:val="0"/>
          <w:sz w:val="28"/>
          <w:szCs w:val="28"/>
          <w:u w:val="single"/>
          <w:lang w:val="en-US" w:eastAsia="zh-CN"/>
        </w:rPr>
        <w:t>合同到期后，经甲方验收合格后，</w:t>
      </w:r>
      <w:r>
        <w:rPr>
          <w:rFonts w:hint="eastAsia" w:ascii="仿宋_GB2312" w:hAnsi="仿宋_GB2312" w:eastAsia="仿宋_GB2312" w:cs="仿宋_GB2312"/>
          <w:bCs/>
          <w:color w:val="auto"/>
          <w:kern w:val="2"/>
          <w:sz w:val="28"/>
          <w:szCs w:val="28"/>
          <w:highlight w:val="none"/>
          <w:u w:val="single"/>
          <w:lang w:val="en-US" w:eastAsia="zh-CN" w:bidi="ar-SA"/>
        </w:rPr>
        <w:t>乙方出具增值税专票，甲方15个工作日内结算</w:t>
      </w:r>
      <w:r>
        <w:rPr>
          <w:rFonts w:hint="eastAsia" w:ascii="仿宋_GB2312" w:hAnsi="仿宋_GB2312" w:eastAsia="仿宋_GB2312" w:cs="仿宋_GB2312"/>
          <w:bCs/>
          <w:color w:val="auto"/>
          <w:kern w:val="2"/>
          <w:sz w:val="28"/>
          <w:szCs w:val="28"/>
          <w:highlight w:val="none"/>
          <w:lang w:val="en-US" w:eastAsia="zh-CN" w:bidi="ar-SA"/>
        </w:rPr>
        <w:t>。</w:t>
      </w:r>
    </w:p>
    <w:p>
      <w:pPr>
        <w:pStyle w:val="78"/>
        <w:keepNext w:val="0"/>
        <w:keepLines w:val="0"/>
        <w:pageBreakBefore w:val="0"/>
        <w:widowControl w:val="0"/>
        <w:kinsoku/>
        <w:wordWrap/>
        <w:overflowPunct/>
        <w:topLinePunct w:val="0"/>
        <w:bidi w:val="0"/>
        <w:spacing w:before="67" w:line="360" w:lineRule="auto"/>
        <w:ind w:right="149"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4.3 履约担保</w:t>
      </w:r>
    </w:p>
    <w:p>
      <w:pPr>
        <w:pStyle w:val="78"/>
        <w:keepNext w:val="0"/>
        <w:keepLines w:val="0"/>
        <w:pageBreakBefore w:val="0"/>
        <w:widowControl w:val="0"/>
        <w:kinsoku/>
        <w:wordWrap/>
        <w:overflowPunct/>
        <w:topLinePunct w:val="0"/>
        <w:bidi w:val="0"/>
        <w:spacing w:before="67" w:line="360" w:lineRule="auto"/>
        <w:ind w:left="279" w:leftChars="133" w:right="149" w:firstLine="280" w:firstLineChars="100"/>
        <w:textAlignment w:val="auto"/>
        <w:rPr>
          <w:rFonts w:hint="eastAsia" w:ascii="仿宋_GB2312" w:hAnsi="仿宋_GB2312" w:eastAsia="仿宋_GB2312" w:cs="仿宋_GB2312"/>
          <w:color w:val="auto"/>
          <w:spacing w:val="2"/>
          <w:sz w:val="28"/>
          <w:szCs w:val="28"/>
          <w:u w:val="single"/>
          <w:lang w:val="en-US" w:eastAsia="zh-CN"/>
        </w:rPr>
      </w:pPr>
      <w:r>
        <w:rPr>
          <w:rFonts w:hint="eastAsia" w:ascii="仿宋_GB2312" w:hAnsi="仿宋_GB2312" w:eastAsia="仿宋_GB2312" w:cs="仿宋_GB2312"/>
          <w:color w:val="auto"/>
          <w:kern w:val="2"/>
          <w:sz w:val="28"/>
          <w:szCs w:val="28"/>
          <w:lang w:val="en-US" w:eastAsia="zh-CN" w:bidi="ar-SA"/>
        </w:rPr>
        <w:t>4.3.1履约担保的形式和交付时间：</w:t>
      </w:r>
      <w:r>
        <w:rPr>
          <w:rFonts w:hint="eastAsia" w:ascii="仿宋_GB2312" w:hAnsi="仿宋_GB2312" w:eastAsia="仿宋_GB2312" w:cs="仿宋_GB2312"/>
          <w:color w:val="auto"/>
          <w:spacing w:val="2"/>
          <w:sz w:val="28"/>
          <w:szCs w:val="28"/>
          <w:u w:val="single"/>
          <w:lang w:val="en-US" w:eastAsia="zh-CN"/>
        </w:rPr>
        <w:t xml:space="preserve"> / </w:t>
      </w:r>
      <w:r>
        <w:rPr>
          <w:rFonts w:hint="eastAsia" w:ascii="仿宋_GB2312" w:hAnsi="仿宋_GB2312" w:eastAsia="仿宋_GB2312" w:cs="仿宋_GB2312"/>
          <w:color w:val="auto"/>
          <w:spacing w:val="2"/>
          <w:sz w:val="28"/>
          <w:szCs w:val="28"/>
          <w:u w:val="none"/>
          <w:lang w:val="en-US" w:eastAsia="zh-CN"/>
        </w:rPr>
        <w:t>。</w:t>
      </w:r>
    </w:p>
    <w:p>
      <w:pPr>
        <w:pStyle w:val="78"/>
        <w:keepNext w:val="0"/>
        <w:keepLines w:val="0"/>
        <w:pageBreakBefore w:val="0"/>
        <w:widowControl w:val="0"/>
        <w:kinsoku/>
        <w:wordWrap/>
        <w:overflowPunct/>
        <w:topLinePunct w:val="0"/>
        <w:bidi w:val="0"/>
        <w:spacing w:before="67" w:line="360" w:lineRule="auto"/>
        <w:ind w:left="279" w:leftChars="133" w:right="149" w:firstLine="280" w:firstLineChars="100"/>
        <w:textAlignment w:val="auto"/>
        <w:rPr>
          <w:rFonts w:hint="eastAsia" w:ascii="仿宋_GB2312" w:hAnsi="仿宋_GB2312" w:eastAsia="仿宋_GB2312" w:cs="仿宋_GB2312"/>
          <w:color w:val="auto"/>
          <w:spacing w:val="2"/>
          <w:sz w:val="28"/>
          <w:szCs w:val="28"/>
          <w:u w:val="single"/>
          <w:lang w:val="en-US" w:eastAsia="zh-CN"/>
        </w:rPr>
      </w:pPr>
      <w:r>
        <w:rPr>
          <w:rFonts w:hint="eastAsia" w:ascii="仿宋_GB2312" w:hAnsi="仿宋_GB2312" w:eastAsia="仿宋_GB2312" w:cs="仿宋_GB2312"/>
          <w:color w:val="auto"/>
          <w:kern w:val="2"/>
          <w:sz w:val="28"/>
          <w:szCs w:val="28"/>
          <w:lang w:val="en-US" w:eastAsia="zh-CN" w:bidi="ar-SA"/>
        </w:rPr>
        <w:t>4.3.2履约担保的金额：</w:t>
      </w:r>
      <w:r>
        <w:rPr>
          <w:rFonts w:hint="eastAsia" w:ascii="仿宋_GB2312" w:hAnsi="仿宋_GB2312" w:eastAsia="仿宋_GB2312" w:cs="仿宋_GB2312"/>
          <w:color w:val="auto"/>
          <w:spacing w:val="2"/>
          <w:sz w:val="28"/>
          <w:szCs w:val="28"/>
          <w:u w:val="single"/>
          <w:lang w:val="en-US" w:eastAsia="zh-CN"/>
        </w:rPr>
        <w:t xml:space="preserve">  / </w:t>
      </w:r>
      <w:r>
        <w:rPr>
          <w:rFonts w:hint="eastAsia" w:ascii="仿宋_GB2312" w:hAnsi="仿宋_GB2312" w:eastAsia="仿宋_GB2312" w:cs="仿宋_GB2312"/>
          <w:color w:val="auto"/>
          <w:spacing w:val="2"/>
          <w:sz w:val="28"/>
          <w:szCs w:val="28"/>
          <w:u w:val="none"/>
          <w:lang w:val="en-US" w:eastAsia="zh-CN"/>
        </w:rPr>
        <w:t>。</w:t>
      </w:r>
    </w:p>
    <w:p>
      <w:pPr>
        <w:pStyle w:val="78"/>
        <w:keepNext w:val="0"/>
        <w:keepLines w:val="0"/>
        <w:pageBreakBefore w:val="0"/>
        <w:widowControl w:val="0"/>
        <w:kinsoku/>
        <w:wordWrap/>
        <w:overflowPunct/>
        <w:topLinePunct w:val="0"/>
        <w:bidi w:val="0"/>
        <w:spacing w:before="67" w:line="360" w:lineRule="auto"/>
        <w:ind w:right="149"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4.3.3履约担保为保证金的，甲方在任何时候都有权从应付款项中或者履约保证金中扣除用于修复乙方损坏甲方的设备、设施、场地或因乙方出现违约等行为而导致的损害赔偿金或违约金等；从履约保证金中扣除的，乙方应于甲方扣除履约保证金后7日内补足，逾期未补足视为乙方违约，甲方有权从应付款项中扣除。</w:t>
      </w:r>
    </w:p>
    <w:p>
      <w:pPr>
        <w:pStyle w:val="78"/>
        <w:keepNext w:val="0"/>
        <w:keepLines w:val="0"/>
        <w:pageBreakBefore w:val="0"/>
        <w:widowControl w:val="0"/>
        <w:kinsoku/>
        <w:wordWrap/>
        <w:overflowPunct/>
        <w:topLinePunct w:val="0"/>
        <w:bidi w:val="0"/>
        <w:spacing w:before="67" w:line="360" w:lineRule="auto"/>
        <w:ind w:right="149"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4.3.4履约担保为保证金的，服务期结束后，乙方提供履约保证金收据原件，甲方将履约保证金无息退还乙方。</w:t>
      </w:r>
    </w:p>
    <w:p>
      <w:pPr>
        <w:pStyle w:val="78"/>
        <w:keepNext w:val="0"/>
        <w:keepLines w:val="0"/>
        <w:pageBreakBefore w:val="0"/>
        <w:widowControl w:val="0"/>
        <w:kinsoku/>
        <w:wordWrap/>
        <w:overflowPunct/>
        <w:topLinePunct w:val="0"/>
        <w:bidi w:val="0"/>
        <w:spacing w:before="67" w:line="360" w:lineRule="auto"/>
        <w:ind w:right="149"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4.4 乙方指定收款账户信息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单位名称：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kern w:val="2"/>
          <w:sz w:val="28"/>
          <w:szCs w:val="28"/>
          <w:lang w:val="en-US" w:eastAsia="zh-CN" w:bidi="ar-SA"/>
        </w:rPr>
        <w:t>开 户 行：</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行    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纳税人识别号：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帐    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电    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第五条  甲方权利义务</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5.1 乙方因履行本服务外包合同需要而派出的工作人员，应当符合相关资质规定、本合同及招采文件的规定，甲方有权审核并要求乙方更换外包服务人员，因为客观情况变化或业务需要，甲方也可要求乙方更换外包服务人员，乙方均应无条件配合。</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5.2 甲方有权根据外包项目的管理需要，制订相应的服务规范、考评办法等等文件，并及时以书面形式通知乙方执行，服务规范、考评办法等等文件的解释权在甲方；甲方有权要求乙方外包服务人员遵照甲方的服务规范和本合同的约定为甲方提供服务。甲方根据相关服务项目的质量考核指标要求，按月对乙方的服务质量进行考核，并依据考核结果向乙方支付外包服务费。</w:t>
      </w:r>
    </w:p>
    <w:p>
      <w:pPr>
        <w:keepNext w:val="0"/>
        <w:keepLines w:val="0"/>
        <w:pageBreakBefore w:val="0"/>
        <w:widowControl w:val="0"/>
        <w:kinsoku/>
        <w:wordWrap/>
        <w:overflowPunct/>
        <w:topLinePunct w:val="0"/>
        <w:bidi w:val="0"/>
        <w:spacing w:before="12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5.3 甲方有权对乙方派出的外包服务人员进行与服务项目相关的管理，并检查乙方外包服务人员的工作表现情况，包括但不限于上下班记录、服务情况、违规违纪情况等。</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5.4 甲方有权要求乙方提供外包服务人员的有关资料，包括但不限于无违法犯罪记录证明、健康证、劳动合同、社会保险证明、学历证明等。</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5.5 乙方在提供外包服务过程中产生的或主要利用甲方的工作场所、物质条件或资料开发出的任何成果归甲方所有。</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5.6 甲方认为乙方有任何违反或可能违反本合同的行为，甲方有权提出书面意见要求乙方限期整改。乙方应在收到甲方的书面意见后5个工作日内，以书面形式将其整改的结果或整改措施回复甲方。</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5.7 国家及地方管理机关政策性调整或政府行为或甲方规划、管理需要，甲方有权单方面解除本合同，或者单方面变更本合同外包服务范围、工作要求等等，通知乙方执行，并根据变更后的服务范围、工作要求和考核结果，结算外包服务费。甲方单方面解除本合同的，一般应当给予乙方壹个月的退场准备时间。</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5.8 甲方有权要求乙方全额赔偿因乙方责任导致的甲方损失，并可因此解除合同。</w:t>
      </w:r>
    </w:p>
    <w:p>
      <w:pPr>
        <w:keepNext w:val="0"/>
        <w:keepLines w:val="0"/>
        <w:pageBreakBefore w:val="0"/>
        <w:widowControl w:val="0"/>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5.9 除本合同约定的外包服务费外，甲方不再向乙方支付其他任何费用，甲方不支付的这些“其他任何费用”包括但不限于乙方人员的住宿、交通、服装、餐饮、疾病治疗、意外等等费用。</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5.10 在乙方全面及时履约并保证服务质量的前提下，甲方应按合同约定的时间和方式向乙方支付外包服务费。</w:t>
      </w:r>
    </w:p>
    <w:p>
      <w:pPr>
        <w:keepNext w:val="0"/>
        <w:keepLines w:val="0"/>
        <w:pageBreakBefore w:val="0"/>
        <w:widowControl w:val="0"/>
        <w:kinsoku/>
        <w:wordWrap/>
        <w:overflowPunct/>
        <w:topLinePunct w:val="0"/>
        <w:bidi w:val="0"/>
        <w:spacing w:before="12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5.11 在外包服务实施过程中，甲方应为乙方提供必须必要的协助，配合乙方履行职责。</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5.12 甲方应保守在合同履行过程中知悉的乙方的商业秘密。</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第六条 乙方权利义务：</w:t>
      </w:r>
    </w:p>
    <w:p>
      <w:pPr>
        <w:keepNext w:val="0"/>
        <w:keepLines w:val="0"/>
        <w:pageBreakBefore w:val="0"/>
        <w:widowControl w:val="0"/>
        <w:kinsoku/>
        <w:wordWrap/>
        <w:overflowPunct/>
        <w:topLinePunct w:val="0"/>
        <w:autoSpaceDE/>
        <w:autoSpaceDN/>
        <w:bidi w:val="0"/>
        <w:adjustRightInd/>
        <w:snapToGrid/>
        <w:spacing w:before="120" w:line="360" w:lineRule="auto"/>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 乙方有权要求甲方依据法律法规及本合同的约定支付外包服务费。</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 乙方在服务工作中，应对严格遵守国家有关法律法规和行业规章制度及甲方有关规定，规范履行职责，并接受甲方的考核。</w:t>
      </w:r>
    </w:p>
    <w:p>
      <w:pPr>
        <w:keepNext w:val="0"/>
        <w:keepLines w:val="0"/>
        <w:pageBreakBefore w:val="0"/>
        <w:widowControl w:val="0"/>
        <w:tabs>
          <w:tab w:val="left" w:pos="5940"/>
        </w:tabs>
        <w:kinsoku/>
        <w:wordWrap/>
        <w:overflowPunct/>
        <w:topLinePunct w:val="0"/>
        <w:bidi w:val="0"/>
        <w:spacing w:line="360" w:lineRule="auto"/>
        <w:ind w:left="53"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6.3 乙方为履行本合同而委派的外包服务人员，应当具备外包服务岗位所需要的技能和素质以及相应的资质，不具备的，乙方应予以更换。甲方有权要求查看相关证件。</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 乙方应当为其委派的外包服务人员依法办理劳动用工手续，按时足额发放工资、依法缴纳社会统筹、提供劳动保护及其他用人单位应当承担的责任和费用，保持外包服务人员的稳定性。这些责任和费用由乙方承担，与甲方无关。甲方有权要求查看相关合同、社保证明等。</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6.5 乙方应根据服务内容，投保相关保险，以保证己方人员和</w:t>
      </w:r>
      <w:bookmarkStart w:id="33" w:name="_Hlk59962314"/>
      <w:r>
        <w:rPr>
          <w:rFonts w:hint="eastAsia" w:ascii="仿宋_GB2312" w:hAnsi="仿宋_GB2312" w:eastAsia="仿宋_GB2312" w:cs="仿宋_GB2312"/>
          <w:color w:val="auto"/>
          <w:kern w:val="2"/>
          <w:sz w:val="28"/>
          <w:szCs w:val="28"/>
          <w:lang w:val="en-US" w:eastAsia="zh-CN" w:bidi="ar-SA"/>
        </w:rPr>
        <w:t>己方人员给</w:t>
      </w:r>
      <w:bookmarkEnd w:id="33"/>
      <w:r>
        <w:rPr>
          <w:rFonts w:hint="eastAsia" w:ascii="仿宋_GB2312" w:hAnsi="仿宋_GB2312" w:eastAsia="仿宋_GB2312" w:cs="仿宋_GB2312"/>
          <w:color w:val="auto"/>
          <w:kern w:val="2"/>
          <w:sz w:val="28"/>
          <w:szCs w:val="28"/>
          <w:lang w:val="en-US" w:eastAsia="zh-CN" w:bidi="ar-SA"/>
        </w:rPr>
        <w:t>甲方人员以及第三方造成意外伤害或财产意外损失时能及时承担相应的赔偿责任。乙方对履行合同的一切安全责任和风险负责，并承担法律责任和经济赔偿，与甲方无关。</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6.6 乙方与其外包服务人员发生劳动纠纷时，乙方应及时与外包服务人员交涉解决并自行承担相关责任，妥善处理纠纷。若处置不力，甲方认为影响本合同履行的，甲方有权解除本合同并要求乙方赔偿损失、承担违约责任。</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6.7 乙方委派的外包服务人员发生伤亡事故，由乙方依法妥善处理并承担相关费用。若处置不力，甲方认为影响本合同履行的，甲方有权解除本合同并要求乙方赔偿损失、承担违约责任。</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6.8 乙方委派的外包服务人员在履行本合同（职务行为）期间，给甲方及其关联企业（本合同所称甲方关联企业是指：武汉天河机场有限责任公司、湖北机场集团有限公司及该两公司分别或合资设立的全资、控股或实际控制的企业，以及这些企业独资或合资设立的各级企业）、甲方及其关联企业的员工或第三人，造成人身伤害、经济损失或不良社会影响的，乙方负赔偿责任并应消除不良影响。其他期间出现上述情况，由乙方和外包服务人员承担连带赔偿责任并应消除不良影响。</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6.9 乙方委派的外包服务人员在提供服务期间，应遵守甲方有关规章制度、服从管理和安排、接受监督和检查。</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6.10 乙方及乙方委派的外包服务人员不得以任何形式向他人提供或泄露本合同、甲方及其关联企业的商业秘密，未经批准提供或泄露，造成甲方及其关联企业或第三方损失或者不良影响的，乙方应承担赔偿责任。</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6.11 本合同终止或解除后，乙方应保证本外包业务服务至新的供应商提供服务为止，并做好业务衔接、场地设备归还等等工作。</w:t>
      </w:r>
    </w:p>
    <w:p>
      <w:pPr>
        <w:pStyle w:val="62"/>
        <w:keepNext w:val="0"/>
        <w:keepLines w:val="0"/>
        <w:pageBreakBefore w:val="0"/>
        <w:widowControl w:val="0"/>
        <w:tabs>
          <w:tab w:val="left" w:pos="0"/>
          <w:tab w:val="left" w:pos="405"/>
          <w:tab w:val="left" w:pos="567"/>
          <w:tab w:val="left" w:pos="601"/>
          <w:tab w:val="left" w:pos="1980"/>
        </w:tabs>
        <w:kinsoku/>
        <w:wordWrap/>
        <w:overflowPunct/>
        <w:topLinePunct w:val="0"/>
        <w:bidi w:val="0"/>
        <w:spacing w:line="360" w:lineRule="auto"/>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6.12 法律法规规定或甲方认为乙方应承担的其他义务。</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第七条 违约责任</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7.1 任何一方违反本合同的约定，应当承担继续履行、支付违约金等违约责任和由此给对方造成的损失。</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jc w:val="left"/>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kern w:val="2"/>
          <w:sz w:val="28"/>
          <w:szCs w:val="28"/>
          <w:lang w:val="en-US" w:eastAsia="zh-CN" w:bidi="ar-SA"/>
        </w:rPr>
        <w:t>7.2 乙方违约行为种类和对应违约金为：</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kern w:val="2"/>
          <w:sz w:val="28"/>
          <w:szCs w:val="28"/>
          <w:u w:val="single"/>
          <w:lang w:val="en-US" w:eastAsia="zh-CN" w:bidi="ar-SA"/>
        </w:rPr>
        <w:t>/</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kern w:val="2"/>
          <w:sz w:val="28"/>
          <w:szCs w:val="28"/>
          <w:lang w:val="en-US" w:eastAsia="zh-CN" w:bidi="ar-SA"/>
        </w:rPr>
        <w:t>（可另附附件）</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jc w:val="left"/>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kern w:val="2"/>
          <w:sz w:val="28"/>
          <w:szCs w:val="28"/>
          <w:lang w:val="en-US" w:eastAsia="zh-CN" w:bidi="ar-SA"/>
        </w:rPr>
        <w:t>7.3 甲方违约行为种类和对应违约金为：</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kern w:val="2"/>
          <w:sz w:val="28"/>
          <w:szCs w:val="28"/>
          <w:u w:val="single"/>
          <w:lang w:val="en-US" w:eastAsia="zh-CN" w:bidi="ar-SA"/>
        </w:rPr>
        <w:t xml:space="preserve"> /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kern w:val="2"/>
          <w:sz w:val="28"/>
          <w:szCs w:val="28"/>
          <w:lang w:val="en-US" w:eastAsia="zh-CN" w:bidi="ar-SA"/>
        </w:rPr>
        <w:t>（可另附附件）</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kern w:val="2"/>
          <w:sz w:val="28"/>
          <w:szCs w:val="28"/>
          <w:lang w:val="en-US" w:eastAsia="zh-CN" w:bidi="ar-SA"/>
        </w:rPr>
        <w:t>7.4 损失包括直接损失和间接损失，同时含诉讼费、律师费、鉴定费、公证费、差旅费等</w:t>
      </w:r>
      <w:r>
        <w:rPr>
          <w:rFonts w:hint="eastAsia" w:ascii="仿宋_GB2312" w:hAnsi="仿宋_GB2312" w:eastAsia="仿宋_GB2312" w:cs="仿宋_GB2312"/>
          <w:color w:val="auto"/>
          <w:spacing w:val="2"/>
          <w:sz w:val="28"/>
          <w:szCs w:val="28"/>
        </w:rPr>
        <w:t>。</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7.5 乙方出现下列情形之一的，甲方有权单方解除本合同，有权没收履约保证金、要求乙方承担违约责任并赔偿甲方的全部损失：</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7.5.1乙方违反本合同第五条、第六条约定之一的；</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kern w:val="2"/>
          <w:sz w:val="28"/>
          <w:szCs w:val="28"/>
          <w:lang w:val="en-US" w:eastAsia="zh-CN" w:bidi="ar-SA"/>
        </w:rPr>
        <w:t xml:space="preserve">7.5.2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b/>
          <w:color w:val="auto"/>
          <w:sz w:val="28"/>
          <w:szCs w:val="28"/>
          <w:u w:val="single"/>
        </w:rPr>
        <w:t xml:space="preserve">                       </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kern w:val="2"/>
          <w:sz w:val="28"/>
          <w:szCs w:val="28"/>
          <w:lang w:val="en-US" w:eastAsia="zh-CN" w:bidi="ar-SA"/>
        </w:rPr>
        <w:t xml:space="preserve">7.5.3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kern w:val="2"/>
          <w:sz w:val="28"/>
          <w:szCs w:val="28"/>
          <w:u w:val="single"/>
          <w:lang w:val="en-US" w:eastAsia="zh-CN" w:bidi="ar-SA"/>
        </w:rPr>
        <w:t xml:space="preserve"> / </w:t>
      </w:r>
      <w:r>
        <w:rPr>
          <w:rFonts w:hint="eastAsia" w:ascii="仿宋_GB2312" w:hAnsi="仿宋_GB2312" w:eastAsia="仿宋_GB2312" w:cs="仿宋_GB2312"/>
          <w:b/>
          <w:color w:val="auto"/>
          <w:sz w:val="28"/>
          <w:szCs w:val="28"/>
          <w:u w:val="single"/>
        </w:rPr>
        <w:t xml:space="preserve">                            </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7.5.4乙方服务引发影响服务区域安全、影响甲方声誉的事件等的，包括但不限于责任安全事故、劳动纠纷等；</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7.5.5乙方违反合同其他约定经甲方书面通知改进后，在通知书规定时间内仍不改进或改进不符合要求的；</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7.5.6甲方认为对甲方构成严重影响的其他情况。</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7.6 乙方和乙方设立的全资、控股或实际控制的企业以及与乙方法定代表人相同的企业，在与甲方（或甲方关联企业）签订的其他合同中，</w:t>
      </w:r>
      <w:bookmarkStart w:id="34" w:name="_Hlk59923618"/>
      <w:r>
        <w:rPr>
          <w:rFonts w:hint="eastAsia" w:ascii="仿宋_GB2312" w:hAnsi="仿宋_GB2312" w:eastAsia="仿宋_GB2312" w:cs="仿宋_GB2312"/>
          <w:color w:val="auto"/>
          <w:kern w:val="2"/>
          <w:sz w:val="28"/>
          <w:szCs w:val="28"/>
          <w:lang w:val="en-US" w:eastAsia="zh-CN" w:bidi="ar-SA"/>
        </w:rPr>
        <w:t>对甲方（或甲方关联企业）负有到期债务的，甲方可在本合同应支付乙方外包服务费或者乙方履约保证金中直接扣除并通知乙方。</w:t>
      </w:r>
      <w:bookmarkEnd w:id="34"/>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第八条 不可抗力</w:t>
      </w:r>
    </w:p>
    <w:p>
      <w:pPr>
        <w:pStyle w:val="78"/>
        <w:keepNext w:val="0"/>
        <w:keepLines w:val="0"/>
        <w:pageBreakBefore w:val="0"/>
        <w:widowControl w:val="0"/>
        <w:kinsoku/>
        <w:wordWrap/>
        <w:overflowPunct/>
        <w:topLinePunct w:val="0"/>
        <w:bidi w:val="0"/>
        <w:spacing w:before="67" w:line="360" w:lineRule="auto"/>
        <w:ind w:left="102" w:right="147"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8.1 本合同所称不可抗力指合同订立时不能预见、不能避免并不能克服的客观情况。不可抗力事件包括：自然灾害（水灾、火灾、台风和地震等）、突发疫情、战争等。</w:t>
      </w:r>
    </w:p>
    <w:p>
      <w:pPr>
        <w:pStyle w:val="78"/>
        <w:keepNext w:val="0"/>
        <w:keepLines w:val="0"/>
        <w:pageBreakBefore w:val="0"/>
        <w:widowControl w:val="0"/>
        <w:kinsoku/>
        <w:wordWrap/>
        <w:overflowPunct/>
        <w:topLinePunct w:val="0"/>
        <w:bidi w:val="0"/>
        <w:spacing w:before="67" w:line="360" w:lineRule="auto"/>
        <w:ind w:left="102" w:right="147"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8.2 因不可抗力事件而致使本合同无法履行，任何一方均有权决定解除本合同或者协商变更合同，无须承担违约责任。但应当提前7日通知另一方，并在其后14日内向另一方发出有关部门出具的证明书或其他资料作为证明，如属于已被公众所知悉的不可抗力事件，可免除通知义务。</w:t>
      </w:r>
      <w:bookmarkStart w:id="35" w:name="_Hlk59923704"/>
    </w:p>
    <w:bookmarkEnd w:id="35"/>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第九条 禁止分包及转包</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9.1 </w:t>
      </w:r>
      <w:r>
        <w:rPr>
          <w:rFonts w:hint="eastAsia" w:ascii="仿宋_GB2312" w:hAnsi="仿宋_GB2312" w:eastAsia="仿宋_GB2312" w:cs="仿宋_GB2312"/>
          <w:color w:val="auto"/>
          <w:sz w:val="28"/>
          <w:szCs w:val="28"/>
        </w:rPr>
        <w:t>未经对方同意，甲乙任何一方不得将本合同部分或全部权利和义务转让给第三方</w:t>
      </w:r>
      <w:r>
        <w:rPr>
          <w:rFonts w:hint="eastAsia" w:ascii="仿宋_GB2312" w:hAnsi="仿宋_GB2312" w:eastAsia="仿宋_GB2312" w:cs="仿宋_GB2312"/>
          <w:color w:val="auto"/>
          <w:sz w:val="28"/>
          <w:szCs w:val="28"/>
          <w:lang w:val="en-US" w:eastAsia="zh-CN"/>
        </w:rPr>
        <w:t>。否则甲方有权随时终止本合同，并追究其相关违约责任。</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未经甲方书面许可，乙方不得将本合同约定的服务向第三方分包，即使通过甲方同意的分包亦不得解除乙方任何责任和义务。</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9.3 如经甲方书面许可后，乙方将本合同约定的服务向第三方分包的，分包单位的任何违约行为或疏忽给甲方造成其他损失的，乙方应当承担连带责任。</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第十条 联络与送达</w:t>
      </w:r>
    </w:p>
    <w:p>
      <w:pPr>
        <w:pStyle w:val="32"/>
        <w:keepNext w:val="0"/>
        <w:keepLines w:val="0"/>
        <w:pageBreakBefore w:val="0"/>
        <w:widowControl w:val="0"/>
        <w:tabs>
          <w:tab w:val="left" w:pos="900"/>
        </w:tabs>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乙方的联系电话和联系地址均作为甲方联络乙方的有效方式，甲方可以将与履行本合同相关的通知等文件通过该联系电话通知或该联系地址邮寄送达乙方，乙方拒接、拒收或投递不成功的，仍视为甲方已通知和送达。</w:t>
      </w:r>
    </w:p>
    <w:p>
      <w:pPr>
        <w:pStyle w:val="32"/>
        <w:keepNext w:val="0"/>
        <w:keepLines w:val="0"/>
        <w:pageBreakBefore w:val="0"/>
        <w:widowControl w:val="0"/>
        <w:tabs>
          <w:tab w:val="left" w:pos="900"/>
        </w:tabs>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10.1 甲方确认其有效的送达地址为：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，收件人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，电话</w:t>
      </w:r>
      <w:r>
        <w:rPr>
          <w:rFonts w:hint="eastAsia" w:ascii="仿宋_GB2312" w:hAnsi="仿宋_GB2312" w:eastAsia="仿宋_GB2312" w:cs="仿宋_GB2312"/>
          <w:color w:val="auto"/>
          <w:kern w:val="2"/>
          <w:sz w:val="28"/>
          <w:szCs w:val="28"/>
          <w:u w:val="single"/>
          <w:lang w:val="en-US" w:eastAsia="zh-CN" w:bidi="ar-SA"/>
        </w:rPr>
        <w:t xml:space="preserve">         </w:t>
      </w:r>
    </w:p>
    <w:p>
      <w:pPr>
        <w:pStyle w:val="32"/>
        <w:keepNext w:val="0"/>
        <w:keepLines w:val="0"/>
        <w:pageBreakBefore w:val="0"/>
        <w:widowControl w:val="0"/>
        <w:tabs>
          <w:tab w:val="left" w:pos="900"/>
        </w:tabs>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10.2 乙方确认其有效的送达地址为：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，收件人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，电话</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pStyle w:val="32"/>
        <w:keepNext w:val="0"/>
        <w:keepLines w:val="0"/>
        <w:pageBreakBefore w:val="0"/>
        <w:widowControl w:val="0"/>
        <w:tabs>
          <w:tab w:val="left" w:pos="900"/>
        </w:tabs>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10.3 双方该送达地址适用范围包括但不限于双方非诉时各类通知、协议等文件以及就合同发生纠纷时相关文件和法律文书的送达等，同时包括但不限于在争议进入民事诉讼程序后的一审、二审、再审和执行程序等。</w:t>
      </w:r>
    </w:p>
    <w:p>
      <w:pPr>
        <w:pStyle w:val="32"/>
        <w:keepNext w:val="0"/>
        <w:keepLines w:val="0"/>
        <w:pageBreakBefore w:val="0"/>
        <w:widowControl w:val="0"/>
        <w:tabs>
          <w:tab w:val="left" w:pos="900"/>
        </w:tabs>
        <w:kinsoku/>
        <w:wordWrap/>
        <w:overflowPunct/>
        <w:topLinePunct w:val="0"/>
        <w:bidi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10.4 甲乙双方的送达地址需要变更时应当书面通知对方，且在书面通知到达对方时，送达地址变更生效</w:t>
      </w:r>
      <w:r>
        <w:rPr>
          <w:rFonts w:hint="eastAsia" w:ascii="仿宋_GB2312" w:hAnsi="仿宋_GB2312" w:eastAsia="仿宋_GB2312" w:cs="仿宋_GB2312"/>
          <w:color w:val="auto"/>
          <w:kern w:val="0"/>
          <w:sz w:val="28"/>
          <w:szCs w:val="28"/>
          <w:lang w:val="en-US" w:eastAsia="zh-CN" w:bidi="ar-SA"/>
        </w:rPr>
        <w:t>。</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bookmarkStart w:id="36" w:name="_Hlk59993716"/>
      <w:r>
        <w:rPr>
          <w:rFonts w:hint="eastAsia" w:ascii="黑体" w:hAnsi="黑体" w:eastAsia="黑体" w:cs="黑体"/>
          <w:b w:val="0"/>
          <w:bCs w:val="0"/>
          <w:color w:val="auto"/>
          <w:sz w:val="28"/>
          <w:szCs w:val="28"/>
          <w:lang w:val="en-US" w:eastAsia="zh-CN"/>
        </w:rPr>
        <w:t>第十一条 争议解决办法</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本合同在履行过程发生纠纷，双方应协商解决。不愿协商或协商不成的，可向甲方所在地有管辖权人民法院起诉。</w:t>
      </w:r>
    </w:p>
    <w:bookmarkEnd w:id="36"/>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第十二条 其他约定</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2"/>
          <w:sz w:val="28"/>
          <w:szCs w:val="28"/>
          <w:u w:val="single"/>
          <w:lang w:val="en-US" w:eastAsia="zh-CN" w:bidi="ar-SA"/>
        </w:rPr>
      </w:pPr>
      <w:r>
        <w:rPr>
          <w:rFonts w:hint="eastAsia" w:ascii="仿宋_GB2312" w:hAnsi="仿宋_GB2312" w:eastAsia="仿宋_GB2312" w:cs="仿宋_GB2312"/>
          <w:color w:val="auto"/>
          <w:kern w:val="2"/>
          <w:sz w:val="28"/>
          <w:szCs w:val="28"/>
          <w:u w:val="single"/>
          <w:lang w:val="en-US" w:eastAsia="zh-CN" w:bidi="ar-SA"/>
        </w:rPr>
        <w:t xml:space="preserve">                        /                              </w:t>
      </w:r>
    </w:p>
    <w:p>
      <w:pPr>
        <w:keepNext w:val="0"/>
        <w:keepLines w:val="0"/>
        <w:pageBreakBefore w:val="0"/>
        <w:widowControl w:val="0"/>
        <w:kinsoku/>
        <w:wordWrap/>
        <w:overflowPunct/>
        <w:topLinePunct w:val="0"/>
        <w:bidi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62"/>
        <w:keepNext w:val="0"/>
        <w:keepLines w:val="0"/>
        <w:pageBreakBefore w:val="0"/>
        <w:widowControl w:val="0"/>
        <w:numPr>
          <w:ilvl w:val="0"/>
          <w:numId w:val="0"/>
        </w:numPr>
        <w:tabs>
          <w:tab w:val="left" w:pos="0"/>
          <w:tab w:val="left" w:pos="405"/>
          <w:tab w:val="left" w:pos="567"/>
          <w:tab w:val="left" w:pos="601"/>
          <w:tab w:val="left" w:pos="1980"/>
        </w:tabs>
        <w:kinsoku/>
        <w:wordWrap/>
        <w:overflowPunct/>
        <w:topLinePunct w:val="0"/>
        <w:bidi w:val="0"/>
        <w:spacing w:line="360" w:lineRule="auto"/>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第十三条合同生效</w:t>
      </w:r>
    </w:p>
    <w:p>
      <w:pPr>
        <w:keepNext w:val="0"/>
        <w:keepLines w:val="0"/>
        <w:pageBreakBefore w:val="0"/>
        <w:widowControl w:val="0"/>
        <w:numPr>
          <w:ilvl w:val="0"/>
          <w:numId w:val="0"/>
        </w:numPr>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 xml:space="preserve">13.1 </w:t>
      </w:r>
      <w:r>
        <w:rPr>
          <w:rFonts w:hint="eastAsia" w:ascii="仿宋_GB2312" w:hAnsi="仿宋_GB2312" w:eastAsia="仿宋_GB2312" w:cs="仿宋_GB2312"/>
          <w:color w:val="auto"/>
          <w:kern w:val="0"/>
          <w:sz w:val="28"/>
          <w:szCs w:val="28"/>
        </w:rPr>
        <w:t>本合同未约定的，按招采文件执行；</w:t>
      </w:r>
      <w:r>
        <w:rPr>
          <w:rFonts w:hint="eastAsia" w:ascii="仿宋_GB2312" w:hAnsi="仿宋_GB2312" w:eastAsia="仿宋_GB2312" w:cs="仿宋_GB2312"/>
          <w:color w:val="auto"/>
          <w:sz w:val="28"/>
          <w:szCs w:val="28"/>
        </w:rPr>
        <w:t>本合同</w:t>
      </w:r>
      <w:r>
        <w:rPr>
          <w:rFonts w:hint="eastAsia" w:ascii="仿宋_GB2312" w:hAnsi="仿宋_GB2312" w:eastAsia="仿宋_GB2312" w:cs="仿宋_GB2312"/>
          <w:color w:val="auto"/>
          <w:kern w:val="0"/>
          <w:sz w:val="28"/>
          <w:szCs w:val="28"/>
        </w:rPr>
        <w:t>及招采文件</w:t>
      </w:r>
      <w:r>
        <w:rPr>
          <w:rFonts w:hint="eastAsia" w:ascii="仿宋_GB2312" w:hAnsi="仿宋_GB2312" w:eastAsia="仿宋_GB2312" w:cs="仿宋_GB2312"/>
          <w:color w:val="auto"/>
          <w:sz w:val="28"/>
          <w:szCs w:val="28"/>
        </w:rPr>
        <w:t>未尽事宜，双方可另行协商并签署补充合同，作为本合同的附件，与本合同具有同等法律效力。</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 xml:space="preserve">13.2 </w:t>
      </w:r>
      <w:r>
        <w:rPr>
          <w:rFonts w:hint="eastAsia" w:ascii="仿宋_GB2312" w:hAnsi="仿宋_GB2312" w:eastAsia="仿宋_GB2312" w:cs="仿宋_GB2312"/>
          <w:color w:val="auto"/>
          <w:kern w:val="0"/>
          <w:sz w:val="28"/>
          <w:szCs w:val="28"/>
        </w:rPr>
        <w:t>本合同有关附件是本合同不可分割的组成部分，与本合同具有同等法律效力</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 xml:space="preserve">13.3 </w:t>
      </w:r>
      <w:r>
        <w:rPr>
          <w:rFonts w:hint="eastAsia" w:ascii="仿宋_GB2312" w:hAnsi="仿宋_GB2312" w:eastAsia="仿宋_GB2312" w:cs="仿宋_GB2312"/>
          <w:color w:val="auto"/>
          <w:sz w:val="28"/>
          <w:szCs w:val="28"/>
        </w:rPr>
        <w:t>本合同一式六份，甲乙双方各执三份，自双方签字并盖章之日起生效。</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1120" w:firstLineChars="4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ind w:firstLine="562" w:firstLineChars="200"/>
        <w:textAlignment w:val="auto"/>
        <w:rPr>
          <w:rFonts w:hint="eastAsia" w:ascii="仿宋_GB2312" w:hAnsi="仿宋_GB2312" w:eastAsia="仿宋_GB2312" w:cs="仿宋_GB2312"/>
          <w:b/>
          <w:bCs/>
          <w:color w:val="auto"/>
          <w:sz w:val="28"/>
          <w:szCs w:val="28"/>
        </w:rPr>
      </w:pPr>
    </w:p>
    <w:p>
      <w:pPr>
        <w:pStyle w:val="112"/>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pStyle w:val="112"/>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28"/>
          <w:szCs w:val="28"/>
        </w:rPr>
      </w:pPr>
    </w:p>
    <w:p>
      <w:pPr>
        <w:pStyle w:val="112"/>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法人代表：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法人代表：</w:t>
      </w:r>
    </w:p>
    <w:p>
      <w:pPr>
        <w:pStyle w:val="112"/>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（或授权代理人）：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（或授权代理人）：</w:t>
      </w:r>
    </w:p>
    <w:p>
      <w:pPr>
        <w:pStyle w:val="112"/>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日期：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日期 ：</w:t>
      </w: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rPr>
          <w:rFonts w:hint="eastAsia" w:ascii="仿宋_GB2312" w:hAnsi="仿宋_GB2312" w:eastAsia="仿宋_GB2312" w:cs="仿宋_GB2312"/>
          <w:b/>
          <w:sz w:val="28"/>
          <w:szCs w:val="28"/>
        </w:rPr>
      </w:pP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rPr>
          <w:rFonts w:hint="eastAsia" w:ascii="仿宋_GB2312" w:hAnsi="仿宋_GB2312" w:eastAsia="仿宋_GB2312" w:cs="仿宋_GB2312"/>
          <w:b/>
          <w:sz w:val="28"/>
          <w:szCs w:val="28"/>
        </w:rPr>
      </w:pPr>
    </w:p>
    <w:p>
      <w:pPr>
        <w:keepNext w:val="0"/>
        <w:keepLines w:val="0"/>
        <w:pageBreakBefore w:val="0"/>
        <w:widowControl w:val="0"/>
        <w:tabs>
          <w:tab w:val="left" w:pos="900"/>
        </w:tabs>
        <w:kinsoku/>
        <w:wordWrap/>
        <w:overflowPunct/>
        <w:topLinePunct w:val="0"/>
        <w:bidi w:val="0"/>
        <w:adjustRightInd w:val="0"/>
        <w:snapToGrid w:val="0"/>
        <w:spacing w:before="30" w:after="30"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b/>
          <w:sz w:val="28"/>
          <w:szCs w:val="28"/>
          <w:lang w:val="en-US" w:eastAsia="zh-CN"/>
        </w:rPr>
        <w:t>采购</w:t>
      </w:r>
      <w:r>
        <w:rPr>
          <w:rFonts w:hint="eastAsia" w:ascii="仿宋_GB2312" w:hAnsi="仿宋_GB2312" w:eastAsia="仿宋_GB2312" w:cs="仿宋_GB2312"/>
          <w:b/>
          <w:sz w:val="28"/>
          <w:szCs w:val="28"/>
        </w:rPr>
        <w:t>文件内的合同为参考版本，</w:t>
      </w:r>
      <w:r>
        <w:rPr>
          <w:rFonts w:hint="eastAsia" w:ascii="仿宋_GB2312" w:hAnsi="仿宋_GB2312" w:eastAsia="仿宋_GB2312" w:cs="仿宋_GB2312"/>
          <w:b/>
          <w:sz w:val="28"/>
          <w:szCs w:val="28"/>
          <w:lang w:val="en-US" w:eastAsia="zh-CN"/>
        </w:rPr>
        <w:t>采购</w:t>
      </w:r>
      <w:r>
        <w:rPr>
          <w:rFonts w:hint="eastAsia" w:ascii="仿宋_GB2312" w:hAnsi="仿宋_GB2312" w:eastAsia="仿宋_GB2312" w:cs="仿宋_GB2312"/>
          <w:b/>
          <w:sz w:val="28"/>
          <w:szCs w:val="28"/>
        </w:rPr>
        <w:t>人和</w:t>
      </w:r>
      <w:r>
        <w:rPr>
          <w:rFonts w:hint="eastAsia" w:ascii="仿宋_GB2312" w:hAnsi="仿宋_GB2312" w:eastAsia="仿宋_GB2312" w:cs="仿宋_GB2312"/>
          <w:b/>
          <w:sz w:val="28"/>
          <w:szCs w:val="28"/>
          <w:lang w:val="en-US" w:eastAsia="zh-CN"/>
        </w:rPr>
        <w:t>成交供应商</w:t>
      </w:r>
      <w:r>
        <w:rPr>
          <w:rFonts w:hint="eastAsia" w:ascii="仿宋_GB2312" w:hAnsi="仿宋_GB2312" w:eastAsia="仿宋_GB2312" w:cs="仿宋_GB2312"/>
          <w:b/>
          <w:sz w:val="28"/>
          <w:szCs w:val="28"/>
        </w:rPr>
        <w:t>可共同协商细化合同条款，但不得违背</w:t>
      </w:r>
      <w:r>
        <w:rPr>
          <w:rFonts w:hint="eastAsia" w:ascii="仿宋_GB2312" w:hAnsi="仿宋_GB2312" w:eastAsia="仿宋_GB2312" w:cs="仿宋_GB2312"/>
          <w:b/>
          <w:sz w:val="28"/>
          <w:szCs w:val="28"/>
          <w:lang w:val="en-US" w:eastAsia="zh-CN"/>
        </w:rPr>
        <w:t>采购</w:t>
      </w:r>
      <w:r>
        <w:rPr>
          <w:rFonts w:hint="eastAsia" w:ascii="仿宋_GB2312" w:hAnsi="仿宋_GB2312" w:eastAsia="仿宋_GB2312" w:cs="仿宋_GB2312"/>
          <w:b/>
          <w:sz w:val="28"/>
          <w:szCs w:val="28"/>
        </w:rPr>
        <w:t>文件和</w:t>
      </w:r>
      <w:r>
        <w:rPr>
          <w:rFonts w:hint="eastAsia" w:ascii="仿宋_GB2312" w:hAnsi="仿宋_GB2312" w:eastAsia="仿宋_GB2312" w:cs="仿宋_GB2312"/>
          <w:b/>
          <w:sz w:val="28"/>
          <w:szCs w:val="28"/>
          <w:lang w:val="en-US" w:eastAsia="zh-CN"/>
        </w:rPr>
        <w:t>响应</w:t>
      </w:r>
      <w:r>
        <w:rPr>
          <w:rFonts w:hint="eastAsia" w:ascii="仿宋_GB2312" w:hAnsi="仿宋_GB2312" w:eastAsia="仿宋_GB2312" w:cs="仿宋_GB2312"/>
          <w:b/>
          <w:sz w:val="28"/>
          <w:szCs w:val="28"/>
        </w:rPr>
        <w:t>文件实质性内容（实质性内容指：合同标的、合同价款、付款方式、服务期）</w:t>
      </w:r>
    </w:p>
    <w:p/>
    <w:p>
      <w:r>
        <w:br w:type="page"/>
      </w:r>
    </w:p>
    <w:p/>
    <w:bookmarkEnd w:id="30"/>
    <w:bookmarkEnd w:id="31"/>
    <w:p>
      <w:pPr>
        <w:numPr>
          <w:ilvl w:val="0"/>
          <w:numId w:val="5"/>
        </w:numPr>
        <w:spacing w:line="276" w:lineRule="auto"/>
        <w:jc w:val="center"/>
        <w:outlineLvl w:val="0"/>
        <w:rPr>
          <w:b/>
          <w:bCs/>
          <w:sz w:val="36"/>
          <w:szCs w:val="36"/>
        </w:rPr>
      </w:pPr>
      <w:bookmarkStart w:id="37" w:name="_Toc2072"/>
      <w:r>
        <w:rPr>
          <w:rFonts w:hint="eastAsia"/>
          <w:b/>
          <w:bCs/>
          <w:sz w:val="36"/>
          <w:szCs w:val="36"/>
        </w:rPr>
        <w:t>响应文件格式</w:t>
      </w:r>
      <w:bookmarkEnd w:id="37"/>
    </w:p>
    <w:p>
      <w:pPr>
        <w:spacing w:line="276" w:lineRule="auto"/>
      </w:pPr>
    </w:p>
    <w:p>
      <w:pPr>
        <w:adjustRightInd w:val="0"/>
        <w:snapToGrid w:val="0"/>
        <w:spacing w:line="276" w:lineRule="auto"/>
        <w:rPr>
          <w:szCs w:val="28"/>
        </w:rPr>
      </w:pPr>
      <w:r>
        <w:rPr>
          <w:rFonts w:hint="eastAsia"/>
          <w:szCs w:val="28"/>
        </w:rPr>
        <w:t>封面：</w:t>
      </w:r>
    </w:p>
    <w:p>
      <w:pPr>
        <w:pStyle w:val="18"/>
        <w:tabs>
          <w:tab w:val="left" w:pos="1260"/>
        </w:tabs>
        <w:spacing w:line="276" w:lineRule="auto"/>
        <w:jc w:val="center"/>
        <w:rPr>
          <w:rFonts w:ascii="Times New Roman" w:hAnsi="Times New Roman"/>
          <w:b/>
          <w:bCs/>
          <w:spacing w:val="100"/>
          <w:w w:val="110"/>
          <w:sz w:val="36"/>
          <w:szCs w:val="36"/>
        </w:rPr>
      </w:pPr>
    </w:p>
    <w:p>
      <w:pPr>
        <w:pStyle w:val="18"/>
        <w:tabs>
          <w:tab w:val="left" w:pos="1260"/>
        </w:tabs>
        <w:spacing w:line="276" w:lineRule="auto"/>
        <w:jc w:val="center"/>
        <w:rPr>
          <w:rFonts w:ascii="Times New Roman" w:hAnsi="Times New Roman"/>
          <w:bCs/>
          <w:spacing w:val="100"/>
          <w:w w:val="110"/>
          <w:sz w:val="52"/>
          <w:szCs w:val="52"/>
        </w:rPr>
      </w:pPr>
    </w:p>
    <w:p>
      <w:pPr>
        <w:pStyle w:val="18"/>
        <w:tabs>
          <w:tab w:val="left" w:pos="1260"/>
        </w:tabs>
        <w:spacing w:line="276"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8"/>
        <w:spacing w:line="276" w:lineRule="auto"/>
        <w:jc w:val="center"/>
        <w:rPr>
          <w:rFonts w:ascii="Times New Roman" w:hAnsi="Times New Roman"/>
          <w:sz w:val="44"/>
        </w:rPr>
      </w:pPr>
    </w:p>
    <w:p>
      <w:pPr>
        <w:pStyle w:val="18"/>
        <w:spacing w:line="276" w:lineRule="auto"/>
        <w:jc w:val="center"/>
        <w:rPr>
          <w:rFonts w:ascii="Times New Roman" w:hAnsi="Times New Roman"/>
          <w:sz w:val="44"/>
        </w:rPr>
      </w:pPr>
    </w:p>
    <w:p>
      <w:pPr>
        <w:pStyle w:val="18"/>
        <w:spacing w:line="276"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8"/>
        <w:spacing w:line="276"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8"/>
        <w:spacing w:line="276" w:lineRule="auto"/>
        <w:ind w:firstLine="1280" w:firstLineChars="400"/>
        <w:rPr>
          <w:rFonts w:ascii="Times New Roman" w:hAnsi="Times New Roman"/>
          <w:sz w:val="32"/>
          <w:szCs w:val="32"/>
          <w:u w:val="single"/>
        </w:rPr>
      </w:pPr>
      <w:r>
        <w:rPr>
          <w:rFonts w:hint="eastAsia" w:ascii="Times New Roman" w:hAnsi="Times New Roman"/>
          <w:sz w:val="32"/>
          <w:szCs w:val="32"/>
        </w:rPr>
        <w:t>磋商内容：</w:t>
      </w:r>
    </w:p>
    <w:p>
      <w:pPr>
        <w:pStyle w:val="18"/>
        <w:spacing w:line="276" w:lineRule="auto"/>
        <w:ind w:firstLine="1320" w:firstLineChars="300"/>
        <w:rPr>
          <w:rFonts w:ascii="Times New Roman" w:hAnsi="Times New Roman"/>
          <w:sz w:val="44"/>
        </w:rPr>
      </w:pPr>
    </w:p>
    <w:p>
      <w:pPr>
        <w:pStyle w:val="18"/>
        <w:spacing w:line="276" w:lineRule="auto"/>
        <w:ind w:firstLine="1320" w:firstLineChars="300"/>
        <w:rPr>
          <w:rFonts w:ascii="Times New Roman" w:hAnsi="Times New Roman"/>
          <w:sz w:val="44"/>
        </w:rPr>
      </w:pPr>
    </w:p>
    <w:p>
      <w:pPr>
        <w:pStyle w:val="18"/>
        <w:spacing w:line="276" w:lineRule="auto"/>
        <w:ind w:firstLine="1320" w:firstLineChars="300"/>
        <w:rPr>
          <w:rFonts w:ascii="Times New Roman" w:hAnsi="Times New Roman"/>
          <w:sz w:val="44"/>
        </w:rPr>
      </w:pPr>
    </w:p>
    <w:p>
      <w:pPr>
        <w:pStyle w:val="18"/>
        <w:spacing w:line="276" w:lineRule="auto"/>
        <w:ind w:firstLine="1320" w:firstLineChars="300"/>
        <w:rPr>
          <w:rFonts w:ascii="Times New Roman" w:hAnsi="Times New Roman"/>
          <w:sz w:val="44"/>
        </w:rPr>
      </w:pPr>
    </w:p>
    <w:p>
      <w:pPr>
        <w:pStyle w:val="18"/>
        <w:spacing w:line="276" w:lineRule="auto"/>
        <w:ind w:firstLine="1584" w:firstLineChars="495"/>
        <w:rPr>
          <w:rFonts w:ascii="Times New Roman" w:hAnsi="Times New Roman"/>
          <w:sz w:val="32"/>
          <w:szCs w:val="32"/>
          <w:u w:val="single"/>
        </w:rPr>
      </w:pPr>
      <w:r>
        <w:rPr>
          <w:rFonts w:hint="eastAsia" w:ascii="Times New Roman" w:hAnsi="Times New Roman"/>
          <w:sz w:val="32"/>
          <w:szCs w:val="32"/>
        </w:rPr>
        <w:t>供应商名称：（公章）</w:t>
      </w:r>
    </w:p>
    <w:p>
      <w:pPr>
        <w:pStyle w:val="18"/>
        <w:spacing w:line="276" w:lineRule="auto"/>
        <w:ind w:firstLine="1600" w:firstLineChars="500"/>
        <w:rPr>
          <w:rFonts w:ascii="Times New Roman" w:hAnsi="Times New Roman"/>
          <w:sz w:val="32"/>
          <w:szCs w:val="32"/>
          <w:u w:val="single"/>
        </w:rPr>
      </w:pPr>
      <w:r>
        <w:rPr>
          <w:rFonts w:hint="eastAsia" w:ascii="Times New Roman" w:hAnsi="Times New Roman"/>
          <w:sz w:val="32"/>
          <w:szCs w:val="32"/>
        </w:rPr>
        <w:t>日期：</w:t>
      </w:r>
    </w:p>
    <w:p>
      <w:pPr>
        <w:adjustRightInd w:val="0"/>
        <w:snapToGrid w:val="0"/>
        <w:spacing w:line="276" w:lineRule="auto"/>
        <w:jc w:val="center"/>
        <w:rPr>
          <w:b/>
        </w:rPr>
      </w:pPr>
    </w:p>
    <w:p>
      <w:pPr>
        <w:adjustRightInd w:val="0"/>
        <w:snapToGrid w:val="0"/>
        <w:spacing w:line="276" w:lineRule="auto"/>
        <w:jc w:val="center"/>
        <w:outlineLvl w:val="1"/>
        <w:rPr>
          <w:b/>
          <w:sz w:val="44"/>
          <w:szCs w:val="44"/>
        </w:rPr>
      </w:pPr>
      <w:r>
        <w:rPr>
          <w:b/>
        </w:rPr>
        <w:br w:type="page"/>
      </w:r>
      <w:r>
        <w:rPr>
          <w:rFonts w:hint="eastAsia"/>
          <w:b/>
          <w:sz w:val="44"/>
          <w:szCs w:val="44"/>
        </w:rPr>
        <w:t>目录</w:t>
      </w:r>
    </w:p>
    <w:p>
      <w:pPr>
        <w:adjustRightInd w:val="0"/>
        <w:snapToGrid w:val="0"/>
        <w:spacing w:line="276" w:lineRule="auto"/>
        <w:jc w:val="center"/>
        <w:rPr>
          <w:b/>
          <w:sz w:val="44"/>
          <w:szCs w:val="44"/>
        </w:rPr>
      </w:pPr>
    </w:p>
    <w:p>
      <w:pPr>
        <w:adjustRightInd w:val="0"/>
        <w:snapToGrid w:val="0"/>
        <w:spacing w:line="276" w:lineRule="auto"/>
        <w:jc w:val="center"/>
        <w:rPr>
          <w:b/>
          <w:sz w:val="24"/>
          <w:szCs w:val="24"/>
        </w:rPr>
      </w:pPr>
      <w:r>
        <w:rPr>
          <w:rFonts w:hint="eastAsia"/>
          <w:b/>
          <w:sz w:val="24"/>
          <w:szCs w:val="24"/>
        </w:rPr>
        <w:t>（格式自定）</w:t>
      </w:r>
    </w:p>
    <w:p>
      <w:pPr>
        <w:spacing w:line="276" w:lineRule="auto"/>
        <w:outlineLvl w:val="1"/>
        <w:rPr>
          <w:b/>
          <w:sz w:val="24"/>
        </w:rPr>
      </w:pPr>
      <w:r>
        <w:rPr>
          <w:b/>
        </w:rPr>
        <w:br w:type="page"/>
      </w:r>
      <w:r>
        <w:rPr>
          <w:rFonts w:hint="eastAsia"/>
          <w:b/>
          <w:sz w:val="24"/>
        </w:rPr>
        <w:t>附件一：</w:t>
      </w:r>
    </w:p>
    <w:p>
      <w:pPr>
        <w:spacing w:line="276" w:lineRule="auto"/>
        <w:ind w:firstLine="4025" w:firstLineChars="1253"/>
        <w:rPr>
          <w:b/>
          <w:sz w:val="32"/>
          <w:szCs w:val="32"/>
        </w:rPr>
      </w:pPr>
      <w:r>
        <w:rPr>
          <w:rFonts w:hint="eastAsia"/>
          <w:b/>
          <w:sz w:val="32"/>
          <w:szCs w:val="32"/>
        </w:rPr>
        <w:t>磋商书</w:t>
      </w:r>
    </w:p>
    <w:p>
      <w:pPr>
        <w:spacing w:line="276" w:lineRule="auto"/>
        <w:ind w:firstLine="3840" w:firstLineChars="1600"/>
        <w:rPr>
          <w:sz w:val="24"/>
        </w:rPr>
      </w:pPr>
    </w:p>
    <w:p>
      <w:pPr>
        <w:spacing w:line="276" w:lineRule="auto"/>
        <w:rPr>
          <w:sz w:val="24"/>
        </w:rPr>
      </w:pPr>
      <w:r>
        <w:rPr>
          <w:rFonts w:hint="eastAsia"/>
          <w:sz w:val="24"/>
          <w:u w:val="single"/>
        </w:rPr>
        <w:t>（采购</w:t>
      </w:r>
      <w:r>
        <w:rPr>
          <w:rFonts w:hint="eastAsia"/>
          <w:sz w:val="24"/>
          <w:u w:val="single"/>
          <w:lang w:val="en-US" w:eastAsia="zh-CN"/>
        </w:rPr>
        <w:t>人</w:t>
      </w:r>
      <w:r>
        <w:rPr>
          <w:rFonts w:hint="eastAsia"/>
          <w:sz w:val="24"/>
          <w:u w:val="single"/>
        </w:rPr>
        <w:t>）</w:t>
      </w:r>
      <w:r>
        <w:rPr>
          <w:rFonts w:hint="eastAsia"/>
          <w:sz w:val="24"/>
        </w:rPr>
        <w:t>：</w:t>
      </w:r>
    </w:p>
    <w:p>
      <w:pPr>
        <w:spacing w:line="276" w:lineRule="auto"/>
        <w:ind w:firstLine="480"/>
        <w:rPr>
          <w:sz w:val="24"/>
        </w:rPr>
      </w:pPr>
      <w:r>
        <w:rPr>
          <w:rFonts w:hint="eastAsia"/>
          <w:sz w:val="24"/>
        </w:rPr>
        <w:t>依据贵方</w:t>
      </w:r>
      <w:r>
        <w:rPr>
          <w:rFonts w:hint="eastAsia"/>
          <w:sz w:val="24"/>
          <w:u w:val="single"/>
        </w:rPr>
        <w:t>（项目名称</w:t>
      </w:r>
      <w:r>
        <w:rPr>
          <w:sz w:val="24"/>
          <w:u w:val="single"/>
        </w:rPr>
        <w:t>/</w:t>
      </w:r>
      <w:r>
        <w:rPr>
          <w:rFonts w:hint="eastAsia"/>
          <w:sz w:val="24"/>
          <w:u w:val="single"/>
        </w:rPr>
        <w:t>文件编号）</w:t>
      </w:r>
      <w:r>
        <w:rPr>
          <w:rFonts w:hint="eastAsia"/>
          <w:sz w:val="24"/>
        </w:rPr>
        <w:t>项目采购的磋商邀请，我方</w:t>
      </w:r>
      <w:r>
        <w:rPr>
          <w:rFonts w:hint="eastAsia"/>
          <w:sz w:val="24"/>
          <w:u w:val="single"/>
        </w:rPr>
        <w:t>（姓名和职务）</w:t>
      </w:r>
      <w:r>
        <w:rPr>
          <w:rFonts w:hint="eastAsia"/>
          <w:sz w:val="24"/>
        </w:rPr>
        <w:t>经正式授权并代表磋商供应商（</w:t>
      </w:r>
      <w:r>
        <w:rPr>
          <w:rFonts w:hint="eastAsia"/>
          <w:sz w:val="24"/>
          <w:u w:val="single"/>
        </w:rPr>
        <w:t>磋商</w:t>
      </w:r>
      <w:r>
        <w:rPr>
          <w:rFonts w:hint="eastAsia" w:hAnsi="宋体"/>
          <w:sz w:val="24"/>
          <w:u w:val="single"/>
        </w:rPr>
        <w:t>供应商</w:t>
      </w:r>
      <w:r>
        <w:rPr>
          <w:rFonts w:hint="eastAsia"/>
          <w:sz w:val="24"/>
          <w:u w:val="single"/>
        </w:rPr>
        <w:t>名称、地址）</w:t>
      </w:r>
      <w:r>
        <w:rPr>
          <w:rFonts w:hint="eastAsia"/>
          <w:sz w:val="24"/>
        </w:rPr>
        <w:t>提交下述磋商谈判响应文件。</w:t>
      </w:r>
    </w:p>
    <w:p>
      <w:pPr>
        <w:spacing w:line="276" w:lineRule="auto"/>
        <w:ind w:firstLine="523" w:firstLineChars="218"/>
        <w:rPr>
          <w:sz w:val="24"/>
        </w:rPr>
      </w:pPr>
      <w:r>
        <w:rPr>
          <w:sz w:val="24"/>
        </w:rPr>
        <w:t>1.</w:t>
      </w:r>
      <w:r>
        <w:rPr>
          <w:rFonts w:hint="eastAsia"/>
          <w:sz w:val="24"/>
        </w:rPr>
        <w:t>报价表；（附件二）</w:t>
      </w:r>
    </w:p>
    <w:p>
      <w:pPr>
        <w:spacing w:line="276" w:lineRule="auto"/>
        <w:ind w:firstLine="523" w:firstLineChars="218"/>
        <w:rPr>
          <w:sz w:val="24"/>
        </w:rPr>
      </w:pPr>
      <w:r>
        <w:rPr>
          <w:sz w:val="24"/>
        </w:rPr>
        <w:t>2.</w:t>
      </w:r>
      <w:r>
        <w:rPr>
          <w:rFonts w:hint="eastAsia"/>
          <w:sz w:val="24"/>
        </w:rPr>
        <w:t>分项报价表；（附件三）</w:t>
      </w:r>
    </w:p>
    <w:p>
      <w:pPr>
        <w:spacing w:line="276" w:lineRule="auto"/>
        <w:ind w:firstLine="523" w:firstLineChars="218"/>
        <w:rPr>
          <w:sz w:val="24"/>
        </w:rPr>
      </w:pPr>
      <w:r>
        <w:rPr>
          <w:sz w:val="24"/>
        </w:rPr>
        <w:t>3.</w:t>
      </w:r>
      <w:r>
        <w:rPr>
          <w:rFonts w:hint="eastAsia"/>
          <w:sz w:val="24"/>
        </w:rPr>
        <w:t>按磋商谈判文件磋商须知和技术规格要求提供的有关文件；</w:t>
      </w:r>
    </w:p>
    <w:p>
      <w:pPr>
        <w:spacing w:line="276" w:lineRule="auto"/>
        <w:ind w:firstLine="523" w:firstLineChars="218"/>
        <w:rPr>
          <w:sz w:val="24"/>
        </w:rPr>
      </w:pPr>
      <w:r>
        <w:rPr>
          <w:sz w:val="24"/>
        </w:rPr>
        <w:t>4.</w:t>
      </w:r>
      <w:r>
        <w:rPr>
          <w:rFonts w:hint="eastAsia"/>
          <w:sz w:val="24"/>
        </w:rPr>
        <w:t>资格证明文件</w:t>
      </w:r>
    </w:p>
    <w:p>
      <w:pPr>
        <w:spacing w:line="276" w:lineRule="auto"/>
        <w:ind w:left="480"/>
        <w:rPr>
          <w:sz w:val="24"/>
        </w:rPr>
      </w:pPr>
      <w:r>
        <w:rPr>
          <w:rFonts w:hint="eastAsia"/>
          <w:sz w:val="24"/>
        </w:rPr>
        <w:t>在此，授权代表宣布同意如下：</w:t>
      </w:r>
    </w:p>
    <w:p>
      <w:pPr>
        <w:spacing w:line="276" w:lineRule="auto"/>
        <w:ind w:left="480"/>
        <w:rPr>
          <w:sz w:val="24"/>
        </w:rPr>
      </w:pPr>
      <w:r>
        <w:rPr>
          <w:rFonts w:hint="eastAsia"/>
          <w:sz w:val="24"/>
        </w:rPr>
        <w:t>将按竞争性响应文件的约定履行合同责任和义务；</w:t>
      </w:r>
    </w:p>
    <w:p>
      <w:pPr>
        <w:spacing w:line="276" w:lineRule="auto"/>
        <w:ind w:left="480"/>
        <w:rPr>
          <w:sz w:val="32"/>
          <w:szCs w:val="24"/>
        </w:rPr>
      </w:pPr>
      <w:r>
        <w:rPr>
          <w:rFonts w:hint="eastAsia"/>
          <w:sz w:val="24"/>
          <w:szCs w:val="24"/>
        </w:rPr>
        <w:t>本响应文件自磋商之日算起90个日历日内保持有效。</w:t>
      </w:r>
    </w:p>
    <w:p>
      <w:pPr>
        <w:spacing w:line="276" w:lineRule="auto"/>
        <w:ind w:left="480"/>
        <w:rPr>
          <w:sz w:val="24"/>
        </w:rPr>
      </w:pPr>
      <w:r>
        <w:rPr>
          <w:rFonts w:hint="eastAsia"/>
          <w:sz w:val="24"/>
        </w:rPr>
        <w:t>已详细审查全部磋商谈判文件，包括</w:t>
      </w:r>
      <w:r>
        <w:rPr>
          <w:rFonts w:hint="eastAsia"/>
          <w:sz w:val="24"/>
          <w:u w:val="single"/>
        </w:rPr>
        <w:t>（补遗书）（如有）</w:t>
      </w:r>
      <w:r>
        <w:rPr>
          <w:rFonts w:hint="eastAsia"/>
          <w:sz w:val="24"/>
        </w:rPr>
        <w:t>；我们完全理解并同意放弃对这方面有不明及误解的权力；</w:t>
      </w:r>
    </w:p>
    <w:p>
      <w:pPr>
        <w:spacing w:line="276" w:lineRule="auto"/>
        <w:ind w:left="480"/>
        <w:rPr>
          <w:sz w:val="24"/>
        </w:rPr>
      </w:pPr>
      <w:r>
        <w:rPr>
          <w:rFonts w:hint="eastAsia"/>
          <w:sz w:val="24"/>
        </w:rPr>
        <w:t>同意提供按贵方可能要求的与其磋商有关的一切数据或资料；</w:t>
      </w:r>
    </w:p>
    <w:p>
      <w:pPr>
        <w:spacing w:line="276" w:lineRule="auto"/>
        <w:ind w:left="480"/>
        <w:rPr>
          <w:sz w:val="24"/>
        </w:rPr>
      </w:pPr>
      <w:r>
        <w:rPr>
          <w:rFonts w:hint="eastAsia"/>
          <w:sz w:val="24"/>
        </w:rPr>
        <w:t>与本磋商有关的一切正式往来信函请寄：</w:t>
      </w:r>
      <w:r>
        <w:rPr>
          <w:sz w:val="24"/>
        </w:rPr>
        <w:t>__________________________</w:t>
      </w:r>
    </w:p>
    <w:p>
      <w:pPr>
        <w:spacing w:line="276" w:lineRule="auto"/>
        <w:ind w:left="480"/>
        <w:rPr>
          <w:sz w:val="24"/>
        </w:rPr>
      </w:pPr>
      <w:r>
        <w:rPr>
          <w:rFonts w:hint="eastAsia"/>
          <w:sz w:val="24"/>
        </w:rPr>
        <w:t>电话</w:t>
      </w:r>
      <w:r>
        <w:rPr>
          <w:sz w:val="24"/>
        </w:rPr>
        <w:t>/</w:t>
      </w:r>
      <w:r>
        <w:rPr>
          <w:rFonts w:hint="eastAsia"/>
          <w:sz w:val="24"/>
        </w:rPr>
        <w:t>传真：</w:t>
      </w:r>
      <w:r>
        <w:rPr>
          <w:sz w:val="24"/>
        </w:rPr>
        <w:t xml:space="preserve">____________________ </w:t>
      </w:r>
      <w:r>
        <w:rPr>
          <w:rFonts w:hint="eastAsia"/>
          <w:sz w:val="24"/>
        </w:rPr>
        <w:t>电子函件：</w:t>
      </w:r>
      <w:r>
        <w:rPr>
          <w:sz w:val="24"/>
        </w:rPr>
        <w:t>________________________</w:t>
      </w:r>
    </w:p>
    <w:p>
      <w:pPr>
        <w:spacing w:line="276" w:lineRule="auto"/>
        <w:ind w:left="480"/>
        <w:rPr>
          <w:sz w:val="24"/>
        </w:rPr>
      </w:pPr>
      <w:r>
        <w:rPr>
          <w:rFonts w:hint="eastAsia"/>
          <w:sz w:val="24"/>
        </w:rPr>
        <w:t>日期：</w:t>
      </w:r>
      <w:r>
        <w:rPr>
          <w:sz w:val="24"/>
        </w:rPr>
        <w:t xml:space="preserve">_________ </w:t>
      </w:r>
      <w:r>
        <w:rPr>
          <w:rFonts w:hint="eastAsia"/>
          <w:sz w:val="24"/>
        </w:rPr>
        <w:t>年</w:t>
      </w:r>
      <w:r>
        <w:rPr>
          <w:sz w:val="24"/>
        </w:rPr>
        <w:t>_____</w:t>
      </w:r>
      <w:r>
        <w:rPr>
          <w:rFonts w:hint="eastAsia"/>
          <w:sz w:val="24"/>
        </w:rPr>
        <w:t>月</w:t>
      </w:r>
      <w:r>
        <w:rPr>
          <w:sz w:val="24"/>
        </w:rPr>
        <w:t>_____</w:t>
      </w:r>
      <w:r>
        <w:rPr>
          <w:rFonts w:hint="eastAsia"/>
          <w:sz w:val="24"/>
        </w:rPr>
        <w:t>日</w:t>
      </w:r>
    </w:p>
    <w:p>
      <w:pPr>
        <w:spacing w:line="276" w:lineRule="auto"/>
        <w:ind w:left="480"/>
        <w:rPr>
          <w:sz w:val="24"/>
        </w:rPr>
      </w:pPr>
      <w:r>
        <w:rPr>
          <w:rFonts w:hint="eastAsia"/>
          <w:sz w:val="24"/>
        </w:rPr>
        <w:t>磋商</w:t>
      </w:r>
      <w:r>
        <w:rPr>
          <w:rFonts w:hint="eastAsia" w:hAnsi="宋体"/>
          <w:sz w:val="24"/>
        </w:rPr>
        <w:t>供应商</w:t>
      </w:r>
      <w:r>
        <w:rPr>
          <w:rFonts w:hint="eastAsia"/>
          <w:sz w:val="24"/>
        </w:rPr>
        <w:t>法定代表人或授权代表签字：</w:t>
      </w:r>
      <w:r>
        <w:rPr>
          <w:sz w:val="24"/>
        </w:rPr>
        <w:t>_____________________________</w:t>
      </w:r>
    </w:p>
    <w:p>
      <w:pPr>
        <w:spacing w:line="276" w:lineRule="auto"/>
        <w:ind w:left="480"/>
        <w:rPr>
          <w:sz w:val="24"/>
        </w:rPr>
      </w:pPr>
      <w:r>
        <w:rPr>
          <w:rFonts w:hint="eastAsia"/>
          <w:sz w:val="24"/>
        </w:rPr>
        <w:t>磋商</w:t>
      </w:r>
      <w:r>
        <w:rPr>
          <w:rFonts w:hint="eastAsia" w:hAnsi="宋体"/>
          <w:sz w:val="24"/>
        </w:rPr>
        <w:t>供应商</w:t>
      </w:r>
      <w:r>
        <w:rPr>
          <w:rFonts w:hint="eastAsia"/>
          <w:sz w:val="24"/>
        </w:rPr>
        <w:t>名称（公章）：</w:t>
      </w:r>
      <w:r>
        <w:rPr>
          <w:sz w:val="24"/>
        </w:rPr>
        <w:t>__________________________________________</w:t>
      </w:r>
    </w:p>
    <w:p>
      <w:pPr>
        <w:spacing w:line="276" w:lineRule="auto"/>
        <w:ind w:left="480"/>
        <w:rPr>
          <w:sz w:val="24"/>
        </w:rPr>
      </w:pPr>
      <w:r>
        <w:rPr>
          <w:rFonts w:hint="eastAsia"/>
          <w:sz w:val="24"/>
        </w:rPr>
        <w:t>开户银行：</w:t>
      </w:r>
      <w:r>
        <w:rPr>
          <w:sz w:val="24"/>
        </w:rPr>
        <w:t xml:space="preserve">_____________________ </w:t>
      </w:r>
      <w:r>
        <w:rPr>
          <w:rFonts w:hint="eastAsia"/>
          <w:sz w:val="24"/>
        </w:rPr>
        <w:t>账号</w:t>
      </w:r>
      <w:r>
        <w:rPr>
          <w:sz w:val="24"/>
        </w:rPr>
        <w:t>/</w:t>
      </w:r>
      <w:r>
        <w:rPr>
          <w:rFonts w:hint="eastAsia"/>
          <w:sz w:val="24"/>
        </w:rPr>
        <w:t>行号：</w:t>
      </w:r>
      <w:r>
        <w:rPr>
          <w:sz w:val="24"/>
        </w:rPr>
        <w:t>________________________</w:t>
      </w:r>
    </w:p>
    <w:p>
      <w:pPr>
        <w:spacing w:line="276" w:lineRule="auto"/>
        <w:outlineLvl w:val="1"/>
        <w:rPr>
          <w:b/>
          <w:sz w:val="24"/>
        </w:rPr>
      </w:pPr>
      <w:r>
        <w:rPr>
          <w:b/>
          <w:sz w:val="24"/>
        </w:rPr>
        <w:br w:type="page"/>
      </w:r>
      <w:r>
        <w:rPr>
          <w:rFonts w:hint="eastAsia"/>
          <w:b/>
          <w:sz w:val="24"/>
        </w:rPr>
        <w:t>附件二：</w:t>
      </w:r>
    </w:p>
    <w:p>
      <w:pPr>
        <w:spacing w:line="276" w:lineRule="auto"/>
        <w:ind w:left="480"/>
        <w:rPr>
          <w:sz w:val="24"/>
        </w:rPr>
      </w:pPr>
    </w:p>
    <w:p>
      <w:pPr>
        <w:spacing w:line="276" w:lineRule="auto"/>
        <w:ind w:left="480"/>
        <w:jc w:val="center"/>
        <w:rPr>
          <w:b/>
          <w:sz w:val="32"/>
          <w:szCs w:val="32"/>
        </w:rPr>
      </w:pPr>
      <w:r>
        <w:rPr>
          <w:rFonts w:hint="eastAsia"/>
          <w:b/>
          <w:sz w:val="32"/>
          <w:szCs w:val="32"/>
        </w:rPr>
        <w:t>报价表</w:t>
      </w:r>
    </w:p>
    <w:p>
      <w:pPr>
        <w:spacing w:line="276" w:lineRule="auto"/>
        <w:ind w:left="480"/>
        <w:rPr>
          <w:sz w:val="24"/>
        </w:rPr>
      </w:pPr>
    </w:p>
    <w:p>
      <w:pPr>
        <w:spacing w:line="276" w:lineRule="auto"/>
        <w:rPr>
          <w:sz w:val="24"/>
        </w:rPr>
      </w:pPr>
      <w:r>
        <w:rPr>
          <w:rFonts w:hint="eastAsia"/>
          <w:sz w:val="24"/>
        </w:rPr>
        <w:t>项目编号：</w:t>
      </w:r>
      <w:r>
        <w:rPr>
          <w:sz w:val="24"/>
        </w:rPr>
        <w:t>___________________</w:t>
      </w:r>
    </w:p>
    <w:p>
      <w:pPr>
        <w:spacing w:line="276" w:lineRule="auto"/>
        <w:rPr>
          <w:sz w:val="24"/>
        </w:rPr>
      </w:pPr>
      <w:r>
        <w:rPr>
          <w:rFonts w:hint="eastAsia"/>
          <w:sz w:val="24"/>
        </w:rPr>
        <w:t>项目名称：</w:t>
      </w:r>
      <w:r>
        <w:rPr>
          <w:sz w:val="24"/>
        </w:rPr>
        <w:t>___________________</w:t>
      </w:r>
    </w:p>
    <w:tbl>
      <w:tblPr>
        <w:tblStyle w:val="37"/>
        <w:tblpPr w:leftFromText="180" w:rightFromText="180" w:vertAnchor="text" w:horzAnchor="page" w:tblpX="1766" w:tblpY="335"/>
        <w:tblOverlap w:val="never"/>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183"/>
        <w:gridCol w:w="1834"/>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450"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r>
              <w:rPr>
                <w:rFonts w:hint="eastAsia" w:ascii="宋体" w:hAnsi="宋体" w:cs="宋体"/>
                <w:sz w:val="24"/>
                <w:szCs w:val="24"/>
              </w:rPr>
              <w:t>供应商名称</w:t>
            </w:r>
          </w:p>
        </w:tc>
        <w:tc>
          <w:tcPr>
            <w:tcW w:w="2183"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r>
              <w:rPr>
                <w:rFonts w:hint="eastAsia" w:ascii="宋体" w:hAnsi="宋体" w:cs="宋体"/>
                <w:sz w:val="24"/>
                <w:szCs w:val="24"/>
              </w:rPr>
              <w:t>总报价（元/年）</w:t>
            </w:r>
          </w:p>
        </w:tc>
        <w:tc>
          <w:tcPr>
            <w:tcW w:w="1834"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r>
              <w:rPr>
                <w:rFonts w:hint="eastAsia" w:ascii="宋体" w:hAnsi="宋体" w:cs="宋体"/>
                <w:sz w:val="24"/>
                <w:szCs w:val="24"/>
              </w:rPr>
              <w:t>服务期</w:t>
            </w:r>
          </w:p>
        </w:tc>
        <w:tc>
          <w:tcPr>
            <w:tcW w:w="198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450"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p>
        </w:tc>
        <w:tc>
          <w:tcPr>
            <w:tcW w:w="2183" w:type="dxa"/>
            <w:vAlign w:val="center"/>
          </w:tcPr>
          <w:p>
            <w:pPr>
              <w:keepNext w:val="0"/>
              <w:keepLines w:val="0"/>
              <w:suppressLineNumbers w:val="0"/>
              <w:spacing w:before="0" w:beforeAutospacing="0" w:after="0" w:afterAutospacing="0" w:line="276" w:lineRule="auto"/>
              <w:ind w:left="0" w:right="0"/>
              <w:jc w:val="left"/>
              <w:rPr>
                <w:rFonts w:hint="default" w:ascii="宋体" w:hAnsi="宋体" w:cs="宋体"/>
                <w:sz w:val="24"/>
                <w:szCs w:val="24"/>
              </w:rPr>
            </w:pPr>
            <w:r>
              <w:rPr>
                <w:rFonts w:hint="eastAsia" w:ascii="宋体" w:hAnsi="宋体" w:cs="宋体"/>
                <w:sz w:val="24"/>
                <w:szCs w:val="24"/>
              </w:rPr>
              <w:t>大写：</w:t>
            </w:r>
          </w:p>
          <w:p>
            <w:pPr>
              <w:keepNext w:val="0"/>
              <w:keepLines w:val="0"/>
              <w:suppressLineNumbers w:val="0"/>
              <w:spacing w:before="0" w:beforeAutospacing="0" w:after="0" w:afterAutospacing="0" w:line="276" w:lineRule="auto"/>
              <w:ind w:left="0" w:right="0"/>
              <w:jc w:val="left"/>
              <w:rPr>
                <w:rFonts w:hint="default"/>
                <w:sz w:val="24"/>
                <w:szCs w:val="32"/>
              </w:rPr>
            </w:pPr>
            <w:r>
              <w:rPr>
                <w:rFonts w:hint="eastAsia" w:ascii="宋体" w:hAnsi="宋体" w:cs="宋体"/>
                <w:sz w:val="24"/>
                <w:szCs w:val="24"/>
              </w:rPr>
              <w:t>小写：</w:t>
            </w:r>
          </w:p>
        </w:tc>
        <w:tc>
          <w:tcPr>
            <w:tcW w:w="1834" w:type="dxa"/>
            <w:vAlign w:val="center"/>
          </w:tcPr>
          <w:p>
            <w:pPr>
              <w:keepNext w:val="0"/>
              <w:keepLines w:val="0"/>
              <w:suppressLineNumbers w:val="0"/>
              <w:snapToGrid w:val="0"/>
              <w:spacing w:before="120" w:beforeAutospacing="0" w:after="120" w:afterAutospacing="0" w:line="276" w:lineRule="auto"/>
              <w:ind w:left="0" w:right="0"/>
              <w:jc w:val="center"/>
              <w:rPr>
                <w:rFonts w:hint="default"/>
                <w:sz w:val="24"/>
                <w:szCs w:val="32"/>
              </w:rPr>
            </w:pPr>
          </w:p>
        </w:tc>
        <w:tc>
          <w:tcPr>
            <w:tcW w:w="1983"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p>
        </w:tc>
      </w:tr>
    </w:tbl>
    <w:p>
      <w:pPr>
        <w:spacing w:line="276" w:lineRule="auto"/>
        <w:ind w:left="479" w:leftChars="228"/>
        <w:rPr>
          <w:sz w:val="24"/>
        </w:rPr>
      </w:pPr>
      <w:r>
        <w:rPr>
          <w:rFonts w:hint="eastAsia"/>
          <w:sz w:val="24"/>
        </w:rPr>
        <w:t>备注：</w:t>
      </w:r>
      <w:r>
        <w:rPr>
          <w:rFonts w:hint="eastAsia"/>
          <w:sz w:val="24"/>
        </w:rPr>
        <w:sym w:font="Wingdings" w:char="F081"/>
      </w:r>
      <w:r>
        <w:rPr>
          <w:rFonts w:hint="eastAsia"/>
          <w:sz w:val="24"/>
        </w:rPr>
        <w:t>所有价格均用人民币表示，单位为元，精确到个数位。</w:t>
      </w:r>
    </w:p>
    <w:p>
      <w:pPr>
        <w:spacing w:line="276" w:lineRule="auto"/>
        <w:ind w:firstLine="1200" w:firstLineChars="500"/>
        <w:rPr>
          <w:sz w:val="24"/>
        </w:rPr>
      </w:pPr>
      <w:r>
        <w:rPr>
          <w:sz w:val="24"/>
        </w:rPr>
        <w:sym w:font="Wingdings" w:char="F082"/>
      </w:r>
      <w:r>
        <w:rPr>
          <w:rFonts w:hint="eastAsia"/>
          <w:sz w:val="24"/>
        </w:rPr>
        <w:t>本表仅作为磋商小组了解报价组成情况，不作为最终成交价。</w:t>
      </w:r>
    </w:p>
    <w:p>
      <w:pPr>
        <w:spacing w:line="276" w:lineRule="auto"/>
        <w:ind w:left="481" w:leftChars="229" w:firstLine="360" w:firstLineChars="150"/>
        <w:rPr>
          <w:sz w:val="24"/>
          <w:szCs w:val="24"/>
        </w:rPr>
      </w:pPr>
    </w:p>
    <w:p>
      <w:pPr>
        <w:spacing w:line="276" w:lineRule="auto"/>
        <w:ind w:left="481" w:leftChars="229" w:firstLine="360" w:firstLineChars="150"/>
        <w:rPr>
          <w:sz w:val="24"/>
        </w:rPr>
      </w:pPr>
      <w:r>
        <w:rPr>
          <w:rFonts w:hint="eastAsia"/>
          <w:sz w:val="24"/>
        </w:rPr>
        <w:t>授权代表（签字）：</w:t>
      </w:r>
      <w:r>
        <w:rPr>
          <w:sz w:val="24"/>
        </w:rPr>
        <w:t>______________________</w:t>
      </w:r>
    </w:p>
    <w:p>
      <w:pPr>
        <w:spacing w:line="276" w:lineRule="auto"/>
        <w:ind w:left="481" w:leftChars="229" w:firstLine="360" w:firstLineChars="150"/>
        <w:rPr>
          <w:sz w:val="24"/>
        </w:rPr>
      </w:pPr>
      <w:r>
        <w:rPr>
          <w:rFonts w:hint="eastAsia"/>
          <w:sz w:val="24"/>
        </w:rPr>
        <w:t>磋商</w:t>
      </w:r>
      <w:r>
        <w:rPr>
          <w:rFonts w:hint="eastAsia" w:hAnsi="宋体"/>
          <w:sz w:val="24"/>
        </w:rPr>
        <w:t>供应商</w:t>
      </w:r>
      <w:r>
        <w:rPr>
          <w:rFonts w:hint="eastAsia"/>
          <w:sz w:val="24"/>
        </w:rPr>
        <w:t>名称（公章）：</w:t>
      </w:r>
      <w:r>
        <w:rPr>
          <w:sz w:val="24"/>
        </w:rPr>
        <w:t>________________</w:t>
      </w:r>
    </w:p>
    <w:p>
      <w:pPr>
        <w:spacing w:line="276" w:lineRule="auto"/>
        <w:ind w:left="481" w:leftChars="229" w:firstLine="360" w:firstLineChars="150"/>
        <w:rPr>
          <w:sz w:val="24"/>
        </w:rPr>
      </w:pPr>
      <w:r>
        <w:rPr>
          <w:rFonts w:hint="eastAsia"/>
          <w:sz w:val="24"/>
        </w:rPr>
        <w:t>报价时间：</w:t>
      </w:r>
      <w:r>
        <w:rPr>
          <w:sz w:val="24"/>
        </w:rPr>
        <w:t>_______</w:t>
      </w:r>
      <w:r>
        <w:rPr>
          <w:rFonts w:hint="eastAsia"/>
          <w:sz w:val="24"/>
        </w:rPr>
        <w:t>年</w:t>
      </w:r>
      <w:r>
        <w:rPr>
          <w:sz w:val="24"/>
        </w:rPr>
        <w:t>_____</w:t>
      </w:r>
      <w:r>
        <w:rPr>
          <w:rFonts w:hint="eastAsia"/>
          <w:sz w:val="24"/>
        </w:rPr>
        <w:t>月</w:t>
      </w:r>
      <w:r>
        <w:rPr>
          <w:sz w:val="24"/>
        </w:rPr>
        <w:t>_____</w:t>
      </w:r>
      <w:r>
        <w:rPr>
          <w:rFonts w:hint="eastAsia"/>
          <w:sz w:val="24"/>
        </w:rPr>
        <w:t>日</w:t>
      </w:r>
    </w:p>
    <w:p>
      <w:pPr>
        <w:spacing w:line="276" w:lineRule="auto"/>
        <w:rPr>
          <w:b/>
          <w:sz w:val="24"/>
        </w:rPr>
      </w:pPr>
      <w:r>
        <w:rPr>
          <w:b/>
          <w:sz w:val="24"/>
        </w:rPr>
        <w:br w:type="page"/>
      </w:r>
    </w:p>
    <w:p>
      <w:pPr>
        <w:spacing w:line="276" w:lineRule="auto"/>
        <w:outlineLvl w:val="1"/>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附件三：</w:t>
      </w:r>
    </w:p>
    <w:p>
      <w:pPr>
        <w:rPr>
          <w:b/>
          <w:sz w:val="24"/>
        </w:rPr>
      </w:pPr>
    </w:p>
    <w:p>
      <w:pPr>
        <w:spacing w:line="276" w:lineRule="auto"/>
        <w:ind w:left="480"/>
        <w:jc w:val="center"/>
        <w:rPr>
          <w:b/>
          <w:sz w:val="32"/>
          <w:szCs w:val="32"/>
        </w:rPr>
      </w:pPr>
      <w:r>
        <w:rPr>
          <w:rFonts w:hint="eastAsia"/>
          <w:b/>
          <w:sz w:val="32"/>
          <w:szCs w:val="32"/>
        </w:rPr>
        <w:t>分项报价表</w:t>
      </w:r>
    </w:p>
    <w:p>
      <w:pPr>
        <w:spacing w:line="276" w:lineRule="auto"/>
        <w:ind w:left="480"/>
        <w:rPr>
          <w:sz w:val="24"/>
        </w:rPr>
      </w:pPr>
    </w:p>
    <w:p>
      <w:pPr>
        <w:spacing w:line="276" w:lineRule="auto"/>
        <w:rPr>
          <w:sz w:val="24"/>
        </w:rPr>
      </w:pPr>
      <w:r>
        <w:rPr>
          <w:rFonts w:hint="eastAsia"/>
          <w:sz w:val="24"/>
        </w:rPr>
        <w:t>项目编号：</w:t>
      </w:r>
      <w:r>
        <w:rPr>
          <w:sz w:val="24"/>
        </w:rPr>
        <w:t>___________________</w:t>
      </w:r>
    </w:p>
    <w:p>
      <w:pPr>
        <w:spacing w:line="276" w:lineRule="auto"/>
        <w:rPr>
          <w:sz w:val="24"/>
        </w:rPr>
      </w:pPr>
      <w:r>
        <w:rPr>
          <w:rFonts w:hint="eastAsia"/>
          <w:sz w:val="24"/>
        </w:rPr>
        <w:t>项目名称：</w:t>
      </w:r>
      <w:r>
        <w:rPr>
          <w:sz w:val="24"/>
        </w:rPr>
        <w:t>___________________</w:t>
      </w:r>
    </w:p>
    <w:tbl>
      <w:tblPr>
        <w:tblStyle w:val="37"/>
        <w:tblpPr w:leftFromText="180" w:rightFromText="180" w:vertAnchor="text" w:horzAnchor="page" w:tblpX="1766" w:tblpY="335"/>
        <w:tblOverlap w:val="never"/>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8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31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r>
              <w:rPr>
                <w:rFonts w:hint="eastAsia" w:ascii="宋体" w:hAnsi="宋体" w:cs="宋体"/>
                <w:sz w:val="24"/>
                <w:szCs w:val="24"/>
              </w:rPr>
              <w:t>项目名称</w:t>
            </w:r>
          </w:p>
        </w:tc>
        <w:tc>
          <w:tcPr>
            <w:tcW w:w="2840"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r>
              <w:rPr>
                <w:rFonts w:hint="eastAsia" w:ascii="宋体" w:hAnsi="宋体" w:cs="宋体"/>
                <w:sz w:val="24"/>
                <w:szCs w:val="24"/>
              </w:rPr>
              <w:t>总报价（元/年）</w:t>
            </w:r>
          </w:p>
        </w:tc>
        <w:tc>
          <w:tcPr>
            <w:tcW w:w="2580"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1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p>
        </w:tc>
        <w:tc>
          <w:tcPr>
            <w:tcW w:w="2840" w:type="dxa"/>
            <w:vAlign w:val="center"/>
          </w:tcPr>
          <w:p>
            <w:pPr>
              <w:keepNext w:val="0"/>
              <w:keepLines w:val="0"/>
              <w:suppressLineNumbers w:val="0"/>
              <w:spacing w:before="0" w:beforeAutospacing="0" w:after="0" w:afterAutospacing="0" w:line="276" w:lineRule="auto"/>
              <w:ind w:left="0" w:right="0"/>
              <w:jc w:val="left"/>
              <w:rPr>
                <w:rFonts w:hint="default"/>
                <w:sz w:val="24"/>
                <w:szCs w:val="32"/>
              </w:rPr>
            </w:pPr>
          </w:p>
        </w:tc>
        <w:tc>
          <w:tcPr>
            <w:tcW w:w="2580"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1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p>
        </w:tc>
        <w:tc>
          <w:tcPr>
            <w:tcW w:w="2840" w:type="dxa"/>
            <w:vAlign w:val="center"/>
          </w:tcPr>
          <w:p>
            <w:pPr>
              <w:keepNext w:val="0"/>
              <w:keepLines w:val="0"/>
              <w:suppressLineNumbers w:val="0"/>
              <w:spacing w:before="0" w:beforeAutospacing="0" w:after="0" w:afterAutospacing="0" w:line="276" w:lineRule="auto"/>
              <w:ind w:left="0" w:right="0"/>
              <w:jc w:val="left"/>
              <w:rPr>
                <w:rFonts w:hint="default" w:ascii="宋体" w:hAnsi="宋体" w:cs="宋体"/>
                <w:sz w:val="24"/>
                <w:szCs w:val="24"/>
              </w:rPr>
            </w:pPr>
          </w:p>
        </w:tc>
        <w:tc>
          <w:tcPr>
            <w:tcW w:w="2580"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1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szCs w:val="24"/>
              </w:rPr>
            </w:pPr>
            <w:r>
              <w:rPr>
                <w:rFonts w:hint="eastAsia" w:ascii="宋体" w:hAnsi="宋体" w:cs="宋体"/>
                <w:sz w:val="24"/>
                <w:szCs w:val="24"/>
              </w:rPr>
              <w:t>合计</w:t>
            </w:r>
          </w:p>
        </w:tc>
        <w:tc>
          <w:tcPr>
            <w:tcW w:w="2840" w:type="dxa"/>
            <w:vAlign w:val="center"/>
          </w:tcPr>
          <w:p>
            <w:pPr>
              <w:keepNext w:val="0"/>
              <w:keepLines w:val="0"/>
              <w:suppressLineNumbers w:val="0"/>
              <w:spacing w:before="0" w:beforeAutospacing="0" w:after="0" w:afterAutospacing="0" w:line="276" w:lineRule="auto"/>
              <w:ind w:left="0" w:right="0"/>
              <w:jc w:val="left"/>
              <w:rPr>
                <w:rFonts w:hint="default" w:ascii="宋体" w:hAnsi="宋体" w:cs="宋体"/>
                <w:sz w:val="24"/>
                <w:szCs w:val="24"/>
              </w:rPr>
            </w:pPr>
          </w:p>
        </w:tc>
        <w:tc>
          <w:tcPr>
            <w:tcW w:w="2580" w:type="dxa"/>
            <w:vAlign w:val="center"/>
          </w:tcPr>
          <w:p>
            <w:pPr>
              <w:keepNext w:val="0"/>
              <w:keepLines w:val="0"/>
              <w:suppressLineNumbers w:val="0"/>
              <w:spacing w:before="0" w:beforeAutospacing="0" w:after="0" w:afterAutospacing="0" w:line="276" w:lineRule="auto"/>
              <w:ind w:left="0" w:right="0"/>
              <w:jc w:val="center"/>
              <w:rPr>
                <w:rFonts w:hint="default"/>
                <w:sz w:val="24"/>
                <w:szCs w:val="32"/>
              </w:rPr>
            </w:pPr>
          </w:p>
        </w:tc>
      </w:tr>
    </w:tbl>
    <w:p>
      <w:pPr>
        <w:spacing w:line="276" w:lineRule="auto"/>
        <w:ind w:left="479" w:leftChars="228"/>
        <w:rPr>
          <w:sz w:val="24"/>
        </w:rPr>
      </w:pPr>
      <w:r>
        <w:rPr>
          <w:rFonts w:hint="eastAsia"/>
          <w:sz w:val="24"/>
        </w:rPr>
        <w:t>备注：</w:t>
      </w:r>
      <w:r>
        <w:rPr>
          <w:rFonts w:hint="eastAsia"/>
          <w:sz w:val="24"/>
        </w:rPr>
        <w:sym w:font="Wingdings" w:char="F081"/>
      </w:r>
      <w:r>
        <w:rPr>
          <w:rFonts w:hint="eastAsia"/>
          <w:sz w:val="24"/>
        </w:rPr>
        <w:t>所有价格均用人民币表示，单位为元，精确到个数位。</w:t>
      </w:r>
    </w:p>
    <w:p>
      <w:pPr>
        <w:spacing w:line="276" w:lineRule="auto"/>
        <w:ind w:firstLine="1200" w:firstLineChars="500"/>
        <w:rPr>
          <w:sz w:val="24"/>
        </w:rPr>
      </w:pPr>
      <w:r>
        <w:rPr>
          <w:sz w:val="24"/>
        </w:rPr>
        <w:sym w:font="Wingdings" w:char="F082"/>
      </w:r>
      <w:r>
        <w:rPr>
          <w:rFonts w:hint="eastAsia"/>
          <w:sz w:val="24"/>
        </w:rPr>
        <w:t>本表仅作为磋商小组了解报价组成情况，不作为最终成交价。</w:t>
      </w:r>
    </w:p>
    <w:p>
      <w:pPr>
        <w:spacing w:line="276" w:lineRule="auto"/>
        <w:ind w:left="481" w:leftChars="229" w:firstLine="360" w:firstLineChars="150"/>
        <w:rPr>
          <w:sz w:val="24"/>
          <w:szCs w:val="24"/>
        </w:rPr>
      </w:pPr>
    </w:p>
    <w:p>
      <w:pPr>
        <w:spacing w:line="276" w:lineRule="auto"/>
        <w:ind w:left="481" w:leftChars="229" w:firstLine="360" w:firstLineChars="150"/>
        <w:rPr>
          <w:sz w:val="24"/>
        </w:rPr>
      </w:pPr>
      <w:r>
        <w:rPr>
          <w:rFonts w:hint="eastAsia"/>
          <w:sz w:val="24"/>
        </w:rPr>
        <w:t>授权代表（签字）：</w:t>
      </w:r>
      <w:r>
        <w:rPr>
          <w:sz w:val="24"/>
        </w:rPr>
        <w:t>______________________</w:t>
      </w:r>
    </w:p>
    <w:p>
      <w:pPr>
        <w:spacing w:line="276" w:lineRule="auto"/>
        <w:ind w:left="481" w:leftChars="229" w:firstLine="360" w:firstLineChars="150"/>
        <w:rPr>
          <w:sz w:val="24"/>
        </w:rPr>
      </w:pPr>
      <w:r>
        <w:rPr>
          <w:rFonts w:hint="eastAsia"/>
          <w:sz w:val="24"/>
        </w:rPr>
        <w:t>磋商</w:t>
      </w:r>
      <w:r>
        <w:rPr>
          <w:rFonts w:hint="eastAsia" w:hAnsi="宋体"/>
          <w:sz w:val="24"/>
        </w:rPr>
        <w:t>供应商</w:t>
      </w:r>
      <w:r>
        <w:rPr>
          <w:rFonts w:hint="eastAsia"/>
          <w:sz w:val="24"/>
        </w:rPr>
        <w:t>名称（公章）：</w:t>
      </w:r>
      <w:r>
        <w:rPr>
          <w:sz w:val="24"/>
        </w:rPr>
        <w:t>________________</w:t>
      </w:r>
    </w:p>
    <w:p>
      <w:pPr>
        <w:spacing w:line="276" w:lineRule="auto"/>
        <w:ind w:left="481" w:leftChars="229" w:firstLine="360" w:firstLineChars="150"/>
        <w:rPr>
          <w:sz w:val="24"/>
        </w:rPr>
      </w:pPr>
      <w:r>
        <w:rPr>
          <w:rFonts w:hint="eastAsia"/>
          <w:sz w:val="24"/>
        </w:rPr>
        <w:t>报价时间：</w:t>
      </w:r>
      <w:r>
        <w:rPr>
          <w:sz w:val="24"/>
        </w:rPr>
        <w:t>_______</w:t>
      </w:r>
      <w:r>
        <w:rPr>
          <w:rFonts w:hint="eastAsia"/>
          <w:sz w:val="24"/>
        </w:rPr>
        <w:t>年</w:t>
      </w:r>
      <w:r>
        <w:rPr>
          <w:sz w:val="24"/>
        </w:rPr>
        <w:t>_____</w:t>
      </w:r>
      <w:r>
        <w:rPr>
          <w:rFonts w:hint="eastAsia"/>
          <w:sz w:val="24"/>
        </w:rPr>
        <w:t>月</w:t>
      </w:r>
      <w:r>
        <w:rPr>
          <w:sz w:val="24"/>
        </w:rPr>
        <w:t>_____</w:t>
      </w:r>
      <w:r>
        <w:rPr>
          <w:rFonts w:hint="eastAsia"/>
          <w:sz w:val="24"/>
        </w:rPr>
        <w:t>日</w:t>
      </w:r>
    </w:p>
    <w:p>
      <w:pPr>
        <w:spacing w:line="276" w:lineRule="auto"/>
        <w:rPr>
          <w:b/>
          <w:sz w:val="24"/>
        </w:rPr>
      </w:pPr>
      <w:r>
        <w:rPr>
          <w:b/>
          <w:sz w:val="24"/>
        </w:rPr>
        <w:br w:type="page"/>
      </w:r>
    </w:p>
    <w:p>
      <w:pPr>
        <w:spacing w:line="276" w:lineRule="auto"/>
        <w:outlineLvl w:val="1"/>
        <w:rPr>
          <w:b/>
          <w:sz w:val="24"/>
        </w:rPr>
      </w:pPr>
      <w:r>
        <w:rPr>
          <w:rFonts w:hint="eastAsia"/>
          <w:b/>
          <w:sz w:val="24"/>
        </w:rPr>
        <w:t>附件</w:t>
      </w:r>
      <w:r>
        <w:rPr>
          <w:rFonts w:hint="eastAsia"/>
          <w:b/>
          <w:sz w:val="24"/>
          <w:lang w:val="en-US" w:eastAsia="zh-CN"/>
        </w:rPr>
        <w:t>四</w:t>
      </w:r>
      <w:r>
        <w:rPr>
          <w:rFonts w:hint="eastAsia"/>
          <w:b/>
          <w:sz w:val="24"/>
        </w:rPr>
        <w:t>：</w:t>
      </w:r>
    </w:p>
    <w:p>
      <w:pPr>
        <w:tabs>
          <w:tab w:val="left" w:pos="3240"/>
        </w:tabs>
        <w:spacing w:line="276" w:lineRule="auto"/>
        <w:ind w:firstLine="2875" w:firstLineChars="895"/>
        <w:rPr>
          <w:b/>
          <w:sz w:val="32"/>
          <w:szCs w:val="32"/>
        </w:rPr>
      </w:pPr>
      <w:r>
        <w:rPr>
          <w:rFonts w:hint="eastAsia"/>
          <w:b/>
          <w:sz w:val="32"/>
          <w:szCs w:val="32"/>
        </w:rPr>
        <w:t>法定代表人授权书</w:t>
      </w:r>
      <w:r>
        <w:rPr>
          <w:b/>
          <w:sz w:val="32"/>
          <w:szCs w:val="32"/>
        </w:rPr>
        <w:tab/>
      </w:r>
    </w:p>
    <w:p>
      <w:pPr>
        <w:tabs>
          <w:tab w:val="left" w:pos="3240"/>
        </w:tabs>
        <w:spacing w:line="276" w:lineRule="auto"/>
        <w:ind w:firstLine="480"/>
        <w:rPr>
          <w:b/>
          <w:sz w:val="32"/>
          <w:szCs w:val="32"/>
        </w:rPr>
      </w:pPr>
    </w:p>
    <w:p>
      <w:pPr>
        <w:tabs>
          <w:tab w:val="left" w:pos="3240"/>
        </w:tabs>
        <w:spacing w:line="276" w:lineRule="auto"/>
        <w:rPr>
          <w:sz w:val="24"/>
        </w:rPr>
      </w:pPr>
      <w:r>
        <w:rPr>
          <w:rFonts w:hint="eastAsia"/>
          <w:sz w:val="24"/>
        </w:rPr>
        <w:t>（采购代理机构）：</w:t>
      </w:r>
    </w:p>
    <w:p>
      <w:pPr>
        <w:tabs>
          <w:tab w:val="left" w:pos="3240"/>
        </w:tabs>
        <w:spacing w:line="276" w:lineRule="auto"/>
        <w:ind w:firstLine="480"/>
        <w:rPr>
          <w:sz w:val="24"/>
        </w:rPr>
      </w:pPr>
      <w:r>
        <w:rPr>
          <w:rFonts w:hint="eastAsia"/>
          <w:sz w:val="24"/>
        </w:rPr>
        <w:t>兹授权</w:t>
      </w:r>
      <w:r>
        <w:rPr>
          <w:sz w:val="24"/>
        </w:rPr>
        <w:t>______</w:t>
      </w:r>
      <w:r>
        <w:rPr>
          <w:rFonts w:hint="eastAsia"/>
          <w:sz w:val="24"/>
        </w:rPr>
        <w:t>同志为我公司参加贵单位组织的</w:t>
      </w:r>
      <w:r>
        <w:rPr>
          <w:rFonts w:hint="eastAsia"/>
          <w:sz w:val="24"/>
          <w:u w:val="single"/>
        </w:rPr>
        <w:t>（项目名称）</w:t>
      </w:r>
      <w:r>
        <w:rPr>
          <w:rFonts w:hint="eastAsia"/>
          <w:sz w:val="24"/>
        </w:rPr>
        <w:t>磋商活动的竞标代表人，全权代表我公司处理在该项目活动中的一切事宜，代理期限从</w:t>
      </w:r>
      <w:r>
        <w:rPr>
          <w:sz w:val="24"/>
        </w:rPr>
        <w:t>_____</w:t>
      </w:r>
      <w:r>
        <w:rPr>
          <w:rFonts w:hint="eastAsia"/>
          <w:sz w:val="24"/>
        </w:rPr>
        <w:t>年</w:t>
      </w:r>
      <w:r>
        <w:rPr>
          <w:sz w:val="24"/>
        </w:rPr>
        <w:t>_____</w:t>
      </w:r>
      <w:r>
        <w:rPr>
          <w:rFonts w:hint="eastAsia"/>
          <w:sz w:val="24"/>
        </w:rPr>
        <w:t>月</w:t>
      </w:r>
      <w:r>
        <w:rPr>
          <w:sz w:val="24"/>
        </w:rPr>
        <w:t>_____</w:t>
      </w:r>
      <w:r>
        <w:rPr>
          <w:rFonts w:hint="eastAsia"/>
          <w:sz w:val="24"/>
        </w:rPr>
        <w:t>日起至</w:t>
      </w:r>
      <w:r>
        <w:rPr>
          <w:sz w:val="24"/>
        </w:rPr>
        <w:t>_____</w:t>
      </w:r>
      <w:r>
        <w:rPr>
          <w:rFonts w:hint="eastAsia"/>
          <w:sz w:val="24"/>
        </w:rPr>
        <w:t>年</w:t>
      </w:r>
      <w:r>
        <w:rPr>
          <w:sz w:val="24"/>
        </w:rPr>
        <w:t>_____</w:t>
      </w:r>
      <w:r>
        <w:rPr>
          <w:rFonts w:hint="eastAsia"/>
          <w:sz w:val="24"/>
        </w:rPr>
        <w:t>月</w:t>
      </w:r>
      <w:r>
        <w:rPr>
          <w:sz w:val="24"/>
        </w:rPr>
        <w:t>_____</w:t>
      </w:r>
      <w:r>
        <w:rPr>
          <w:rFonts w:hint="eastAsia"/>
          <w:sz w:val="24"/>
        </w:rPr>
        <w:t>日止。</w:t>
      </w:r>
    </w:p>
    <w:p>
      <w:pPr>
        <w:tabs>
          <w:tab w:val="left" w:pos="3240"/>
        </w:tabs>
        <w:spacing w:line="276" w:lineRule="auto"/>
        <w:ind w:firstLine="480"/>
        <w:rPr>
          <w:sz w:val="24"/>
        </w:rPr>
      </w:pPr>
    </w:p>
    <w:p>
      <w:pPr>
        <w:tabs>
          <w:tab w:val="left" w:pos="3240"/>
        </w:tabs>
        <w:spacing w:line="276" w:lineRule="auto"/>
        <w:ind w:firstLine="480"/>
        <w:rPr>
          <w:sz w:val="24"/>
        </w:rPr>
      </w:pPr>
    </w:p>
    <w:p>
      <w:pPr>
        <w:tabs>
          <w:tab w:val="left" w:pos="3240"/>
        </w:tabs>
        <w:spacing w:line="276" w:lineRule="auto"/>
        <w:ind w:firstLine="480"/>
        <w:rPr>
          <w:sz w:val="24"/>
        </w:rPr>
      </w:pPr>
    </w:p>
    <w:p>
      <w:pPr>
        <w:tabs>
          <w:tab w:val="left" w:pos="3240"/>
        </w:tabs>
        <w:spacing w:line="276" w:lineRule="auto"/>
        <w:rPr>
          <w:sz w:val="24"/>
        </w:rPr>
      </w:pPr>
      <w:r>
        <w:rPr>
          <w:rFonts w:hint="eastAsia"/>
          <w:sz w:val="24"/>
        </w:rPr>
        <w:t>授权单位（公章）：</w:t>
      </w:r>
      <w:r>
        <w:rPr>
          <w:sz w:val="24"/>
        </w:rPr>
        <w:t>__________________________</w:t>
      </w:r>
    </w:p>
    <w:p>
      <w:pPr>
        <w:tabs>
          <w:tab w:val="left" w:pos="3240"/>
        </w:tabs>
        <w:spacing w:line="276" w:lineRule="auto"/>
        <w:rPr>
          <w:sz w:val="24"/>
        </w:rPr>
      </w:pPr>
      <w:r>
        <w:rPr>
          <w:rFonts w:hint="eastAsia"/>
          <w:sz w:val="24"/>
        </w:rPr>
        <w:t>法定代表人（签字或盖章）：</w:t>
      </w:r>
      <w:r>
        <w:rPr>
          <w:sz w:val="24"/>
        </w:rPr>
        <w:t>__________________</w:t>
      </w:r>
    </w:p>
    <w:p>
      <w:pPr>
        <w:tabs>
          <w:tab w:val="left" w:pos="3240"/>
        </w:tabs>
        <w:spacing w:line="276" w:lineRule="auto"/>
        <w:rPr>
          <w:sz w:val="24"/>
        </w:rPr>
      </w:pPr>
      <w:r>
        <w:rPr>
          <w:rFonts w:hint="eastAsia"/>
          <w:sz w:val="24"/>
        </w:rPr>
        <w:t>代理人（签字）：</w:t>
      </w:r>
      <w:r>
        <w:rPr>
          <w:sz w:val="24"/>
        </w:rPr>
        <w:t>__________________</w:t>
      </w:r>
    </w:p>
    <w:p>
      <w:pPr>
        <w:tabs>
          <w:tab w:val="left" w:pos="3240"/>
        </w:tabs>
        <w:spacing w:line="276" w:lineRule="auto"/>
        <w:rPr>
          <w:sz w:val="24"/>
        </w:rPr>
      </w:pPr>
      <w:r>
        <w:rPr>
          <w:rFonts w:hint="eastAsia"/>
          <w:sz w:val="24"/>
        </w:rPr>
        <w:t>签发日期：</w:t>
      </w:r>
      <w:r>
        <w:rPr>
          <w:sz w:val="24"/>
        </w:rPr>
        <w:t>_____</w:t>
      </w:r>
      <w:r>
        <w:rPr>
          <w:rFonts w:hint="eastAsia"/>
          <w:sz w:val="24"/>
        </w:rPr>
        <w:t>年</w:t>
      </w:r>
      <w:r>
        <w:rPr>
          <w:sz w:val="24"/>
        </w:rPr>
        <w:t>_____</w:t>
      </w:r>
      <w:r>
        <w:rPr>
          <w:rFonts w:hint="eastAsia"/>
          <w:sz w:val="24"/>
        </w:rPr>
        <w:t>月</w:t>
      </w:r>
      <w:r>
        <w:rPr>
          <w:sz w:val="24"/>
        </w:rPr>
        <w:t>_____</w:t>
      </w:r>
      <w:r>
        <w:rPr>
          <w:rFonts w:hint="eastAsia"/>
          <w:sz w:val="24"/>
        </w:rPr>
        <w:t>日</w:t>
      </w:r>
    </w:p>
    <w:p>
      <w:pPr>
        <w:tabs>
          <w:tab w:val="left" w:pos="3240"/>
        </w:tabs>
        <w:spacing w:line="276" w:lineRule="auto"/>
        <w:rPr>
          <w:sz w:val="24"/>
        </w:rPr>
      </w:pPr>
    </w:p>
    <w:p>
      <w:pPr>
        <w:tabs>
          <w:tab w:val="left" w:pos="3240"/>
        </w:tabs>
        <w:spacing w:line="276" w:lineRule="auto"/>
        <w:ind w:firstLine="480"/>
        <w:rPr>
          <w:sz w:val="24"/>
        </w:rPr>
      </w:pPr>
    </w:p>
    <w:p>
      <w:pPr>
        <w:tabs>
          <w:tab w:val="left" w:pos="3240"/>
        </w:tabs>
        <w:spacing w:line="276" w:lineRule="auto"/>
        <w:ind w:firstLine="480"/>
        <w:rPr>
          <w:sz w:val="24"/>
        </w:rPr>
      </w:pPr>
      <w:r>
        <w:rPr>
          <w:rFonts w:hint="eastAsia"/>
          <w:sz w:val="24"/>
        </w:rPr>
        <w:t>附：代理人工作单位：</w:t>
      </w:r>
      <w:r>
        <w:rPr>
          <w:sz w:val="24"/>
        </w:rPr>
        <w:t>____________________________________</w:t>
      </w:r>
    </w:p>
    <w:p>
      <w:pPr>
        <w:tabs>
          <w:tab w:val="left" w:pos="3240"/>
        </w:tabs>
        <w:spacing w:line="276" w:lineRule="auto"/>
        <w:ind w:firstLine="480"/>
        <w:rPr>
          <w:sz w:val="24"/>
        </w:rPr>
      </w:pPr>
      <w:r>
        <w:rPr>
          <w:rFonts w:hint="eastAsia"/>
          <w:sz w:val="24"/>
        </w:rPr>
        <w:t>职务：</w:t>
      </w:r>
      <w:r>
        <w:rPr>
          <w:sz w:val="24"/>
        </w:rPr>
        <w:t xml:space="preserve">__________________________  </w:t>
      </w:r>
      <w:r>
        <w:rPr>
          <w:rFonts w:hint="eastAsia"/>
          <w:sz w:val="24"/>
        </w:rPr>
        <w:t>性别：</w:t>
      </w:r>
      <w:r>
        <w:rPr>
          <w:sz w:val="24"/>
        </w:rPr>
        <w:t>____________</w:t>
      </w:r>
    </w:p>
    <w:p>
      <w:pPr>
        <w:tabs>
          <w:tab w:val="left" w:pos="3240"/>
        </w:tabs>
        <w:spacing w:line="276" w:lineRule="auto"/>
        <w:ind w:firstLine="480"/>
        <w:rPr>
          <w:sz w:val="24"/>
        </w:rPr>
      </w:pPr>
      <w:r>
        <w:rPr>
          <w:rFonts w:hint="eastAsia"/>
          <w:sz w:val="24"/>
        </w:rPr>
        <w:t>身份证号码：</w:t>
      </w:r>
      <w:r>
        <w:rPr>
          <w:sz w:val="24"/>
        </w:rPr>
        <w:t>________________________________________</w:t>
      </w:r>
    </w:p>
    <w:p>
      <w:pPr>
        <w:tabs>
          <w:tab w:val="left" w:pos="3240"/>
        </w:tabs>
        <w:spacing w:line="276" w:lineRule="auto"/>
        <w:ind w:firstLine="480"/>
        <w:rPr>
          <w:sz w:val="24"/>
        </w:rPr>
      </w:pPr>
    </w:p>
    <w:tbl>
      <w:tblPr>
        <w:tblStyle w:val="37"/>
        <w:tblW w:w="8047"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8047" w:type="dxa"/>
            <w:vAlign w:val="top"/>
          </w:tcPr>
          <w:p>
            <w:pPr>
              <w:keepNext w:val="0"/>
              <w:keepLines w:val="0"/>
              <w:suppressLineNumbers w:val="0"/>
              <w:tabs>
                <w:tab w:val="left" w:pos="3240"/>
              </w:tabs>
              <w:spacing w:before="0" w:beforeAutospacing="0" w:after="0" w:afterAutospacing="0" w:line="276" w:lineRule="auto"/>
              <w:ind w:left="0" w:right="0"/>
              <w:rPr>
                <w:rFonts w:hint="default"/>
                <w:sz w:val="24"/>
                <w:szCs w:val="20"/>
              </w:rPr>
            </w:pPr>
            <w:r>
              <w:rPr>
                <w:rFonts w:hint="eastAsia"/>
                <w:sz w:val="24"/>
                <w:szCs w:val="20"/>
              </w:rPr>
              <w:t>法定代表人及被授权人身份证（复印件）</w:t>
            </w:r>
          </w:p>
        </w:tc>
      </w:tr>
    </w:tbl>
    <w:p>
      <w:pPr>
        <w:pStyle w:val="12"/>
        <w:ind w:left="0"/>
      </w:pPr>
    </w:p>
    <w:p/>
    <w:p>
      <w:pPr>
        <w:pStyle w:val="12"/>
        <w:ind w:left="0"/>
      </w:pPr>
    </w:p>
    <w:p/>
    <w:p>
      <w:pPr>
        <w:pStyle w:val="12"/>
        <w:ind w:left="0"/>
      </w:pPr>
    </w:p>
    <w:p/>
    <w:p>
      <w:pPr>
        <w:pStyle w:val="12"/>
        <w:spacing w:line="276" w:lineRule="auto"/>
        <w:ind w:left="0"/>
      </w:pPr>
    </w:p>
    <w:p/>
    <w:p>
      <w:pPr>
        <w:spacing w:line="276" w:lineRule="auto"/>
        <w:outlineLvl w:val="1"/>
        <w:rPr>
          <w:b/>
          <w:sz w:val="24"/>
        </w:rPr>
      </w:pPr>
      <w:r>
        <w:rPr>
          <w:rFonts w:hint="eastAsia"/>
          <w:b/>
          <w:sz w:val="24"/>
        </w:rPr>
        <w:t>附件</w:t>
      </w:r>
      <w:r>
        <w:rPr>
          <w:rFonts w:hint="eastAsia"/>
          <w:b/>
          <w:sz w:val="24"/>
          <w:lang w:val="en-US" w:eastAsia="zh-CN"/>
        </w:rPr>
        <w:t>五</w:t>
      </w:r>
      <w:r>
        <w:rPr>
          <w:rFonts w:hint="eastAsia"/>
          <w:b/>
          <w:sz w:val="24"/>
        </w:rPr>
        <w:t>：</w:t>
      </w:r>
    </w:p>
    <w:p>
      <w:pPr>
        <w:tabs>
          <w:tab w:val="left" w:pos="3240"/>
        </w:tabs>
        <w:spacing w:line="276" w:lineRule="auto"/>
        <w:ind w:firstLine="2875" w:firstLineChars="895"/>
        <w:rPr>
          <w:b/>
          <w:sz w:val="32"/>
          <w:szCs w:val="32"/>
        </w:rPr>
      </w:pPr>
      <w:r>
        <w:rPr>
          <w:rFonts w:hint="eastAsia"/>
          <w:b/>
          <w:sz w:val="32"/>
          <w:szCs w:val="32"/>
        </w:rPr>
        <w:t>供应商的基本情况</w:t>
      </w:r>
    </w:p>
    <w:tbl>
      <w:tblPr>
        <w:tblStyle w:val="37"/>
        <w:tblW w:w="841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3005"/>
        <w:gridCol w:w="1378"/>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0" w:beforeAutospacing="0" w:after="0" w:afterAutospacing="0" w:line="276" w:lineRule="auto"/>
              <w:ind w:left="0" w:right="0"/>
              <w:jc w:val="center"/>
              <w:rPr>
                <w:rFonts w:hint="default" w:ascii="宋体" w:cs="宋体"/>
                <w:sz w:val="24"/>
                <w:szCs w:val="24"/>
              </w:rPr>
            </w:pPr>
            <w:r>
              <w:rPr>
                <w:rFonts w:hint="eastAsia" w:ascii="宋体" w:hAnsi="宋体" w:cs="宋体"/>
                <w:sz w:val="24"/>
                <w:szCs w:val="24"/>
              </w:rPr>
              <w:t>供应</w:t>
            </w:r>
            <w:r>
              <w:rPr>
                <w:rFonts w:hint="eastAsia" w:ascii="宋体" w:hAnsi="宋体" w:cs="宋体"/>
                <w:spacing w:val="-1"/>
                <w:sz w:val="24"/>
                <w:szCs w:val="24"/>
              </w:rPr>
              <w:t>商</w:t>
            </w:r>
            <w:r>
              <w:rPr>
                <w:rFonts w:hint="eastAsia" w:ascii="宋体" w:hAnsi="宋体" w:cs="宋体"/>
                <w:sz w:val="24"/>
                <w:szCs w:val="24"/>
              </w:rPr>
              <w:t>全称</w:t>
            </w:r>
          </w:p>
        </w:tc>
        <w:tc>
          <w:tcPr>
            <w:tcW w:w="30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4" w:beforeAutospacing="0" w:after="0" w:afterAutospacing="0" w:line="276" w:lineRule="auto"/>
              <w:ind w:left="380" w:right="140" w:hanging="240"/>
              <w:rPr>
                <w:rFonts w:hint="default" w:ascii="宋体" w:cs="宋体"/>
                <w:sz w:val="24"/>
                <w:szCs w:val="24"/>
              </w:rPr>
            </w:pPr>
            <w:r>
              <w:rPr>
                <w:rFonts w:hint="eastAsia" w:ascii="宋体" w:hAnsi="宋体" w:cs="宋体"/>
                <w:sz w:val="24"/>
                <w:szCs w:val="24"/>
              </w:rPr>
              <w:t>经营场所面积</w:t>
            </w:r>
          </w:p>
        </w:tc>
        <w:tc>
          <w:tcPr>
            <w:tcW w:w="17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tabs>
                <w:tab w:val="left" w:pos="1004"/>
              </w:tabs>
              <w:spacing w:before="43" w:beforeAutospacing="0" w:after="0" w:afterAutospacing="0" w:line="276" w:lineRule="auto"/>
              <w:ind w:left="0" w:right="0"/>
              <w:jc w:val="center"/>
              <w:rPr>
                <w:rFonts w:hint="default" w:ascii="宋体" w:cs="宋体"/>
                <w:sz w:val="24"/>
                <w:szCs w:val="24"/>
              </w:rPr>
            </w:pPr>
            <w:r>
              <w:rPr>
                <w:rFonts w:hint="eastAsia" w:ascii="宋体" w:hAnsi="宋体" w:cs="宋体"/>
                <w:sz w:val="24"/>
                <w:szCs w:val="24"/>
              </w:rPr>
              <w:t>地</w:t>
            </w:r>
            <w:r>
              <w:rPr>
                <w:rFonts w:hint="eastAsia" w:ascii="宋体" w:cs="宋体"/>
                <w:sz w:val="24"/>
                <w:szCs w:val="24"/>
              </w:rPr>
              <w:tab/>
            </w:r>
            <w:r>
              <w:rPr>
                <w:rFonts w:hint="eastAsia" w:ascii="宋体" w:hAnsi="宋体" w:cs="宋体"/>
                <w:sz w:val="24"/>
                <w:szCs w:val="24"/>
              </w:rPr>
              <w:t>址</w:t>
            </w:r>
          </w:p>
        </w:tc>
        <w:tc>
          <w:tcPr>
            <w:tcW w:w="30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3" w:beforeAutospacing="0" w:after="0" w:afterAutospacing="0" w:line="276" w:lineRule="auto"/>
              <w:ind w:left="140" w:right="0"/>
              <w:rPr>
                <w:rFonts w:hint="default" w:ascii="宋体" w:cs="宋体"/>
                <w:sz w:val="24"/>
                <w:szCs w:val="24"/>
              </w:rPr>
            </w:pPr>
            <w:r>
              <w:rPr>
                <w:rFonts w:hint="eastAsia" w:ascii="宋体" w:hAnsi="宋体" w:cs="宋体"/>
                <w:sz w:val="24"/>
                <w:szCs w:val="24"/>
              </w:rPr>
              <w:t>法人代表</w:t>
            </w:r>
          </w:p>
        </w:tc>
        <w:tc>
          <w:tcPr>
            <w:tcW w:w="17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3" w:beforeAutospacing="0" w:after="0" w:afterAutospacing="0" w:line="276" w:lineRule="auto"/>
              <w:ind w:left="0" w:right="0"/>
              <w:jc w:val="center"/>
              <w:rPr>
                <w:rFonts w:hint="default" w:ascii="宋体" w:cs="宋体"/>
                <w:sz w:val="24"/>
                <w:szCs w:val="24"/>
              </w:rPr>
            </w:pPr>
            <w:r>
              <w:rPr>
                <w:rFonts w:hint="eastAsia" w:ascii="宋体" w:hAnsi="宋体" w:cs="宋体"/>
                <w:sz w:val="24"/>
                <w:szCs w:val="24"/>
              </w:rPr>
              <w:t>成立时间</w:t>
            </w:r>
          </w:p>
        </w:tc>
        <w:tc>
          <w:tcPr>
            <w:tcW w:w="30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3" w:beforeAutospacing="0" w:after="0" w:afterAutospacing="0" w:line="276" w:lineRule="auto"/>
              <w:ind w:left="140" w:right="0"/>
              <w:rPr>
                <w:rFonts w:hint="default" w:ascii="宋体" w:cs="宋体"/>
                <w:sz w:val="24"/>
                <w:szCs w:val="24"/>
              </w:rPr>
            </w:pPr>
            <w:r>
              <w:rPr>
                <w:rFonts w:hint="eastAsia" w:ascii="宋体" w:hAnsi="宋体" w:cs="宋体"/>
                <w:sz w:val="24"/>
                <w:szCs w:val="24"/>
              </w:rPr>
              <w:t>注册资金</w:t>
            </w:r>
          </w:p>
        </w:tc>
        <w:tc>
          <w:tcPr>
            <w:tcW w:w="17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3" w:beforeAutospacing="0" w:after="0" w:afterAutospacing="0" w:line="276" w:lineRule="auto"/>
              <w:ind w:left="0" w:right="0"/>
              <w:jc w:val="center"/>
              <w:rPr>
                <w:rFonts w:hint="default" w:ascii="宋体" w:cs="宋体"/>
                <w:sz w:val="24"/>
                <w:szCs w:val="24"/>
              </w:rPr>
            </w:pPr>
            <w:r>
              <w:rPr>
                <w:rFonts w:hint="eastAsia" w:ascii="宋体" w:hAnsi="宋体" w:cs="宋体"/>
                <w:sz w:val="24"/>
                <w:szCs w:val="24"/>
              </w:rPr>
              <w:t>经营范围</w:t>
            </w:r>
          </w:p>
        </w:tc>
        <w:tc>
          <w:tcPr>
            <w:tcW w:w="61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spacing w:before="40" w:beforeAutospacing="0" w:after="0" w:afterAutospacing="0" w:line="276" w:lineRule="auto"/>
              <w:ind w:left="0" w:right="-11"/>
              <w:jc w:val="center"/>
              <w:rPr>
                <w:rFonts w:hint="default" w:ascii="宋体" w:cs="宋体"/>
                <w:sz w:val="24"/>
                <w:szCs w:val="24"/>
              </w:rPr>
            </w:pPr>
            <w:r>
              <w:rPr>
                <w:rFonts w:hint="eastAsia"/>
                <w:sz w:val="24"/>
                <w:szCs w:val="24"/>
              </w:rPr>
              <w:t>近三年的奖励情况</w:t>
            </w:r>
          </w:p>
        </w:tc>
        <w:tc>
          <w:tcPr>
            <w:tcW w:w="61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8"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sz w:val="24"/>
                <w:szCs w:val="24"/>
              </w:rPr>
            </w:pPr>
            <w:r>
              <w:rPr>
                <w:rFonts w:hint="eastAsia"/>
                <w:sz w:val="24"/>
                <w:szCs w:val="24"/>
              </w:rPr>
              <w:t>近三年在政府招标采购及行业集中采购活动中是否有违法、违约记录</w:t>
            </w:r>
          </w:p>
        </w:tc>
        <w:tc>
          <w:tcPr>
            <w:tcW w:w="6152" w:type="dxa"/>
            <w:gridSpan w:val="3"/>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exact"/>
        </w:trPr>
        <w:tc>
          <w:tcPr>
            <w:tcW w:w="22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sz w:val="24"/>
                <w:szCs w:val="24"/>
              </w:rPr>
            </w:pPr>
            <w:r>
              <w:rPr>
                <w:rFonts w:hint="eastAsia"/>
                <w:sz w:val="24"/>
                <w:szCs w:val="24"/>
              </w:rPr>
              <w:t>近三年是否有受到行业协会处罚或存在争议事项说明</w:t>
            </w:r>
          </w:p>
        </w:tc>
        <w:tc>
          <w:tcPr>
            <w:tcW w:w="6152" w:type="dxa"/>
            <w:gridSpan w:val="3"/>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6" w:hRule="exact"/>
        </w:trPr>
        <w:tc>
          <w:tcPr>
            <w:tcW w:w="2258"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sz w:val="24"/>
                <w:szCs w:val="24"/>
              </w:rPr>
            </w:pPr>
            <w:r>
              <w:rPr>
                <w:rFonts w:hint="eastAsia"/>
                <w:sz w:val="24"/>
                <w:szCs w:val="24"/>
              </w:rPr>
              <w:t>近三年所承担的项目是否出现过重大事故</w:t>
            </w:r>
          </w:p>
        </w:tc>
        <w:tc>
          <w:tcPr>
            <w:tcW w:w="615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sz w:val="24"/>
                <w:szCs w:val="24"/>
              </w:rPr>
            </w:pPr>
          </w:p>
        </w:tc>
      </w:tr>
    </w:tbl>
    <w:p>
      <w:pPr>
        <w:pStyle w:val="18"/>
        <w:spacing w:line="276" w:lineRule="auto"/>
        <w:rPr>
          <w:rFonts w:hAnsi="宋体" w:cs="宋体"/>
          <w:sz w:val="24"/>
        </w:rPr>
      </w:pPr>
      <w:r>
        <w:rPr>
          <w:rFonts w:hint="eastAsia" w:hAnsi="宋体" w:cs="宋体"/>
          <w:sz w:val="24"/>
        </w:rPr>
        <w:t>注：供应商所述奖励情况须提供相应证明文件（加盖单位公章）的复印件。</w:t>
      </w:r>
    </w:p>
    <w:p>
      <w:pPr>
        <w:spacing w:line="276" w:lineRule="auto"/>
        <w:ind w:right="360"/>
        <w:jc w:val="right"/>
        <w:rPr>
          <w:rFonts w:hAnsi="宋体" w:cs="宋体"/>
          <w:sz w:val="24"/>
          <w:szCs w:val="24"/>
        </w:rPr>
      </w:pPr>
    </w:p>
    <w:p>
      <w:pPr>
        <w:spacing w:line="276" w:lineRule="auto"/>
        <w:ind w:right="840" w:firstLine="4800" w:firstLineChars="2000"/>
        <w:jc w:val="both"/>
        <w:rPr>
          <w:rFonts w:hAnsi="宋体" w:cs="宋体"/>
          <w:sz w:val="24"/>
          <w:szCs w:val="24"/>
        </w:rPr>
      </w:pPr>
      <w:r>
        <w:rPr>
          <w:rFonts w:hint="eastAsia" w:hAnsi="宋体" w:cs="宋体"/>
          <w:sz w:val="24"/>
          <w:szCs w:val="24"/>
        </w:rPr>
        <w:t>供应商授权代表（签字）</w:t>
      </w:r>
      <w:r>
        <w:rPr>
          <w:rFonts w:hAnsi="宋体" w:cs="宋体"/>
          <w:sz w:val="24"/>
          <w:szCs w:val="24"/>
        </w:rPr>
        <w:t>:</w:t>
      </w:r>
    </w:p>
    <w:p>
      <w:pPr>
        <w:spacing w:line="276" w:lineRule="auto"/>
        <w:ind w:firstLine="4800" w:firstLineChars="2000"/>
        <w:rPr>
          <w:rFonts w:hAnsi="宋体" w:cs="宋体"/>
          <w:sz w:val="24"/>
          <w:szCs w:val="24"/>
        </w:rPr>
      </w:pPr>
      <w:r>
        <w:rPr>
          <w:rFonts w:hint="eastAsia" w:hAnsi="宋体" w:cs="宋体"/>
          <w:sz w:val="24"/>
          <w:szCs w:val="24"/>
        </w:rPr>
        <w:t>供应商（盖章）：</w:t>
      </w:r>
    </w:p>
    <w:p>
      <w:pPr>
        <w:spacing w:line="276" w:lineRule="auto"/>
        <w:ind w:firstLine="4800" w:firstLineChars="2000"/>
        <w:rPr>
          <w:rFonts w:ascii="仿宋" w:hAnsi="仿宋" w:eastAsia="仿宋"/>
          <w:sz w:val="24"/>
        </w:rPr>
      </w:pPr>
      <w:r>
        <w:rPr>
          <w:rFonts w:hint="eastAsia" w:hAnsi="宋体" w:cs="宋体"/>
          <w:sz w:val="24"/>
          <w:szCs w:val="24"/>
        </w:rPr>
        <w:t>时间：</w:t>
      </w:r>
    </w:p>
    <w:p>
      <w:pPr>
        <w:spacing w:line="276" w:lineRule="auto"/>
        <w:rPr>
          <w:rFonts w:hAnsi="宋体" w:cs="宋体"/>
          <w:sz w:val="24"/>
        </w:rPr>
      </w:pPr>
    </w:p>
    <w:p>
      <w:pPr>
        <w:pStyle w:val="18"/>
        <w:spacing w:line="276" w:lineRule="auto"/>
        <w:rPr>
          <w:b/>
          <w:sz w:val="24"/>
        </w:rPr>
      </w:pPr>
    </w:p>
    <w:p>
      <w:pPr>
        <w:pStyle w:val="18"/>
        <w:spacing w:line="276" w:lineRule="auto"/>
        <w:rPr>
          <w:b/>
          <w:sz w:val="24"/>
        </w:rPr>
      </w:pPr>
    </w:p>
    <w:p>
      <w:pPr>
        <w:pStyle w:val="18"/>
        <w:spacing w:line="276" w:lineRule="auto"/>
        <w:rPr>
          <w:b/>
          <w:sz w:val="24"/>
        </w:rPr>
      </w:pPr>
    </w:p>
    <w:p>
      <w:pPr>
        <w:pStyle w:val="18"/>
        <w:spacing w:line="276" w:lineRule="auto"/>
        <w:rPr>
          <w:b/>
          <w:sz w:val="24"/>
        </w:rPr>
      </w:pPr>
    </w:p>
    <w:p>
      <w:pPr>
        <w:pStyle w:val="18"/>
        <w:spacing w:line="276" w:lineRule="auto"/>
        <w:rPr>
          <w:b/>
          <w:sz w:val="24"/>
        </w:rPr>
      </w:pPr>
    </w:p>
    <w:p>
      <w:pPr>
        <w:keepNext/>
        <w:keepLines/>
        <w:spacing w:before="260" w:after="260" w:line="276" w:lineRule="auto"/>
        <w:jc w:val="left"/>
        <w:outlineLvl w:val="1"/>
        <w:rPr>
          <w:b/>
          <w:sz w:val="24"/>
        </w:rPr>
      </w:pPr>
      <w:r>
        <w:rPr>
          <w:rFonts w:hint="eastAsia"/>
          <w:b/>
          <w:sz w:val="24"/>
        </w:rPr>
        <w:t>附件六：</w:t>
      </w:r>
    </w:p>
    <w:p>
      <w:pPr>
        <w:pStyle w:val="18"/>
        <w:spacing w:line="276" w:lineRule="auto"/>
        <w:rPr>
          <w:rFonts w:hAnsi="宋体" w:cs="宋体"/>
          <w:sz w:val="24"/>
        </w:rPr>
      </w:pPr>
      <w:r>
        <w:rPr>
          <w:rFonts w:hint="eastAsia" w:hAnsi="宋体" w:cs="宋体"/>
          <w:sz w:val="24"/>
        </w:rPr>
        <w:t>资格证明文件</w:t>
      </w:r>
    </w:p>
    <w:p>
      <w:pPr>
        <w:pStyle w:val="18"/>
        <w:spacing w:line="276" w:lineRule="auto"/>
        <w:rPr>
          <w:b/>
          <w:sz w:val="24"/>
        </w:rPr>
      </w:pPr>
    </w:p>
    <w:p>
      <w:pPr>
        <w:pStyle w:val="18"/>
        <w:spacing w:line="276" w:lineRule="auto"/>
        <w:jc w:val="center"/>
        <w:rPr>
          <w:rFonts w:hAnsi="宋体" w:cs="宋体"/>
          <w:sz w:val="24"/>
        </w:rPr>
      </w:pPr>
      <w:r>
        <w:rPr>
          <w:rFonts w:hint="eastAsia" w:hAnsi="宋体" w:cs="宋体"/>
          <w:sz w:val="24"/>
        </w:rPr>
        <w:t>注：以上证明文件须提供加盖单位公章的复印件。</w:t>
      </w: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Pr>
        <w:pStyle w:val="12"/>
        <w:ind w:left="0"/>
      </w:pPr>
    </w:p>
    <w:p/>
    <w:p>
      <w:pPr>
        <w:pStyle w:val="12"/>
        <w:ind w:left="0"/>
      </w:pPr>
    </w:p>
    <w:p/>
    <w:p>
      <w:pPr>
        <w:pStyle w:val="12"/>
        <w:ind w:left="0"/>
      </w:pPr>
    </w:p>
    <w:p>
      <w:pPr>
        <w:pStyle w:val="12"/>
        <w:ind w:left="0"/>
      </w:pPr>
    </w:p>
    <w:p/>
    <w:p>
      <w:pPr>
        <w:pStyle w:val="12"/>
        <w:ind w:left="0"/>
      </w:pPr>
    </w:p>
    <w:p/>
    <w:p>
      <w:pPr>
        <w:pStyle w:val="12"/>
        <w:ind w:left="0"/>
      </w:pPr>
    </w:p>
    <w:p>
      <w:pPr>
        <w:pStyle w:val="12"/>
        <w:ind w:left="0"/>
      </w:pPr>
    </w:p>
    <w:p>
      <w:pPr>
        <w:pStyle w:val="12"/>
        <w:ind w:left="0"/>
      </w:pPr>
    </w:p>
    <w:p/>
    <w:p>
      <w:pPr>
        <w:pStyle w:val="12"/>
      </w:pPr>
    </w:p>
    <w:p>
      <w:pPr>
        <w:pStyle w:val="12"/>
        <w:ind w:left="0"/>
      </w:pPr>
    </w:p>
    <w:p>
      <w:pPr>
        <w:pStyle w:val="12"/>
        <w:ind w:left="0"/>
      </w:pPr>
    </w:p>
    <w:p>
      <w:pPr>
        <w:pStyle w:val="12"/>
        <w:ind w:left="0"/>
      </w:pPr>
    </w:p>
    <w:p>
      <w:pPr>
        <w:pStyle w:val="12"/>
        <w:ind w:left="0"/>
      </w:pPr>
    </w:p>
    <w:p>
      <w:pPr>
        <w:pStyle w:val="12"/>
        <w:ind w:left="0"/>
      </w:pPr>
    </w:p>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jc w:val="left"/>
        <w:rPr>
          <w:rFonts w:ascii="宋体" w:hAnsi="宋体" w:cs="宋体"/>
          <w:sz w:val="24"/>
          <w:szCs w:val="24"/>
        </w:rPr>
      </w:pPr>
    </w:p>
    <w:p>
      <w:pPr>
        <w:keepNext/>
        <w:keepLines/>
        <w:spacing w:before="260" w:after="260" w:line="276" w:lineRule="auto"/>
        <w:jc w:val="left"/>
        <w:outlineLvl w:val="1"/>
        <w:rPr>
          <w:b/>
          <w:sz w:val="24"/>
        </w:rPr>
      </w:pPr>
      <w:r>
        <w:rPr>
          <w:rFonts w:hint="eastAsia"/>
          <w:b/>
          <w:sz w:val="24"/>
        </w:rPr>
        <w:t>附件七：</w:t>
      </w:r>
    </w:p>
    <w:p>
      <w:pPr>
        <w:spacing w:line="276" w:lineRule="auto"/>
        <w:jc w:val="center"/>
        <w:rPr>
          <w:b/>
          <w:bCs/>
          <w:sz w:val="32"/>
          <w:szCs w:val="32"/>
        </w:rPr>
      </w:pPr>
      <w:r>
        <w:rPr>
          <w:rFonts w:hint="eastAsia"/>
          <w:b/>
          <w:bCs/>
          <w:sz w:val="32"/>
          <w:szCs w:val="32"/>
        </w:rPr>
        <w:t>供应商完成的类似项目情况表</w:t>
      </w:r>
    </w:p>
    <w:tbl>
      <w:tblPr>
        <w:tblStyle w:val="37"/>
        <w:tblW w:w="8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1"/>
        <w:gridCol w:w="1578"/>
        <w:gridCol w:w="1845"/>
        <w:gridCol w:w="1445"/>
        <w:gridCol w:w="1368"/>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exact"/>
          <w:jc w:val="center"/>
        </w:trPr>
        <w:tc>
          <w:tcPr>
            <w:tcW w:w="1581"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sz w:val="24"/>
                <w:szCs w:val="24"/>
              </w:rPr>
            </w:pPr>
            <w:r>
              <w:rPr>
                <w:rFonts w:hint="eastAsia" w:hAnsi="宋体" w:cs="微软雅黑"/>
                <w:spacing w:val="-1"/>
                <w:sz w:val="24"/>
                <w:szCs w:val="24"/>
              </w:rPr>
              <w:t>合</w:t>
            </w:r>
            <w:r>
              <w:rPr>
                <w:rFonts w:hint="eastAsia" w:hAnsi="宋体" w:cs="微软雅黑"/>
                <w:spacing w:val="2"/>
                <w:sz w:val="24"/>
                <w:szCs w:val="24"/>
              </w:rPr>
              <w:t>同</w:t>
            </w:r>
            <w:r>
              <w:rPr>
                <w:rFonts w:hint="eastAsia" w:hAnsi="宋体" w:cs="微软雅黑"/>
                <w:spacing w:val="-1"/>
                <w:sz w:val="24"/>
                <w:szCs w:val="24"/>
              </w:rPr>
              <w:t>单</w:t>
            </w:r>
            <w:r>
              <w:rPr>
                <w:rFonts w:hint="eastAsia" w:hAnsi="宋体" w:cs="微软雅黑"/>
                <w:spacing w:val="2"/>
                <w:sz w:val="24"/>
                <w:szCs w:val="24"/>
              </w:rPr>
              <w:t>位</w:t>
            </w:r>
            <w:r>
              <w:rPr>
                <w:rFonts w:hint="eastAsia" w:hAnsi="宋体" w:cs="微软雅黑"/>
                <w:spacing w:val="-1"/>
                <w:sz w:val="24"/>
                <w:szCs w:val="24"/>
              </w:rPr>
              <w:t>名</w:t>
            </w:r>
            <w:r>
              <w:rPr>
                <w:rFonts w:hint="eastAsia" w:hAnsi="宋体" w:cs="微软雅黑"/>
                <w:sz w:val="24"/>
                <w:szCs w:val="24"/>
              </w:rPr>
              <w:t>称</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签订合同</w:t>
            </w:r>
          </w:p>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时间</w:t>
            </w: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同类项目名称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项目概况</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合同金额</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73"/>
              <w:keepNext w:val="0"/>
              <w:keepLines w:val="0"/>
              <w:suppressLineNumbers w:val="0"/>
              <w:kinsoku w:val="0"/>
              <w:overflowPunct w:val="0"/>
              <w:spacing w:before="0" w:beforeAutospacing="0" w:after="0" w:afterAutospacing="0" w:line="276" w:lineRule="auto"/>
              <w:ind w:left="0" w:right="0"/>
              <w:jc w:val="center"/>
              <w:rPr>
                <w:rFonts w:hint="default" w:hAnsi="宋体" w:cs="微软雅黑"/>
                <w:spacing w:val="2"/>
                <w:sz w:val="24"/>
                <w:szCs w:val="24"/>
              </w:rPr>
            </w:pPr>
            <w:r>
              <w:rPr>
                <w:rFonts w:hint="eastAsia" w:hAnsi="宋体" w:cs="微软雅黑"/>
                <w:spacing w:val="2"/>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exact"/>
          <w:jc w:val="center"/>
        </w:trPr>
        <w:tc>
          <w:tcPr>
            <w:tcW w:w="158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8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44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136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c>
          <w:tcPr>
            <w:tcW w:w="81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276" w:lineRule="auto"/>
              <w:ind w:left="0" w:right="0"/>
              <w:rPr>
                <w:rFonts w:hint="default" w:hAnsi="宋体"/>
                <w:sz w:val="24"/>
                <w:szCs w:val="24"/>
              </w:rPr>
            </w:pPr>
          </w:p>
        </w:tc>
      </w:tr>
    </w:tbl>
    <w:p>
      <w:pPr>
        <w:kinsoku w:val="0"/>
        <w:overflowPunct w:val="0"/>
        <w:spacing w:before="5" w:line="276" w:lineRule="auto"/>
      </w:pPr>
    </w:p>
    <w:p>
      <w:pPr>
        <w:pStyle w:val="73"/>
        <w:kinsoku w:val="0"/>
        <w:overflowPunct w:val="0"/>
        <w:spacing w:line="276" w:lineRule="auto"/>
        <w:ind w:right="2"/>
        <w:rPr>
          <w:rFonts w:ascii="宋体" w:cs="宋体"/>
          <w:spacing w:val="-1"/>
          <w:sz w:val="24"/>
          <w:szCs w:val="24"/>
        </w:rPr>
      </w:pPr>
      <w:r>
        <w:rPr>
          <w:rFonts w:hint="eastAsia" w:ascii="宋体" w:hAnsi="宋体" w:cs="宋体"/>
          <w:spacing w:val="-1"/>
          <w:sz w:val="24"/>
          <w:szCs w:val="24"/>
        </w:rPr>
        <w:t>注：</w:t>
      </w:r>
      <w:r>
        <w:rPr>
          <w:rFonts w:ascii="宋体" w:hAnsi="宋体" w:cs="宋体"/>
          <w:spacing w:val="-1"/>
          <w:sz w:val="24"/>
          <w:szCs w:val="24"/>
        </w:rPr>
        <w:t>1</w:t>
      </w:r>
      <w:r>
        <w:rPr>
          <w:rFonts w:hint="eastAsia" w:ascii="宋体" w:hAnsi="宋体" w:cs="宋体"/>
          <w:spacing w:val="-1"/>
          <w:sz w:val="24"/>
          <w:szCs w:val="24"/>
        </w:rPr>
        <w:t>、供应商应提供已完成的类似项目情况。</w:t>
      </w:r>
    </w:p>
    <w:p>
      <w:pPr>
        <w:pStyle w:val="73"/>
        <w:kinsoku w:val="0"/>
        <w:overflowPunct w:val="0"/>
        <w:spacing w:line="276" w:lineRule="auto"/>
        <w:ind w:right="2" w:firstLine="476" w:firstLineChars="200"/>
        <w:rPr>
          <w:rFonts w:ascii="宋体" w:cs="宋体"/>
          <w:spacing w:val="-1"/>
          <w:sz w:val="24"/>
          <w:szCs w:val="24"/>
        </w:rPr>
      </w:pPr>
      <w:r>
        <w:rPr>
          <w:rFonts w:ascii="宋体" w:hAnsi="宋体" w:cs="宋体"/>
          <w:spacing w:val="-1"/>
          <w:sz w:val="24"/>
          <w:szCs w:val="24"/>
        </w:rPr>
        <w:t>2</w:t>
      </w:r>
      <w:r>
        <w:rPr>
          <w:rFonts w:hint="eastAsia" w:ascii="宋体" w:hAnsi="宋体" w:cs="宋体"/>
          <w:spacing w:val="-1"/>
          <w:sz w:val="24"/>
          <w:szCs w:val="24"/>
        </w:rPr>
        <w:t>、本表应附相关证明材料。</w:t>
      </w:r>
    </w:p>
    <w:p>
      <w:pPr>
        <w:keepNext/>
        <w:keepLines/>
        <w:spacing w:before="260" w:after="260" w:line="276" w:lineRule="auto"/>
        <w:jc w:val="left"/>
        <w:outlineLvl w:val="1"/>
        <w:rPr>
          <w:b/>
          <w:sz w:val="24"/>
        </w:rPr>
      </w:pPr>
      <w:r>
        <w:rPr>
          <w:b/>
          <w:sz w:val="24"/>
        </w:rPr>
        <w:br w:type="page"/>
      </w:r>
      <w:r>
        <w:rPr>
          <w:rFonts w:hint="eastAsia" w:ascii="Times New Roman" w:hAnsi="Times New Roman" w:cs="Times New Roman"/>
          <w:b/>
          <w:sz w:val="24"/>
        </w:rPr>
        <w:t>附件八：</w:t>
      </w:r>
    </w:p>
    <w:p>
      <w:pPr>
        <w:spacing w:line="240" w:lineRule="atLeast"/>
        <w:jc w:val="center"/>
        <w:rPr>
          <w:rFonts w:hAnsi="宋体" w:cs="宋体"/>
          <w:b/>
          <w:bCs/>
          <w:sz w:val="32"/>
          <w:szCs w:val="32"/>
          <w:lang w:val="zh-CN"/>
        </w:rPr>
      </w:pPr>
      <w:r>
        <w:rPr>
          <w:rFonts w:hint="eastAsia" w:hAnsi="宋体" w:cs="宋体"/>
          <w:b/>
          <w:bCs/>
          <w:sz w:val="32"/>
          <w:szCs w:val="32"/>
          <w:lang w:val="zh-CN"/>
        </w:rPr>
        <w:t>技术文件</w:t>
      </w:r>
    </w:p>
    <w:p/>
    <w:p/>
    <w:p/>
    <w:p/>
    <w:p/>
    <w:p/>
    <w:p/>
    <w:p/>
    <w:p/>
    <w:p/>
    <w:p/>
    <w:p/>
    <w:p/>
    <w:p/>
    <w:p/>
    <w:p/>
    <w:p/>
    <w:p/>
    <w:p/>
    <w:p/>
    <w:p/>
    <w:p/>
    <w:p/>
    <w:p/>
    <w:p/>
    <w:p/>
    <w:p/>
    <w:p/>
    <w:p/>
    <w:p/>
    <w:p/>
    <w:p/>
    <w:p/>
    <w:p/>
    <w:p/>
    <w:p/>
    <w:p/>
    <w:p/>
    <w:p/>
    <w:p>
      <w:pPr>
        <w:tabs>
          <w:tab w:val="left" w:pos="1365"/>
        </w:tabs>
        <w:spacing w:line="276" w:lineRule="auto"/>
        <w:outlineLvl w:val="1"/>
        <w:rPr>
          <w:b/>
          <w:sz w:val="24"/>
        </w:rPr>
      </w:pPr>
      <w:r>
        <w:rPr>
          <w:rFonts w:hint="eastAsia"/>
          <w:b/>
          <w:sz w:val="24"/>
        </w:rPr>
        <w:t>附件九：</w:t>
      </w:r>
    </w:p>
    <w:p>
      <w:pPr>
        <w:pStyle w:val="12"/>
        <w:spacing w:line="276" w:lineRule="auto"/>
        <w:ind w:left="0"/>
        <w:jc w:val="center"/>
        <w:rPr>
          <w:rFonts w:hint="eastAsia"/>
          <w:b/>
          <w:sz w:val="32"/>
          <w:szCs w:val="32"/>
        </w:rPr>
      </w:pPr>
      <w:r>
        <w:rPr>
          <w:rFonts w:hint="eastAsia"/>
          <w:b/>
          <w:sz w:val="32"/>
          <w:szCs w:val="32"/>
        </w:rPr>
        <w:t>供应商认为需要提供的其他资料</w:t>
      </w:r>
    </w:p>
    <w:p>
      <w:pPr>
        <w:rPr>
          <w:rFonts w:hint="eastAsia"/>
          <w:b/>
          <w:sz w:val="32"/>
          <w:szCs w:val="32"/>
        </w:rPr>
      </w:pPr>
      <w:r>
        <w:rPr>
          <w:rFonts w:hint="eastAsia"/>
          <w:b/>
          <w:sz w:val="32"/>
          <w:szCs w:val="32"/>
        </w:rPr>
        <w:br w:type="page"/>
      </w:r>
    </w:p>
    <w:p>
      <w:pPr>
        <w:tabs>
          <w:tab w:val="left" w:pos="1365"/>
        </w:tabs>
        <w:spacing w:line="276" w:lineRule="auto"/>
        <w:outlineLvl w:val="1"/>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附件十：</w:t>
      </w:r>
    </w:p>
    <w:p>
      <w:pPr>
        <w:spacing w:line="360" w:lineRule="auto"/>
        <w:jc w:val="left"/>
        <w:outlineLvl w:val="9"/>
        <w:rPr>
          <w:rFonts w:hint="eastAsia" w:hAnsi="宋体" w:cs="宋体"/>
          <w:sz w:val="24"/>
          <w:szCs w:val="24"/>
        </w:rPr>
      </w:pPr>
      <w:r>
        <w:rPr>
          <w:rFonts w:hint="eastAsia" w:hAnsi="宋体" w:cs="宋体"/>
          <w:sz w:val="24"/>
          <w:szCs w:val="24"/>
        </w:rPr>
        <w:t>附《湖北机场集团“供应商不良行为”管理办法》承诺书格式：</w:t>
      </w:r>
    </w:p>
    <w:p>
      <w:pPr>
        <w:spacing w:line="360" w:lineRule="auto"/>
        <w:jc w:val="center"/>
        <w:rPr>
          <w:rFonts w:hint="eastAsia" w:hAnsi="宋体" w:cs="宋体"/>
          <w:b/>
          <w:bCs/>
          <w:sz w:val="32"/>
          <w:szCs w:val="32"/>
        </w:rPr>
      </w:pPr>
      <w:r>
        <w:rPr>
          <w:rFonts w:hint="eastAsia" w:hAnsi="宋体" w:cs="宋体"/>
          <w:b/>
          <w:bCs/>
          <w:sz w:val="32"/>
          <w:szCs w:val="32"/>
        </w:rPr>
        <w:t>承诺书</w:t>
      </w:r>
    </w:p>
    <w:p>
      <w:pPr>
        <w:spacing w:line="360" w:lineRule="auto"/>
        <w:jc w:val="left"/>
        <w:rPr>
          <w:rFonts w:hint="eastAsia" w:hAnsi="宋体" w:cs="宋体"/>
          <w:sz w:val="24"/>
          <w:szCs w:val="24"/>
        </w:rPr>
      </w:pPr>
      <w:r>
        <w:rPr>
          <w:rFonts w:hint="eastAsia" w:hAnsi="宋体" w:cs="宋体"/>
          <w:sz w:val="24"/>
          <w:szCs w:val="24"/>
        </w:rPr>
        <w:t>采购人</w:t>
      </w:r>
      <w:r>
        <w:rPr>
          <w:rFonts w:hAnsi="宋体" w:cs="宋体"/>
          <w:sz w:val="24"/>
          <w:szCs w:val="24"/>
        </w:rPr>
        <w:t>：</w:t>
      </w:r>
    </w:p>
    <w:p>
      <w:pPr>
        <w:spacing w:line="360" w:lineRule="auto"/>
        <w:jc w:val="left"/>
        <w:rPr>
          <w:rFonts w:hint="eastAsia" w:hAnsi="宋体" w:cs="宋体"/>
          <w:sz w:val="24"/>
          <w:szCs w:val="24"/>
        </w:rPr>
      </w:pPr>
    </w:p>
    <w:p>
      <w:pPr>
        <w:spacing w:line="360" w:lineRule="auto"/>
        <w:ind w:firstLine="480" w:firstLineChars="200"/>
        <w:jc w:val="left"/>
        <w:rPr>
          <w:rFonts w:hint="eastAsia" w:hAnsi="宋体" w:cs="宋体"/>
          <w:sz w:val="24"/>
          <w:szCs w:val="24"/>
        </w:rPr>
      </w:pPr>
      <w:r>
        <w:rPr>
          <w:rFonts w:hint="eastAsia" w:hAnsi="宋体" w:cs="宋体"/>
          <w:sz w:val="24"/>
          <w:szCs w:val="24"/>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办法》的规定，现针对《湖北机场集团“供应商不良行为”管理办法》作如下承诺：</w:t>
      </w:r>
    </w:p>
    <w:p>
      <w:pPr>
        <w:spacing w:line="360" w:lineRule="auto"/>
        <w:jc w:val="left"/>
        <w:rPr>
          <w:rFonts w:hint="eastAsia" w:hAnsi="宋体" w:cs="宋体"/>
          <w:sz w:val="24"/>
          <w:szCs w:val="24"/>
        </w:rPr>
      </w:pPr>
      <w:r>
        <w:rPr>
          <w:rFonts w:hAnsi="宋体" w:cs="宋体"/>
          <w:sz w:val="24"/>
          <w:szCs w:val="24"/>
        </w:rPr>
        <w:t>1、我单位不得采取不正当手段诋毁、排挤其他供应商或故意以虚构事实等方式进行投诉。</w:t>
      </w:r>
    </w:p>
    <w:p>
      <w:pPr>
        <w:spacing w:line="360" w:lineRule="auto"/>
        <w:jc w:val="left"/>
        <w:rPr>
          <w:rFonts w:hint="eastAsia" w:hAnsi="宋体" w:cs="宋体"/>
          <w:sz w:val="24"/>
          <w:szCs w:val="24"/>
        </w:rPr>
      </w:pPr>
      <w:r>
        <w:rPr>
          <w:rFonts w:hAnsi="宋体" w:cs="宋体"/>
          <w:sz w:val="24"/>
          <w:szCs w:val="24"/>
        </w:rPr>
        <w:t>2、不得向集团从事招标采购工作的各类相关工作人员、集团委托的招标代理机构等行贿或者提供其他不正当利益。</w:t>
      </w:r>
    </w:p>
    <w:p>
      <w:pPr>
        <w:spacing w:line="360" w:lineRule="auto"/>
        <w:jc w:val="left"/>
        <w:rPr>
          <w:rFonts w:hint="eastAsia" w:hAnsi="宋体" w:cs="宋体"/>
          <w:sz w:val="24"/>
          <w:szCs w:val="24"/>
        </w:rPr>
      </w:pPr>
      <w:r>
        <w:rPr>
          <w:rFonts w:hAnsi="宋体" w:cs="宋体"/>
          <w:sz w:val="24"/>
          <w:szCs w:val="24"/>
        </w:rPr>
        <w:t>3、不得串通采购人、其他供应商或集团委托的招标代理机构进行投标、围标和竞价，干扰正常招标采购秩序的。</w:t>
      </w:r>
    </w:p>
    <w:p>
      <w:pPr>
        <w:spacing w:line="360" w:lineRule="auto"/>
        <w:jc w:val="left"/>
        <w:rPr>
          <w:rFonts w:hint="eastAsia" w:hAnsi="宋体" w:cs="宋体"/>
          <w:sz w:val="24"/>
          <w:szCs w:val="24"/>
        </w:rPr>
      </w:pPr>
      <w:r>
        <w:rPr>
          <w:rFonts w:hAnsi="宋体" w:cs="宋体"/>
          <w:sz w:val="24"/>
          <w:szCs w:val="24"/>
        </w:rPr>
        <w:t>4、不得非法以他人名义进行投标、竞价或者以其他方式弄虚作假骗取中标（成交）。</w:t>
      </w:r>
    </w:p>
    <w:p>
      <w:pPr>
        <w:spacing w:line="360" w:lineRule="auto"/>
        <w:jc w:val="left"/>
        <w:rPr>
          <w:rFonts w:hint="eastAsia" w:hAnsi="宋体" w:cs="宋体"/>
          <w:sz w:val="24"/>
          <w:szCs w:val="24"/>
        </w:rPr>
      </w:pPr>
      <w:r>
        <w:rPr>
          <w:rFonts w:hAnsi="宋体" w:cs="宋体"/>
          <w:sz w:val="24"/>
          <w:szCs w:val="24"/>
        </w:rPr>
        <w:t>5、中标（成交）后按文件规定要求提交履约保证金。</w:t>
      </w:r>
    </w:p>
    <w:p>
      <w:pPr>
        <w:spacing w:line="360" w:lineRule="auto"/>
        <w:jc w:val="left"/>
        <w:rPr>
          <w:rFonts w:hint="eastAsia" w:ascii="Times New Roman" w:hAnsi="宋体" w:eastAsia="宋体" w:cs="宋体"/>
          <w:sz w:val="24"/>
          <w:szCs w:val="24"/>
        </w:rPr>
      </w:pPr>
      <w:r>
        <w:rPr>
          <w:rFonts w:hAnsi="宋体" w:cs="宋体"/>
          <w:sz w:val="24"/>
          <w:szCs w:val="24"/>
        </w:rPr>
        <w:t>6、中标（成交）后完全按照招标文件（采购文件）和投标文件（响应文件）签</w:t>
      </w:r>
      <w:r>
        <w:rPr>
          <w:rFonts w:ascii="Times New Roman" w:hAnsi="宋体" w:eastAsia="宋体" w:cs="宋体"/>
          <w:sz w:val="24"/>
          <w:szCs w:val="24"/>
        </w:rPr>
        <w:t>订合同，不得要求与采购人另行签订背离合同实质性内容协议。</w:t>
      </w:r>
    </w:p>
    <w:p>
      <w:pPr>
        <w:spacing w:line="360" w:lineRule="auto"/>
        <w:jc w:val="left"/>
        <w:rPr>
          <w:rFonts w:hint="eastAsia" w:ascii="Times New Roman" w:hAnsi="宋体" w:eastAsia="宋体" w:cs="宋体"/>
          <w:sz w:val="24"/>
          <w:szCs w:val="24"/>
        </w:rPr>
      </w:pPr>
      <w:r>
        <w:rPr>
          <w:rFonts w:ascii="Times New Roman" w:hAnsi="宋体" w:eastAsia="宋体" w:cs="宋体"/>
          <w:sz w:val="24"/>
          <w:szCs w:val="24"/>
        </w:rPr>
        <w:t>7、合同签订后，无正当理由不得拒不履行或者拖延履行采购合同义务。</w:t>
      </w:r>
    </w:p>
    <w:p>
      <w:pPr>
        <w:spacing w:line="360" w:lineRule="auto"/>
        <w:jc w:val="left"/>
        <w:rPr>
          <w:rFonts w:hint="eastAsia" w:ascii="Times New Roman" w:hAnsi="宋体" w:eastAsia="宋体" w:cs="宋体"/>
          <w:sz w:val="24"/>
          <w:szCs w:val="24"/>
        </w:rPr>
      </w:pPr>
      <w:r>
        <w:rPr>
          <w:rFonts w:ascii="Times New Roman" w:hAnsi="宋体" w:eastAsia="宋体" w:cs="宋体"/>
          <w:sz w:val="24"/>
          <w:szCs w:val="24"/>
        </w:rPr>
        <w:t>8、不得将中标（成交）项目转让（转包）给他人，或者违反招标文件（采购文件）规定，擅自将中标（成交）项目分包给他人。</w:t>
      </w:r>
    </w:p>
    <w:p>
      <w:pPr>
        <w:spacing w:line="360" w:lineRule="auto"/>
        <w:jc w:val="left"/>
        <w:rPr>
          <w:rFonts w:hint="eastAsia" w:ascii="Times New Roman" w:hAnsi="宋体" w:eastAsia="宋体" w:cs="宋体"/>
          <w:sz w:val="24"/>
          <w:szCs w:val="24"/>
        </w:rPr>
      </w:pPr>
      <w:r>
        <w:rPr>
          <w:rFonts w:ascii="Times New Roman" w:hAnsi="宋体" w:eastAsia="宋体" w:cs="宋体"/>
          <w:sz w:val="24"/>
          <w:szCs w:val="24"/>
        </w:rPr>
        <w:t>9、不得擅自变更、中止或终止采购合同。</w:t>
      </w:r>
    </w:p>
    <w:p>
      <w:pPr>
        <w:spacing w:line="360" w:lineRule="auto"/>
        <w:jc w:val="left"/>
        <w:rPr>
          <w:rFonts w:hint="eastAsia" w:hAnsi="宋体" w:cs="宋体"/>
          <w:sz w:val="24"/>
          <w:szCs w:val="24"/>
        </w:rPr>
      </w:pPr>
      <w:r>
        <w:rPr>
          <w:rFonts w:ascii="Times New Roman" w:hAnsi="宋体" w:eastAsia="宋体" w:cs="宋体"/>
          <w:sz w:val="24"/>
          <w:szCs w:val="24"/>
        </w:rPr>
        <w:t>10、不得提供虚假材料、虚构事实进行恶意诽谤、诬告、陷害等行为</w:t>
      </w:r>
      <w:r>
        <w:rPr>
          <w:rFonts w:hAnsi="宋体" w:cs="宋体"/>
          <w:sz w:val="24"/>
          <w:szCs w:val="24"/>
        </w:rPr>
        <w:t>。</w:t>
      </w:r>
    </w:p>
    <w:p>
      <w:pPr>
        <w:spacing w:line="360" w:lineRule="auto"/>
        <w:jc w:val="left"/>
        <w:rPr>
          <w:rFonts w:hint="eastAsia" w:hAnsi="宋体" w:cs="宋体"/>
          <w:sz w:val="24"/>
          <w:szCs w:val="24"/>
        </w:rPr>
      </w:pPr>
    </w:p>
    <w:p>
      <w:pPr>
        <w:spacing w:line="360" w:lineRule="auto"/>
        <w:jc w:val="right"/>
        <w:rPr>
          <w:rFonts w:hint="eastAsia" w:hAnsi="宋体" w:cs="宋体"/>
          <w:sz w:val="24"/>
          <w:szCs w:val="24"/>
        </w:rPr>
      </w:pPr>
      <w:r>
        <w:rPr>
          <w:rFonts w:hint="eastAsia" w:hAnsi="宋体" w:cs="宋体"/>
          <w:sz w:val="24"/>
          <w:szCs w:val="24"/>
        </w:rPr>
        <w:t>供应商（盖章）：</w:t>
      </w:r>
      <w:r>
        <w:rPr>
          <w:rFonts w:hAnsi="宋体" w:cs="宋体"/>
          <w:sz w:val="24"/>
          <w:szCs w:val="24"/>
        </w:rPr>
        <w:t xml:space="preserve">     </w:t>
      </w:r>
    </w:p>
    <w:p>
      <w:pPr>
        <w:tabs>
          <w:tab w:val="left" w:pos="1365"/>
        </w:tabs>
        <w:spacing w:line="360" w:lineRule="auto"/>
        <w:jc w:val="right"/>
        <w:outlineLvl w:val="9"/>
        <w:rPr>
          <w:rFonts w:ascii="宋体" w:hAnsi="宋体"/>
          <w:b/>
          <w:sz w:val="28"/>
          <w:szCs w:val="28"/>
        </w:rPr>
      </w:pPr>
      <w:r>
        <w:rPr>
          <w:rFonts w:hAnsi="宋体" w:cs="宋体"/>
          <w:sz w:val="24"/>
          <w:szCs w:val="24"/>
        </w:rPr>
        <w:t xml:space="preserve">  年  月  日</w:t>
      </w:r>
    </w:p>
    <w:p>
      <w:pPr>
        <w:spacing w:line="276" w:lineRule="auto"/>
      </w:pPr>
    </w:p>
    <w:sectPr>
      <w:footerReference r:id="rId12" w:type="default"/>
      <w:pgSz w:w="11906" w:h="16838"/>
      <w:pgMar w:top="1417" w:right="1757" w:bottom="1417" w:left="1757" w:header="907" w:footer="907" w:gutter="0"/>
      <w:pgNumType w:start="3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r>
      <w:rPr>
        <w:rFonts w:ascii="Times New Roman" w:hAnsi="Times New Roman" w:eastAsia="宋体" w:cs="Times New Roman"/>
        <w:kern w:val="2"/>
        <w:sz w:val="24"/>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12"/>
      </w:rPr>
    </w:pPr>
    <w:r>
      <w:rPr>
        <w:rFonts w:ascii="Times New Roman" w:hAnsi="Times New Roman" w:eastAsia="宋体" w:cs="Times New Roman"/>
        <w:kern w:val="0"/>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9766300</wp:posOffset>
              </wp:positionV>
              <wp:extent cx="299720" cy="312420"/>
              <wp:effectExtent l="0" t="0" r="0" b="0"/>
              <wp:wrapNone/>
              <wp:docPr id="3" name="文本框 5"/>
              <wp:cNvGraphicFramePr/>
              <a:graphic xmlns:a="http://schemas.openxmlformats.org/drawingml/2006/main">
                <a:graphicData uri="http://schemas.microsoft.com/office/word/2010/wordprocessingShape">
                  <wps:wsp>
                    <wps:cNvSpPr/>
                    <wps:spPr>
                      <a:xfrm>
                        <a:off x="0" y="0"/>
                        <a:ext cx="299720" cy="312420"/>
                      </a:xfrm>
                      <a:prstGeom prst="rect">
                        <a:avLst/>
                      </a:prstGeom>
                      <a:noFill/>
                      <a:ln>
                        <a:noFill/>
                      </a:ln>
                    </wps:spPr>
                    <wps:txbx>
                      <w:txbxContent>
                        <w:p>
                          <w:pPr>
                            <w:spacing w:before="12"/>
                            <w:ind w:left="40"/>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w:instrText>
                          </w:r>
                          <w:r>
                            <w:rPr>
                              <w:rFonts w:hint="eastAsia" w:ascii="等线" w:hAnsi="等线" w:eastAsia="等线" w:cs="等线"/>
                              <w:sz w:val="24"/>
                              <w:szCs w:val="24"/>
                            </w:rPr>
                            <w:fldChar w:fldCharType="separate"/>
                          </w:r>
                          <w:r>
                            <w:rPr>
                              <w:rFonts w:hint="eastAsia" w:ascii="等线" w:hAnsi="等线" w:eastAsia="等线" w:cs="等线"/>
                              <w:sz w:val="24"/>
                              <w:szCs w:val="24"/>
                            </w:rPr>
                            <w:t>17</w:t>
                          </w:r>
                          <w:r>
                            <w:rPr>
                              <w:rFonts w:hint="eastAsia" w:ascii="等线" w:hAnsi="等线" w:eastAsia="等线" w:cs="等线"/>
                              <w:sz w:val="24"/>
                              <w:szCs w:val="24"/>
                            </w:rPr>
                            <w:fldChar w:fldCharType="end"/>
                          </w:r>
                        </w:p>
                      </w:txbxContent>
                    </wps:txbx>
                    <wps:bodyPr lIns="0" tIns="0" rIns="0" bIns="0" upright="1"/>
                  </wps:wsp>
                </a:graphicData>
              </a:graphic>
            </wp:anchor>
          </w:drawing>
        </mc:Choice>
        <mc:Fallback>
          <w:pict>
            <v:rect id="文本框 5" o:spid="_x0000_s1026" o:spt="1" style="position:absolute;left:0pt;margin-top:769pt;height:24.6pt;width:23.6pt;mso-position-horizontal:center;mso-position-horizontal-relative:margin;mso-position-vertical-relative:page;z-index:251661312;mso-width-relative:page;mso-height-relative:page;" filled="f" stroked="f" coordsize="21600,21600" o:gfxdata="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suX+1wAAAAkBAAAPAAAAAAAAAAEAIAAAACIAAABkcnMvZG93bnJldi54bWxQSwECFAAUAAAACACH&#10;TuJA7kqNWbMBAABnAwAADgAAAAAAAAABACAAAAAmAQAAZHJzL2Uyb0RvYy54bWxQSwUGAAAAAAYA&#10;BgBZAQAASwUAAAAA&#10;">
              <v:fill on="f" focussize="0,0"/>
              <v:stroke on="f"/>
              <v:imagedata o:title=""/>
              <o:lock v:ext="edit" aspectratio="f"/>
              <v:textbox inset="0mm,0mm,0mm,0mm">
                <w:txbxContent>
                  <w:p>
                    <w:pPr>
                      <w:spacing w:before="12"/>
                      <w:ind w:left="40"/>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w:instrText>
                    </w:r>
                    <w:r>
                      <w:rPr>
                        <w:rFonts w:hint="eastAsia" w:ascii="等线" w:hAnsi="等线" w:eastAsia="等线" w:cs="等线"/>
                        <w:sz w:val="24"/>
                        <w:szCs w:val="24"/>
                      </w:rPr>
                      <w:fldChar w:fldCharType="separate"/>
                    </w:r>
                    <w:r>
                      <w:rPr>
                        <w:rFonts w:hint="eastAsia" w:ascii="等线" w:hAnsi="等线" w:eastAsia="等线" w:cs="等线"/>
                        <w:sz w:val="24"/>
                        <w:szCs w:val="24"/>
                      </w:rPr>
                      <w:t>17</w:t>
                    </w:r>
                    <w:r>
                      <w:rPr>
                        <w:rFonts w:hint="eastAsia" w:ascii="等线" w:hAnsi="等线" w:eastAsia="等线" w:cs="等线"/>
                        <w:sz w:val="24"/>
                        <w:szCs w:val="24"/>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12"/>
      </w:rPr>
    </w:pPr>
    <w:r>
      <w:rPr>
        <w:rFonts w:ascii="Times New Roman" w:hAnsi="Times New Roman" w:eastAsia="宋体" w:cs="Times New Roman"/>
        <w:kern w:val="0"/>
        <w:sz w:val="12"/>
        <w:szCs w:val="21"/>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2475230</wp:posOffset>
              </wp:positionH>
              <wp:positionV relativeFrom="paragraph">
                <wp:posOffset>-276225</wp:posOffset>
              </wp:positionV>
              <wp:extent cx="295275" cy="258445"/>
              <wp:effectExtent l="0" t="0" r="0" b="0"/>
              <wp:wrapNone/>
              <wp:docPr id="4" name="Quad Arrow 1033"/>
              <wp:cNvGraphicFramePr/>
              <a:graphic xmlns:a="http://schemas.openxmlformats.org/drawingml/2006/main">
                <a:graphicData uri="http://schemas.microsoft.com/office/word/2010/wordprocessingShape">
                  <wps:wsp>
                    <wps:cNvSpPr txBox="1"/>
                    <wps:spPr>
                      <a:xfrm>
                        <a:off x="0" y="0"/>
                        <a:ext cx="295275" cy="258445"/>
                      </a:xfrm>
                      <a:prstGeom prst="rect">
                        <a:avLst/>
                      </a:prstGeom>
                      <a:noFill/>
                      <a:ln>
                        <a:noFill/>
                      </a:ln>
                    </wps:spPr>
                    <wps:txbx>
                      <w:txbxContent>
                        <w:p>
                          <w:pPr>
                            <w:pStyle w:val="24"/>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lIns="0" tIns="0" rIns="0" bIns="0" upright="1"/>
                  </wps:wsp>
                </a:graphicData>
              </a:graphic>
            </wp:anchor>
          </w:drawing>
        </mc:Choice>
        <mc:Fallback>
          <w:pict>
            <v:shape id="Quad Arrow 1033" o:spid="_x0000_s1026" o:spt="202" type="#_x0000_t202" style="position:absolute;left:0pt;margin-left:194.9pt;margin-top:-21.75pt;height:20.35pt;width:23.25pt;mso-position-horizontal-relative:margin;z-index:251662336;mso-width-relative:page;mso-height-relative:page;" filled="f" stroked="f" coordsize="21600,21600" o:gfxdata="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U6a3/aAAAACgEAAA8AAAAAAAAAAQAgAAAAIgAAAGRycy9kb3ducmV2LnhtbFBLAQIUABQAAAAI&#10;AIdO4kBbPLH1sgEAAHUDAAAOAAAAAAAAAAEAIAAAACkBAABkcnMvZTJvRG9jLnhtbFBLBQYAAAAA&#10;BgAGAFkBAABNBQAAAAA=&#10;">
              <v:fill on="f" focussize="0,0"/>
              <v:stroke on="f"/>
              <v:imagedata o:title=""/>
              <o:lock v:ext="edit" aspectratio="f"/>
              <v:textbox inset="0mm,0mm,0mm,0mm">
                <w:txbxContent>
                  <w:p>
                    <w:pPr>
                      <w:pStyle w:val="24"/>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12"/>
      </w:rPr>
    </w:pPr>
    <w:r>
      <w:rPr>
        <w:rFonts w:ascii="Times New Roman" w:hAnsi="Times New Roman" w:eastAsia="宋体" w:cs="Times New Roman"/>
        <w:kern w:val="0"/>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2494915</wp:posOffset>
              </wp:positionH>
              <wp:positionV relativeFrom="page">
                <wp:posOffset>9818370</wp:posOffset>
              </wp:positionV>
              <wp:extent cx="405130" cy="266700"/>
              <wp:effectExtent l="0" t="0" r="0" b="0"/>
              <wp:wrapNone/>
              <wp:docPr id="2" name="Rectangle 1027"/>
              <wp:cNvGraphicFramePr/>
              <a:graphic xmlns:a="http://schemas.openxmlformats.org/drawingml/2006/main">
                <a:graphicData uri="http://schemas.microsoft.com/office/word/2010/wordprocessingShape">
                  <wps:wsp>
                    <wps:cNvSpPr/>
                    <wps:spPr>
                      <a:xfrm>
                        <a:off x="0" y="0"/>
                        <a:ext cx="405130" cy="266700"/>
                      </a:xfrm>
                      <a:prstGeom prst="rect">
                        <a:avLst/>
                      </a:prstGeom>
                      <a:noFill/>
                      <a:ln>
                        <a:noFill/>
                      </a:ln>
                    </wps:spPr>
                    <wps:txbx>
                      <w:txbxContent>
                        <w:p>
                          <w:pPr>
                            <w:spacing w:before="12"/>
                            <w:ind w:left="40"/>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w:instrText>
                          </w:r>
                          <w:r>
                            <w:rPr>
                              <w:rFonts w:hint="eastAsia" w:ascii="等线" w:hAnsi="等线" w:eastAsia="等线" w:cs="等线"/>
                              <w:sz w:val="24"/>
                              <w:szCs w:val="24"/>
                            </w:rPr>
                            <w:fldChar w:fldCharType="separate"/>
                          </w:r>
                          <w:r>
                            <w:rPr>
                              <w:rFonts w:hint="eastAsia" w:ascii="等线" w:hAnsi="等线" w:eastAsia="等线" w:cs="等线"/>
                              <w:sz w:val="24"/>
                              <w:szCs w:val="24"/>
                            </w:rPr>
                            <w:t>17</w:t>
                          </w:r>
                          <w:r>
                            <w:rPr>
                              <w:rFonts w:hint="eastAsia" w:ascii="等线" w:hAnsi="等线" w:eastAsia="等线" w:cs="等线"/>
                              <w:sz w:val="24"/>
                              <w:szCs w:val="24"/>
                            </w:rPr>
                            <w:fldChar w:fldCharType="end"/>
                          </w:r>
                        </w:p>
                      </w:txbxContent>
                    </wps:txbx>
                    <wps:bodyPr lIns="0" tIns="0" rIns="0" bIns="0" upright="1"/>
                  </wps:wsp>
                </a:graphicData>
              </a:graphic>
            </wp:anchor>
          </w:drawing>
        </mc:Choice>
        <mc:Fallback>
          <w:pict>
            <v:rect id="Rectangle 1027" o:spid="_x0000_s1026" o:spt="1" style="position:absolute;left:0pt;margin-left:196.45pt;margin-top:773.1pt;height:21pt;width:31.9pt;mso-position-horizontal-relative:margin;mso-position-vertical-relative:page;z-index:251660288;mso-width-relative:page;mso-height-relative:page;" filled="f" stroked="f" coordsize="21600,21600" o:gfxdata="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Ot4zd0A&#10;AAANAQAADwAAAAAAAAABACAAAAAiAAAAZHJzL2Rvd25yZXYueG1sUEsBAhQAFAAAAAgAh07iQNFH&#10;roKoAQAAagMAAA4AAAAAAAAAAQAgAAAALAEAAGRycy9lMm9Eb2MueG1sUEsFBgAAAAAGAAYAWQEA&#10;AEYFAAAAAA==&#10;">
              <v:fill on="f" focussize="0,0"/>
              <v:stroke on="f"/>
              <v:imagedata o:title=""/>
              <o:lock v:ext="edit" aspectratio="f"/>
              <v:textbox inset="0mm,0mm,0mm,0mm">
                <w:txbxContent>
                  <w:p>
                    <w:pPr>
                      <w:spacing w:before="12"/>
                      <w:ind w:left="40"/>
                      <w:jc w:val="center"/>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w:instrText>
                    </w:r>
                    <w:r>
                      <w:rPr>
                        <w:rFonts w:hint="eastAsia" w:ascii="等线" w:hAnsi="等线" w:eastAsia="等线" w:cs="等线"/>
                        <w:sz w:val="24"/>
                        <w:szCs w:val="24"/>
                      </w:rPr>
                      <w:fldChar w:fldCharType="separate"/>
                    </w:r>
                    <w:r>
                      <w:rPr>
                        <w:rFonts w:hint="eastAsia" w:ascii="等线" w:hAnsi="等线" w:eastAsia="等线" w:cs="等线"/>
                        <w:sz w:val="24"/>
                        <w:szCs w:val="24"/>
                      </w:rPr>
                      <w:t>17</w:t>
                    </w:r>
                    <w:r>
                      <w:rPr>
                        <w:rFonts w:hint="eastAsia" w:ascii="等线" w:hAnsi="等线" w:eastAsia="等线" w:cs="等线"/>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63"/>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decimal"/>
      <w:lvlText w:val="%1"/>
      <w:lvlJc w:val="left"/>
      <w:pPr>
        <w:tabs>
          <w:tab w:val="left" w:pos="432"/>
        </w:tabs>
        <w:ind w:left="432" w:hanging="432"/>
      </w:pPr>
      <w:rPr>
        <w:rFonts w:ascii="Arial" w:hAnsi="Arial"/>
      </w:rPr>
    </w:lvl>
    <w:lvl w:ilvl="1" w:tentative="0">
      <w:start w:val="1"/>
      <w:numFmt w:val="decimal"/>
      <w:lvlText w:val="%1.%2"/>
      <w:lvlJc w:val="left"/>
      <w:pPr>
        <w:tabs>
          <w:tab w:val="left" w:pos="576"/>
        </w:tabs>
        <w:ind w:left="576" w:hanging="576"/>
      </w:pPr>
      <w:rPr>
        <w:rFonts w:ascii="Arial" w:hAnsi="Arial"/>
      </w:rPr>
    </w:lvl>
    <w:lvl w:ilvl="2" w:tentative="0">
      <w:start w:val="1"/>
      <w:numFmt w:val="decimal"/>
      <w:lvlText w:val="%1.%2.%3"/>
      <w:lvlJc w:val="left"/>
      <w:pPr>
        <w:tabs>
          <w:tab w:val="left" w:pos="720"/>
        </w:tabs>
        <w:ind w:left="720" w:hanging="720"/>
      </w:pPr>
      <w:rPr>
        <w:rFonts w:hint="default" w:ascii="Arial" w:hAnsi="Arial" w:cs="Times New Roman"/>
        <w:b/>
        <w:color w:val="auto"/>
      </w:rPr>
    </w:lvl>
    <w:lvl w:ilvl="3" w:tentative="0">
      <w:start w:val="1"/>
      <w:numFmt w:val="decimal"/>
      <w:pStyle w:val="5"/>
      <w:lvlText w:val="%1.%2.%3.%4"/>
      <w:lvlJc w:val="left"/>
      <w:pPr>
        <w:tabs>
          <w:tab w:val="left" w:pos="864"/>
        </w:tabs>
        <w:ind w:left="864" w:hanging="864"/>
      </w:pPr>
      <w:rPr>
        <w:rFonts w:hint="default" w:ascii="Arial" w:hAnsi="Arial" w:cs="Times New Roman"/>
        <w:b/>
        <w:color w:val="000000"/>
      </w:rPr>
    </w:lvl>
    <w:lvl w:ilvl="4" w:tentative="0">
      <w:start w:val="1"/>
      <w:numFmt w:val="decimal"/>
      <w:pStyle w:val="6"/>
      <w:lvlText w:val="%1.%2.%3.%4.%5"/>
      <w:lvlJc w:val="left"/>
      <w:pPr>
        <w:tabs>
          <w:tab w:val="left" w:pos="2268"/>
        </w:tabs>
        <w:ind w:left="2268" w:hanging="1008"/>
      </w:pPr>
      <w:rPr>
        <w:rFonts w:hint="default" w:ascii="Arial" w:hAnsi="Arial" w:cs="Times New Roman"/>
        <w:b/>
      </w:rPr>
    </w:lvl>
    <w:lvl w:ilvl="5" w:tentative="0">
      <w:start w:val="1"/>
      <w:numFmt w:val="decimal"/>
      <w:lvlText w:val="%1.%2.%3.%4.%5.%6"/>
      <w:lvlJc w:val="left"/>
      <w:pPr>
        <w:tabs>
          <w:tab w:val="left" w:pos="2232"/>
        </w:tabs>
        <w:ind w:left="2232" w:hanging="1152"/>
      </w:pPr>
      <w:rPr>
        <w:rFonts w:hint="default" w:ascii="Times New Roman" w:hAnsi="Times New Roman" w:cs="Times New Roman"/>
        <w:b/>
      </w:rPr>
    </w:lvl>
    <w:lvl w:ilvl="6" w:tentative="0">
      <w:start w:val="1"/>
      <w:numFmt w:val="decimal"/>
      <w:lvlText w:val="%1.%2.%3.%4.%5.%6.%7"/>
      <w:lvlJc w:val="left"/>
      <w:pPr>
        <w:tabs>
          <w:tab w:val="left" w:pos="1296"/>
        </w:tabs>
        <w:ind w:left="1296" w:hanging="1296"/>
      </w:pPr>
      <w:rPr>
        <w:rFonts w:hint="default" w:ascii="Times New Roman" w:hAnsi="Times New Roman" w:cs="Times New Roman"/>
        <w:b/>
      </w:rPr>
    </w:lvl>
    <w:lvl w:ilvl="7" w:tentative="0">
      <w:start w:val="1"/>
      <w:numFmt w:val="decimal"/>
      <w:lvlText w:val="%1.%2.%3.%4.%5.%6.%7.%8"/>
      <w:lvlJc w:val="left"/>
      <w:pPr>
        <w:tabs>
          <w:tab w:val="left" w:pos="1440"/>
        </w:tabs>
        <w:ind w:left="1440" w:hanging="1440"/>
      </w:pPr>
      <w:rPr>
        <w:rFonts w:ascii="Arial" w:hAnsi="Arial" w:eastAsia="宋体"/>
        <w:b/>
      </w:rPr>
    </w:lvl>
    <w:lvl w:ilvl="8" w:tentative="0">
      <w:start w:val="1"/>
      <w:numFmt w:val="decimal"/>
      <w:lvlText w:val="%1.%2.%3.%4.%5.%6.%7.%8.%9"/>
      <w:lvlJc w:val="left"/>
      <w:pPr>
        <w:tabs>
          <w:tab w:val="left" w:pos="1584"/>
        </w:tabs>
        <w:ind w:left="1584" w:hanging="1584"/>
      </w:pPr>
      <w:rPr>
        <w:rFonts w:ascii="Arial" w:hAnsi="Arial" w:eastAsia="宋体"/>
        <w:b/>
      </w:rPr>
    </w:lvl>
  </w:abstractNum>
  <w:abstractNum w:abstractNumId="2">
    <w:nsid w:val="00000008"/>
    <w:multiLevelType w:val="singleLevel"/>
    <w:tmpl w:val="00000008"/>
    <w:lvl w:ilvl="0" w:tentative="0">
      <w:start w:val="4"/>
      <w:numFmt w:val="chineseCounting"/>
      <w:suff w:val="nothing"/>
      <w:lvlText w:val="（%1）"/>
      <w:lvlJc w:val="left"/>
      <w:rPr>
        <w:rFonts w:cs="Times New Roman"/>
      </w:rPr>
    </w:lvl>
  </w:abstractNum>
  <w:abstractNum w:abstractNumId="3">
    <w:nsid w:val="26A138C6"/>
    <w:multiLevelType w:val="multilevel"/>
    <w:tmpl w:val="26A138C6"/>
    <w:lvl w:ilvl="0" w:tentative="0">
      <w:start w:val="1"/>
      <w:numFmt w:val="decimal"/>
      <w:suff w:val="nothing"/>
      <w:lvlText w:val="%1."/>
      <w:lvlJc w:val="left"/>
      <w:pPr>
        <w:ind w:left="0" w:firstLine="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0D237C"/>
    <w:multiLevelType w:val="multilevel"/>
    <w:tmpl w:val="340D237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1414109"/>
    <w:multiLevelType w:val="multilevel"/>
    <w:tmpl w:val="61414109"/>
    <w:lvl w:ilvl="0" w:tentative="0">
      <w:start w:val="1"/>
      <w:numFmt w:val="decimal"/>
      <w:suff w:val="nothing"/>
      <w:lvlText w:val="%1."/>
      <w:lvlJc w:val="left"/>
      <w:pPr>
        <w:ind w:left="0" w:firstLine="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964595"/>
    <w:multiLevelType w:val="multilevel"/>
    <w:tmpl w:val="6E964595"/>
    <w:lvl w:ilvl="0" w:tentative="0">
      <w:start w:val="1"/>
      <w:numFmt w:val="upperLetter"/>
      <w:pStyle w:val="111"/>
      <w:suff w:val="nothing"/>
      <w:lvlText w:val="附　录　%1"/>
      <w:lvlJc w:val="left"/>
      <w:pPr>
        <w:ind w:left="0" w:firstLine="0"/>
      </w:pPr>
      <w:rPr>
        <w:rFonts w:hint="eastAsia" w:ascii="黑体" w:hAnsi="Times New Roman" w:eastAsia="黑体"/>
        <w:b w:val="0"/>
        <w:i w:val="0"/>
        <w:spacing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7C4410C3"/>
    <w:multiLevelType w:val="multilevel"/>
    <w:tmpl w:val="7C4410C3"/>
    <w:lvl w:ilvl="0" w:tentative="0">
      <w:start w:val="1"/>
      <w:numFmt w:val="none"/>
      <w:pStyle w:val="82"/>
      <w:suff w:val="nothing"/>
      <w:lvlText w:val="%1"/>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8">
    <w:nsid w:val="7E90F090"/>
    <w:multiLevelType w:val="singleLevel"/>
    <w:tmpl w:val="7E90F090"/>
    <w:lvl w:ilvl="0" w:tentative="0">
      <w:start w:val="1"/>
      <w:numFmt w:val="chineseCounting"/>
      <w:suff w:val="space"/>
      <w:lvlText w:val="第%1章"/>
      <w:lvlJc w:val="left"/>
      <w:rPr>
        <w:rFonts w:hint="eastAsia"/>
      </w:rPr>
    </w:lvl>
  </w:abstractNum>
  <w:num w:numId="1">
    <w:abstractNumId w:val="1"/>
  </w:num>
  <w:num w:numId="2">
    <w:abstractNumId w:val="0"/>
  </w:num>
  <w:num w:numId="3">
    <w:abstractNumId w:val="7"/>
  </w:num>
  <w:num w:numId="4">
    <w:abstractNumId w:val="6"/>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YxZDkzMGUyNDY1ZjdmN2FhZGJmYzJiZDI1YjEifQ=="/>
  </w:docVars>
  <w:rsids>
    <w:rsidRoot w:val="00172A27"/>
    <w:rsid w:val="00010935"/>
    <w:rsid w:val="00022176"/>
    <w:rsid w:val="00022C79"/>
    <w:rsid w:val="00032E56"/>
    <w:rsid w:val="00042C7A"/>
    <w:rsid w:val="00055794"/>
    <w:rsid w:val="000A03BC"/>
    <w:rsid w:val="000F7EF7"/>
    <w:rsid w:val="00115426"/>
    <w:rsid w:val="001253BC"/>
    <w:rsid w:val="00131788"/>
    <w:rsid w:val="0013594B"/>
    <w:rsid w:val="00144100"/>
    <w:rsid w:val="00156F2C"/>
    <w:rsid w:val="00172A27"/>
    <w:rsid w:val="0018251A"/>
    <w:rsid w:val="001A1F2F"/>
    <w:rsid w:val="00201495"/>
    <w:rsid w:val="00207A67"/>
    <w:rsid w:val="00282E91"/>
    <w:rsid w:val="002A6A60"/>
    <w:rsid w:val="002E01C1"/>
    <w:rsid w:val="002E30A9"/>
    <w:rsid w:val="00317987"/>
    <w:rsid w:val="00392491"/>
    <w:rsid w:val="003940E4"/>
    <w:rsid w:val="003C4B01"/>
    <w:rsid w:val="003C5582"/>
    <w:rsid w:val="003D7C1E"/>
    <w:rsid w:val="004015BF"/>
    <w:rsid w:val="00415282"/>
    <w:rsid w:val="00415C31"/>
    <w:rsid w:val="00420C53"/>
    <w:rsid w:val="00426F99"/>
    <w:rsid w:val="00427C58"/>
    <w:rsid w:val="0045718F"/>
    <w:rsid w:val="00486028"/>
    <w:rsid w:val="004A00BE"/>
    <w:rsid w:val="004C2BDE"/>
    <w:rsid w:val="004C3218"/>
    <w:rsid w:val="004F75AC"/>
    <w:rsid w:val="005948B6"/>
    <w:rsid w:val="005D42A8"/>
    <w:rsid w:val="005F45DB"/>
    <w:rsid w:val="00610A74"/>
    <w:rsid w:val="0062597A"/>
    <w:rsid w:val="0064723D"/>
    <w:rsid w:val="00664714"/>
    <w:rsid w:val="00683711"/>
    <w:rsid w:val="006B5D1A"/>
    <w:rsid w:val="006B68C2"/>
    <w:rsid w:val="006E3AED"/>
    <w:rsid w:val="006F0D85"/>
    <w:rsid w:val="00701FE0"/>
    <w:rsid w:val="00707BC1"/>
    <w:rsid w:val="007259EE"/>
    <w:rsid w:val="0074750E"/>
    <w:rsid w:val="0075412A"/>
    <w:rsid w:val="00765561"/>
    <w:rsid w:val="007675E9"/>
    <w:rsid w:val="0079248F"/>
    <w:rsid w:val="007950B8"/>
    <w:rsid w:val="007A20B1"/>
    <w:rsid w:val="008048E6"/>
    <w:rsid w:val="00811B43"/>
    <w:rsid w:val="00843930"/>
    <w:rsid w:val="00866C1A"/>
    <w:rsid w:val="0088374A"/>
    <w:rsid w:val="008B7134"/>
    <w:rsid w:val="008F2343"/>
    <w:rsid w:val="0093774A"/>
    <w:rsid w:val="009719C2"/>
    <w:rsid w:val="00990B37"/>
    <w:rsid w:val="009C0667"/>
    <w:rsid w:val="009D3E22"/>
    <w:rsid w:val="00A05255"/>
    <w:rsid w:val="00A150DA"/>
    <w:rsid w:val="00A30AD3"/>
    <w:rsid w:val="00A44B9B"/>
    <w:rsid w:val="00A522E6"/>
    <w:rsid w:val="00A710D9"/>
    <w:rsid w:val="00A86D06"/>
    <w:rsid w:val="00AA47A6"/>
    <w:rsid w:val="00AA56F1"/>
    <w:rsid w:val="00AC7409"/>
    <w:rsid w:val="00AD4A27"/>
    <w:rsid w:val="00AF5DE7"/>
    <w:rsid w:val="00B6103F"/>
    <w:rsid w:val="00B6403C"/>
    <w:rsid w:val="00B92E8F"/>
    <w:rsid w:val="00BE30BD"/>
    <w:rsid w:val="00BF0E19"/>
    <w:rsid w:val="00BF7A11"/>
    <w:rsid w:val="00C006A3"/>
    <w:rsid w:val="00C0504C"/>
    <w:rsid w:val="00C64163"/>
    <w:rsid w:val="00C75615"/>
    <w:rsid w:val="00C86EE4"/>
    <w:rsid w:val="00CA7535"/>
    <w:rsid w:val="00D10FAC"/>
    <w:rsid w:val="00D17B84"/>
    <w:rsid w:val="00D2611D"/>
    <w:rsid w:val="00D26C4F"/>
    <w:rsid w:val="00D37CCE"/>
    <w:rsid w:val="00D510AF"/>
    <w:rsid w:val="00D636BF"/>
    <w:rsid w:val="00D80778"/>
    <w:rsid w:val="00DA573D"/>
    <w:rsid w:val="00DC511D"/>
    <w:rsid w:val="00DF2CB9"/>
    <w:rsid w:val="00DF4A17"/>
    <w:rsid w:val="00E02D0C"/>
    <w:rsid w:val="00E5372C"/>
    <w:rsid w:val="00E636AB"/>
    <w:rsid w:val="00E6549F"/>
    <w:rsid w:val="00EC7AFD"/>
    <w:rsid w:val="00ED0A93"/>
    <w:rsid w:val="00F3209E"/>
    <w:rsid w:val="00F44542"/>
    <w:rsid w:val="00F76805"/>
    <w:rsid w:val="00F93D3E"/>
    <w:rsid w:val="00FB255D"/>
    <w:rsid w:val="01202A68"/>
    <w:rsid w:val="01312D03"/>
    <w:rsid w:val="013A37E6"/>
    <w:rsid w:val="01690B1C"/>
    <w:rsid w:val="01A5655E"/>
    <w:rsid w:val="01D54ADB"/>
    <w:rsid w:val="01D6387F"/>
    <w:rsid w:val="026A3D04"/>
    <w:rsid w:val="02A12F56"/>
    <w:rsid w:val="02B250DA"/>
    <w:rsid w:val="02F76F90"/>
    <w:rsid w:val="03084CFA"/>
    <w:rsid w:val="03154B0C"/>
    <w:rsid w:val="032213EB"/>
    <w:rsid w:val="0357473C"/>
    <w:rsid w:val="03AD58A1"/>
    <w:rsid w:val="03AD764F"/>
    <w:rsid w:val="03BA76EC"/>
    <w:rsid w:val="03EB30FA"/>
    <w:rsid w:val="03F30265"/>
    <w:rsid w:val="045D7773"/>
    <w:rsid w:val="045F4DED"/>
    <w:rsid w:val="048336DF"/>
    <w:rsid w:val="04C36EBA"/>
    <w:rsid w:val="04E43544"/>
    <w:rsid w:val="05571F68"/>
    <w:rsid w:val="05F721C4"/>
    <w:rsid w:val="06416175"/>
    <w:rsid w:val="066A4214"/>
    <w:rsid w:val="06CC4290"/>
    <w:rsid w:val="06CE0077"/>
    <w:rsid w:val="076C2617"/>
    <w:rsid w:val="080E7873"/>
    <w:rsid w:val="08353549"/>
    <w:rsid w:val="0837398B"/>
    <w:rsid w:val="086C3CB8"/>
    <w:rsid w:val="08F33D56"/>
    <w:rsid w:val="091259B7"/>
    <w:rsid w:val="091C197B"/>
    <w:rsid w:val="0946032A"/>
    <w:rsid w:val="09774987"/>
    <w:rsid w:val="09953447"/>
    <w:rsid w:val="099C43EE"/>
    <w:rsid w:val="09C9790C"/>
    <w:rsid w:val="0A03621B"/>
    <w:rsid w:val="0A067AB9"/>
    <w:rsid w:val="0A3B25D4"/>
    <w:rsid w:val="0A681221"/>
    <w:rsid w:val="0AC260D6"/>
    <w:rsid w:val="0AD7716B"/>
    <w:rsid w:val="0AE47DFA"/>
    <w:rsid w:val="0B011A06"/>
    <w:rsid w:val="0B064214"/>
    <w:rsid w:val="0B167923"/>
    <w:rsid w:val="0B27418B"/>
    <w:rsid w:val="0B300C6A"/>
    <w:rsid w:val="0B461F14"/>
    <w:rsid w:val="0B472137"/>
    <w:rsid w:val="0B61723B"/>
    <w:rsid w:val="0B8D66E4"/>
    <w:rsid w:val="0B901D30"/>
    <w:rsid w:val="0BB907ED"/>
    <w:rsid w:val="0BC20482"/>
    <w:rsid w:val="0C3C787D"/>
    <w:rsid w:val="0C5114BF"/>
    <w:rsid w:val="0C6D56D8"/>
    <w:rsid w:val="0C6E60F3"/>
    <w:rsid w:val="0C7B478E"/>
    <w:rsid w:val="0C946333"/>
    <w:rsid w:val="0CA02A2D"/>
    <w:rsid w:val="0CE2480D"/>
    <w:rsid w:val="0CF53CF6"/>
    <w:rsid w:val="0CFD1290"/>
    <w:rsid w:val="0CFD1647"/>
    <w:rsid w:val="0D077DD0"/>
    <w:rsid w:val="0D1129FD"/>
    <w:rsid w:val="0DB60E48"/>
    <w:rsid w:val="0DD84DFE"/>
    <w:rsid w:val="0DF0597D"/>
    <w:rsid w:val="0E7A1DC9"/>
    <w:rsid w:val="0EB2255C"/>
    <w:rsid w:val="0EBB70C4"/>
    <w:rsid w:val="0ECD5AF6"/>
    <w:rsid w:val="0F0E255F"/>
    <w:rsid w:val="0F394D12"/>
    <w:rsid w:val="0F490B74"/>
    <w:rsid w:val="0F751969"/>
    <w:rsid w:val="0F9C5147"/>
    <w:rsid w:val="0FA14F53"/>
    <w:rsid w:val="1021564D"/>
    <w:rsid w:val="104238BC"/>
    <w:rsid w:val="105C2E66"/>
    <w:rsid w:val="108B2D62"/>
    <w:rsid w:val="10C2280A"/>
    <w:rsid w:val="10F2256A"/>
    <w:rsid w:val="11324F9B"/>
    <w:rsid w:val="113969C6"/>
    <w:rsid w:val="11407D54"/>
    <w:rsid w:val="11716160"/>
    <w:rsid w:val="117D68B3"/>
    <w:rsid w:val="118B5473"/>
    <w:rsid w:val="11911A52"/>
    <w:rsid w:val="11E22BBA"/>
    <w:rsid w:val="12157C38"/>
    <w:rsid w:val="12922832"/>
    <w:rsid w:val="13126763"/>
    <w:rsid w:val="131B6383"/>
    <w:rsid w:val="1336124D"/>
    <w:rsid w:val="135B70C7"/>
    <w:rsid w:val="13A90EC1"/>
    <w:rsid w:val="13C55E53"/>
    <w:rsid w:val="13CE1647"/>
    <w:rsid w:val="14092680"/>
    <w:rsid w:val="14250C9D"/>
    <w:rsid w:val="144F5DF0"/>
    <w:rsid w:val="14CA1A94"/>
    <w:rsid w:val="14D82607"/>
    <w:rsid w:val="14F70FF5"/>
    <w:rsid w:val="155142DE"/>
    <w:rsid w:val="15534C77"/>
    <w:rsid w:val="15664394"/>
    <w:rsid w:val="157F0CF3"/>
    <w:rsid w:val="158E49EC"/>
    <w:rsid w:val="15B722EF"/>
    <w:rsid w:val="15E31EF8"/>
    <w:rsid w:val="161C2B3E"/>
    <w:rsid w:val="163C250B"/>
    <w:rsid w:val="16622DD3"/>
    <w:rsid w:val="168F7C3B"/>
    <w:rsid w:val="16B00152"/>
    <w:rsid w:val="1705200D"/>
    <w:rsid w:val="17742506"/>
    <w:rsid w:val="179429CA"/>
    <w:rsid w:val="17EC684D"/>
    <w:rsid w:val="181A3216"/>
    <w:rsid w:val="18835D6D"/>
    <w:rsid w:val="18B74DA0"/>
    <w:rsid w:val="18E23ED6"/>
    <w:rsid w:val="18F87867"/>
    <w:rsid w:val="18FD7B8B"/>
    <w:rsid w:val="19371A3D"/>
    <w:rsid w:val="194C5C5A"/>
    <w:rsid w:val="196D1903"/>
    <w:rsid w:val="1A057D8D"/>
    <w:rsid w:val="1A4511A7"/>
    <w:rsid w:val="1A5D1C6E"/>
    <w:rsid w:val="1A6C5716"/>
    <w:rsid w:val="1A7154EF"/>
    <w:rsid w:val="1AFB4802"/>
    <w:rsid w:val="1B105834"/>
    <w:rsid w:val="1B155DAE"/>
    <w:rsid w:val="1B2C1AD8"/>
    <w:rsid w:val="1B3E4C43"/>
    <w:rsid w:val="1B6B1E72"/>
    <w:rsid w:val="1B6E041A"/>
    <w:rsid w:val="1BB76E65"/>
    <w:rsid w:val="1BEE0ACC"/>
    <w:rsid w:val="1C1442B7"/>
    <w:rsid w:val="1C5B5A42"/>
    <w:rsid w:val="1C6B3D6B"/>
    <w:rsid w:val="1C84143D"/>
    <w:rsid w:val="1CA95EC1"/>
    <w:rsid w:val="1CC26FBD"/>
    <w:rsid w:val="1D8F1E47"/>
    <w:rsid w:val="1DC55869"/>
    <w:rsid w:val="1DD94587"/>
    <w:rsid w:val="1DF42BB2"/>
    <w:rsid w:val="1E1E7279"/>
    <w:rsid w:val="1E256C04"/>
    <w:rsid w:val="1E432C32"/>
    <w:rsid w:val="1EB458DE"/>
    <w:rsid w:val="1F1437EE"/>
    <w:rsid w:val="1F1F544D"/>
    <w:rsid w:val="1F3C5FFF"/>
    <w:rsid w:val="1F542D27"/>
    <w:rsid w:val="1F895B3F"/>
    <w:rsid w:val="1F8B3EF6"/>
    <w:rsid w:val="1FA63478"/>
    <w:rsid w:val="1FCF29CF"/>
    <w:rsid w:val="206D1DBE"/>
    <w:rsid w:val="207D3672"/>
    <w:rsid w:val="20C813D6"/>
    <w:rsid w:val="20EC5803"/>
    <w:rsid w:val="20F3093F"/>
    <w:rsid w:val="21050673"/>
    <w:rsid w:val="21360A00"/>
    <w:rsid w:val="21855F4F"/>
    <w:rsid w:val="21A061EA"/>
    <w:rsid w:val="21C328F3"/>
    <w:rsid w:val="21FC6E50"/>
    <w:rsid w:val="220A4192"/>
    <w:rsid w:val="22164364"/>
    <w:rsid w:val="22187601"/>
    <w:rsid w:val="221B014E"/>
    <w:rsid w:val="22837523"/>
    <w:rsid w:val="228C7DBD"/>
    <w:rsid w:val="228D6127"/>
    <w:rsid w:val="239A64A6"/>
    <w:rsid w:val="23C40BA1"/>
    <w:rsid w:val="23C91E2B"/>
    <w:rsid w:val="23D20CE0"/>
    <w:rsid w:val="23D6203A"/>
    <w:rsid w:val="23DA7D8D"/>
    <w:rsid w:val="23E32B0D"/>
    <w:rsid w:val="2423543E"/>
    <w:rsid w:val="244B59F2"/>
    <w:rsid w:val="246A0F18"/>
    <w:rsid w:val="247E276B"/>
    <w:rsid w:val="24940512"/>
    <w:rsid w:val="24A7216D"/>
    <w:rsid w:val="25594873"/>
    <w:rsid w:val="25970884"/>
    <w:rsid w:val="25DE1BBE"/>
    <w:rsid w:val="25EB4B24"/>
    <w:rsid w:val="261C7492"/>
    <w:rsid w:val="26283D4E"/>
    <w:rsid w:val="264D0AF2"/>
    <w:rsid w:val="265D6715"/>
    <w:rsid w:val="26804A23"/>
    <w:rsid w:val="26AA7CF2"/>
    <w:rsid w:val="26B2270B"/>
    <w:rsid w:val="27194E78"/>
    <w:rsid w:val="27310F6B"/>
    <w:rsid w:val="275A1718"/>
    <w:rsid w:val="27AD03A5"/>
    <w:rsid w:val="27ED4D76"/>
    <w:rsid w:val="280C3C41"/>
    <w:rsid w:val="283755B5"/>
    <w:rsid w:val="285979DF"/>
    <w:rsid w:val="285A74F6"/>
    <w:rsid w:val="288A5E11"/>
    <w:rsid w:val="28E05C4D"/>
    <w:rsid w:val="290D73C1"/>
    <w:rsid w:val="294E4BC1"/>
    <w:rsid w:val="295C627B"/>
    <w:rsid w:val="29955CC7"/>
    <w:rsid w:val="29982084"/>
    <w:rsid w:val="299F78B6"/>
    <w:rsid w:val="29CA11C1"/>
    <w:rsid w:val="29FA4AE6"/>
    <w:rsid w:val="2A1A4839"/>
    <w:rsid w:val="2A872DF2"/>
    <w:rsid w:val="2A952FED"/>
    <w:rsid w:val="2AA64C74"/>
    <w:rsid w:val="2AAF11D9"/>
    <w:rsid w:val="2B172940"/>
    <w:rsid w:val="2B522706"/>
    <w:rsid w:val="2B9F0D15"/>
    <w:rsid w:val="2C07595A"/>
    <w:rsid w:val="2C2846CB"/>
    <w:rsid w:val="2C781282"/>
    <w:rsid w:val="2C954FA0"/>
    <w:rsid w:val="2C9B5ED5"/>
    <w:rsid w:val="2CD94E8D"/>
    <w:rsid w:val="2D2C62DB"/>
    <w:rsid w:val="2D32451F"/>
    <w:rsid w:val="2D4B2462"/>
    <w:rsid w:val="2D5C2B7A"/>
    <w:rsid w:val="2DAF4B82"/>
    <w:rsid w:val="2E395B90"/>
    <w:rsid w:val="2E4647A4"/>
    <w:rsid w:val="2EAE452F"/>
    <w:rsid w:val="2EB835D7"/>
    <w:rsid w:val="2EE93382"/>
    <w:rsid w:val="2EF424F3"/>
    <w:rsid w:val="2F3565C7"/>
    <w:rsid w:val="2FAF6379"/>
    <w:rsid w:val="2FBE79B1"/>
    <w:rsid w:val="2FC5365C"/>
    <w:rsid w:val="2FD36972"/>
    <w:rsid w:val="2FEF6776"/>
    <w:rsid w:val="301B62ED"/>
    <w:rsid w:val="3034062C"/>
    <w:rsid w:val="307C5BFC"/>
    <w:rsid w:val="309A0DD7"/>
    <w:rsid w:val="30ED53AB"/>
    <w:rsid w:val="30EF04D7"/>
    <w:rsid w:val="30F66D7E"/>
    <w:rsid w:val="31085D41"/>
    <w:rsid w:val="316F42A9"/>
    <w:rsid w:val="318713A1"/>
    <w:rsid w:val="31C559E0"/>
    <w:rsid w:val="31DF7CC7"/>
    <w:rsid w:val="3203331C"/>
    <w:rsid w:val="320958FD"/>
    <w:rsid w:val="32285C55"/>
    <w:rsid w:val="32614220"/>
    <w:rsid w:val="32803FFD"/>
    <w:rsid w:val="330F7A23"/>
    <w:rsid w:val="3364747B"/>
    <w:rsid w:val="3371405A"/>
    <w:rsid w:val="33750ADE"/>
    <w:rsid w:val="33A67A93"/>
    <w:rsid w:val="33AD35B7"/>
    <w:rsid w:val="33EB6BBB"/>
    <w:rsid w:val="33FB7DDF"/>
    <w:rsid w:val="34321327"/>
    <w:rsid w:val="34426638"/>
    <w:rsid w:val="34527864"/>
    <w:rsid w:val="34631001"/>
    <w:rsid w:val="34A24276"/>
    <w:rsid w:val="34AF37E6"/>
    <w:rsid w:val="34F0546A"/>
    <w:rsid w:val="350848D4"/>
    <w:rsid w:val="35152E25"/>
    <w:rsid w:val="354A78B5"/>
    <w:rsid w:val="3552307A"/>
    <w:rsid w:val="357A05CB"/>
    <w:rsid w:val="35C41CC4"/>
    <w:rsid w:val="35EB1B84"/>
    <w:rsid w:val="35FE7C09"/>
    <w:rsid w:val="362931B0"/>
    <w:rsid w:val="36466C4C"/>
    <w:rsid w:val="365E5DCC"/>
    <w:rsid w:val="366234F0"/>
    <w:rsid w:val="368F0D33"/>
    <w:rsid w:val="36A407E4"/>
    <w:rsid w:val="37403D5B"/>
    <w:rsid w:val="379A46E7"/>
    <w:rsid w:val="381D5393"/>
    <w:rsid w:val="381E081F"/>
    <w:rsid w:val="382B5936"/>
    <w:rsid w:val="38507FCD"/>
    <w:rsid w:val="385C5AFF"/>
    <w:rsid w:val="386F72D7"/>
    <w:rsid w:val="38926862"/>
    <w:rsid w:val="38C34C43"/>
    <w:rsid w:val="38FE7E8D"/>
    <w:rsid w:val="39251E79"/>
    <w:rsid w:val="393E4E8C"/>
    <w:rsid w:val="39427C73"/>
    <w:rsid w:val="39477DDB"/>
    <w:rsid w:val="394C2E8B"/>
    <w:rsid w:val="39534219"/>
    <w:rsid w:val="396E4BAF"/>
    <w:rsid w:val="3978161E"/>
    <w:rsid w:val="39B93E43"/>
    <w:rsid w:val="39EE49B8"/>
    <w:rsid w:val="39F32D23"/>
    <w:rsid w:val="3A205D50"/>
    <w:rsid w:val="3A764D14"/>
    <w:rsid w:val="3A7C7D6E"/>
    <w:rsid w:val="3A916DA7"/>
    <w:rsid w:val="3AE55345"/>
    <w:rsid w:val="3B030582"/>
    <w:rsid w:val="3B173D7F"/>
    <w:rsid w:val="3B1F0857"/>
    <w:rsid w:val="3B9F3746"/>
    <w:rsid w:val="3BA5258D"/>
    <w:rsid w:val="3BB74184"/>
    <w:rsid w:val="3BD244B2"/>
    <w:rsid w:val="3BF35840"/>
    <w:rsid w:val="3BFB7875"/>
    <w:rsid w:val="3C0F6A0E"/>
    <w:rsid w:val="3C232FB8"/>
    <w:rsid w:val="3C2F36C8"/>
    <w:rsid w:val="3C7454FC"/>
    <w:rsid w:val="3CB7686D"/>
    <w:rsid w:val="3CC66AB0"/>
    <w:rsid w:val="3CDB07AE"/>
    <w:rsid w:val="3D076AAE"/>
    <w:rsid w:val="3D6E7757"/>
    <w:rsid w:val="3D803103"/>
    <w:rsid w:val="3D8344CF"/>
    <w:rsid w:val="3DBB238D"/>
    <w:rsid w:val="3DD417C8"/>
    <w:rsid w:val="3E09134A"/>
    <w:rsid w:val="3E0E18D5"/>
    <w:rsid w:val="3E1827C5"/>
    <w:rsid w:val="3E917DFB"/>
    <w:rsid w:val="3EA0490B"/>
    <w:rsid w:val="3EA2765E"/>
    <w:rsid w:val="3EAC618D"/>
    <w:rsid w:val="3EB17A0F"/>
    <w:rsid w:val="3EDC080D"/>
    <w:rsid w:val="3EE31B9B"/>
    <w:rsid w:val="3EFB0C93"/>
    <w:rsid w:val="3F285800"/>
    <w:rsid w:val="3FC754F2"/>
    <w:rsid w:val="3FF903C7"/>
    <w:rsid w:val="40222A17"/>
    <w:rsid w:val="402C4BD5"/>
    <w:rsid w:val="403E4076"/>
    <w:rsid w:val="40491ED2"/>
    <w:rsid w:val="40552625"/>
    <w:rsid w:val="40956EC5"/>
    <w:rsid w:val="40957640"/>
    <w:rsid w:val="40B70B5A"/>
    <w:rsid w:val="40BA2742"/>
    <w:rsid w:val="40CB6D8B"/>
    <w:rsid w:val="40EF78AD"/>
    <w:rsid w:val="4101455B"/>
    <w:rsid w:val="41216124"/>
    <w:rsid w:val="41540B2E"/>
    <w:rsid w:val="41955BFF"/>
    <w:rsid w:val="419D24D5"/>
    <w:rsid w:val="41E5025F"/>
    <w:rsid w:val="41E81277"/>
    <w:rsid w:val="421C486D"/>
    <w:rsid w:val="42515CDB"/>
    <w:rsid w:val="427D40B5"/>
    <w:rsid w:val="429554CB"/>
    <w:rsid w:val="42FA049C"/>
    <w:rsid w:val="43165C8D"/>
    <w:rsid w:val="43305CA0"/>
    <w:rsid w:val="43580B32"/>
    <w:rsid w:val="43644D0C"/>
    <w:rsid w:val="436E2C30"/>
    <w:rsid w:val="43BB0A21"/>
    <w:rsid w:val="43C71A8C"/>
    <w:rsid w:val="448D4A83"/>
    <w:rsid w:val="4498571A"/>
    <w:rsid w:val="44A90138"/>
    <w:rsid w:val="44B567CA"/>
    <w:rsid w:val="44DA57EF"/>
    <w:rsid w:val="44E9539B"/>
    <w:rsid w:val="45010124"/>
    <w:rsid w:val="4530540F"/>
    <w:rsid w:val="454B5E07"/>
    <w:rsid w:val="455530C7"/>
    <w:rsid w:val="458E7EAE"/>
    <w:rsid w:val="459534C4"/>
    <w:rsid w:val="45CE5353"/>
    <w:rsid w:val="45E701C3"/>
    <w:rsid w:val="45FD4CB1"/>
    <w:rsid w:val="4678706D"/>
    <w:rsid w:val="46893028"/>
    <w:rsid w:val="46E56D37"/>
    <w:rsid w:val="4702058D"/>
    <w:rsid w:val="47495932"/>
    <w:rsid w:val="47AC3985"/>
    <w:rsid w:val="47C63E08"/>
    <w:rsid w:val="485446D1"/>
    <w:rsid w:val="48692150"/>
    <w:rsid w:val="48760953"/>
    <w:rsid w:val="489509A3"/>
    <w:rsid w:val="48DB1B35"/>
    <w:rsid w:val="49125987"/>
    <w:rsid w:val="494E2F66"/>
    <w:rsid w:val="499524F4"/>
    <w:rsid w:val="49D071C0"/>
    <w:rsid w:val="49EE11B1"/>
    <w:rsid w:val="4A314103"/>
    <w:rsid w:val="4A345AD0"/>
    <w:rsid w:val="4A4C72AA"/>
    <w:rsid w:val="4A52454F"/>
    <w:rsid w:val="4A593B07"/>
    <w:rsid w:val="4A8F0E29"/>
    <w:rsid w:val="4A9F0562"/>
    <w:rsid w:val="4AC80600"/>
    <w:rsid w:val="4ACB00B3"/>
    <w:rsid w:val="4AFD4530"/>
    <w:rsid w:val="4B26325B"/>
    <w:rsid w:val="4B4C4BB5"/>
    <w:rsid w:val="4B557A0E"/>
    <w:rsid w:val="4B920BD1"/>
    <w:rsid w:val="4B9C5A1A"/>
    <w:rsid w:val="4BF76C86"/>
    <w:rsid w:val="4C0037C0"/>
    <w:rsid w:val="4C066EC9"/>
    <w:rsid w:val="4C39729F"/>
    <w:rsid w:val="4C3E48B5"/>
    <w:rsid w:val="4C6B24D1"/>
    <w:rsid w:val="4CBD1C7E"/>
    <w:rsid w:val="4CD9353E"/>
    <w:rsid w:val="4CF70395"/>
    <w:rsid w:val="4CFD75DE"/>
    <w:rsid w:val="4D1915C6"/>
    <w:rsid w:val="4D2B4E39"/>
    <w:rsid w:val="4D3F2700"/>
    <w:rsid w:val="4D64659D"/>
    <w:rsid w:val="4D841D87"/>
    <w:rsid w:val="4DC1579E"/>
    <w:rsid w:val="4E524648"/>
    <w:rsid w:val="4E6301AA"/>
    <w:rsid w:val="4E6F5AD5"/>
    <w:rsid w:val="4E802F63"/>
    <w:rsid w:val="4E815AA1"/>
    <w:rsid w:val="4E8A3A10"/>
    <w:rsid w:val="4F0140E2"/>
    <w:rsid w:val="4F256FD0"/>
    <w:rsid w:val="4F304989"/>
    <w:rsid w:val="4F3F1E44"/>
    <w:rsid w:val="4F534001"/>
    <w:rsid w:val="4F6F1F1D"/>
    <w:rsid w:val="4F8003C6"/>
    <w:rsid w:val="503B1837"/>
    <w:rsid w:val="505C6BFE"/>
    <w:rsid w:val="50682E91"/>
    <w:rsid w:val="509845F4"/>
    <w:rsid w:val="50A13664"/>
    <w:rsid w:val="50BF4E37"/>
    <w:rsid w:val="50C30B88"/>
    <w:rsid w:val="50F01127"/>
    <w:rsid w:val="50F84389"/>
    <w:rsid w:val="513B0846"/>
    <w:rsid w:val="514F4E6E"/>
    <w:rsid w:val="51586419"/>
    <w:rsid w:val="51DC2BA6"/>
    <w:rsid w:val="51DF61F2"/>
    <w:rsid w:val="52011547"/>
    <w:rsid w:val="520D3325"/>
    <w:rsid w:val="524F0CDF"/>
    <w:rsid w:val="5251162A"/>
    <w:rsid w:val="52686D40"/>
    <w:rsid w:val="526D1A50"/>
    <w:rsid w:val="526F22C0"/>
    <w:rsid w:val="52B144B5"/>
    <w:rsid w:val="52C4745A"/>
    <w:rsid w:val="52F9662F"/>
    <w:rsid w:val="5308725C"/>
    <w:rsid w:val="532A6D8E"/>
    <w:rsid w:val="53607807"/>
    <w:rsid w:val="53E83F7D"/>
    <w:rsid w:val="542947A2"/>
    <w:rsid w:val="5455260B"/>
    <w:rsid w:val="545F797E"/>
    <w:rsid w:val="548D6A45"/>
    <w:rsid w:val="54B0031A"/>
    <w:rsid w:val="54FA15F8"/>
    <w:rsid w:val="550333E8"/>
    <w:rsid w:val="553130AC"/>
    <w:rsid w:val="555D5DAC"/>
    <w:rsid w:val="55A57753"/>
    <w:rsid w:val="55DF0EB7"/>
    <w:rsid w:val="566E6F5B"/>
    <w:rsid w:val="56847368"/>
    <w:rsid w:val="56B45E9F"/>
    <w:rsid w:val="56DF5F95"/>
    <w:rsid w:val="56E7383C"/>
    <w:rsid w:val="56F810BD"/>
    <w:rsid w:val="57171972"/>
    <w:rsid w:val="575521E2"/>
    <w:rsid w:val="57571E7E"/>
    <w:rsid w:val="57590737"/>
    <w:rsid w:val="58474EA8"/>
    <w:rsid w:val="584B45E2"/>
    <w:rsid w:val="58645D91"/>
    <w:rsid w:val="5886561A"/>
    <w:rsid w:val="58A25691"/>
    <w:rsid w:val="58C47EF0"/>
    <w:rsid w:val="58CB5722"/>
    <w:rsid w:val="58DB2B34"/>
    <w:rsid w:val="590E174D"/>
    <w:rsid w:val="59266DFD"/>
    <w:rsid w:val="596671F9"/>
    <w:rsid w:val="59EE46B9"/>
    <w:rsid w:val="5A0A227A"/>
    <w:rsid w:val="5A5D05FC"/>
    <w:rsid w:val="5A762A4F"/>
    <w:rsid w:val="5A7A38F1"/>
    <w:rsid w:val="5B0829C6"/>
    <w:rsid w:val="5B294982"/>
    <w:rsid w:val="5B44508B"/>
    <w:rsid w:val="5B7C71A8"/>
    <w:rsid w:val="5B8B65BE"/>
    <w:rsid w:val="5B98704A"/>
    <w:rsid w:val="5BA87F9D"/>
    <w:rsid w:val="5BAC183B"/>
    <w:rsid w:val="5BB65C59"/>
    <w:rsid w:val="5C366DE5"/>
    <w:rsid w:val="5C407366"/>
    <w:rsid w:val="5C4D7325"/>
    <w:rsid w:val="5CAC4ED5"/>
    <w:rsid w:val="5CF27722"/>
    <w:rsid w:val="5D2E4A1E"/>
    <w:rsid w:val="5D3F7D52"/>
    <w:rsid w:val="5D6077C3"/>
    <w:rsid w:val="5D6B1282"/>
    <w:rsid w:val="5DCA185E"/>
    <w:rsid w:val="5E135BA1"/>
    <w:rsid w:val="5E5910D0"/>
    <w:rsid w:val="5E595457"/>
    <w:rsid w:val="5EB17168"/>
    <w:rsid w:val="5EF552A7"/>
    <w:rsid w:val="5F6E3FA2"/>
    <w:rsid w:val="5F8D3732"/>
    <w:rsid w:val="5FA42829"/>
    <w:rsid w:val="5FA479F8"/>
    <w:rsid w:val="60247B29"/>
    <w:rsid w:val="60261102"/>
    <w:rsid w:val="604523FD"/>
    <w:rsid w:val="60AC5E39"/>
    <w:rsid w:val="60B56079"/>
    <w:rsid w:val="60C43183"/>
    <w:rsid w:val="60D07D7A"/>
    <w:rsid w:val="60EC26DA"/>
    <w:rsid w:val="60F875EA"/>
    <w:rsid w:val="61112140"/>
    <w:rsid w:val="61283FF5"/>
    <w:rsid w:val="6130196A"/>
    <w:rsid w:val="613C540F"/>
    <w:rsid w:val="616404C2"/>
    <w:rsid w:val="6176063B"/>
    <w:rsid w:val="61AC6DBE"/>
    <w:rsid w:val="61AE798F"/>
    <w:rsid w:val="61CD250B"/>
    <w:rsid w:val="62540B41"/>
    <w:rsid w:val="625C7CD9"/>
    <w:rsid w:val="62AF2EEC"/>
    <w:rsid w:val="62C76F5B"/>
    <w:rsid w:val="62DA2339"/>
    <w:rsid w:val="62F62A5C"/>
    <w:rsid w:val="62FF12EB"/>
    <w:rsid w:val="632919C3"/>
    <w:rsid w:val="633D546F"/>
    <w:rsid w:val="635B76A3"/>
    <w:rsid w:val="64172486"/>
    <w:rsid w:val="64236413"/>
    <w:rsid w:val="648A446A"/>
    <w:rsid w:val="649E249F"/>
    <w:rsid w:val="64BD2BD3"/>
    <w:rsid w:val="654714D1"/>
    <w:rsid w:val="654C11BD"/>
    <w:rsid w:val="65542AB4"/>
    <w:rsid w:val="6564671A"/>
    <w:rsid w:val="657B0FED"/>
    <w:rsid w:val="657E0A92"/>
    <w:rsid w:val="658F746B"/>
    <w:rsid w:val="65B25CA0"/>
    <w:rsid w:val="65F02A39"/>
    <w:rsid w:val="664408C2"/>
    <w:rsid w:val="664F42E5"/>
    <w:rsid w:val="664F5C5B"/>
    <w:rsid w:val="66857FC0"/>
    <w:rsid w:val="6764121C"/>
    <w:rsid w:val="68907DEF"/>
    <w:rsid w:val="6891448C"/>
    <w:rsid w:val="68AA0BDE"/>
    <w:rsid w:val="68C736BE"/>
    <w:rsid w:val="68CC36FD"/>
    <w:rsid w:val="69154DF6"/>
    <w:rsid w:val="69434E61"/>
    <w:rsid w:val="69521B46"/>
    <w:rsid w:val="69642093"/>
    <w:rsid w:val="69795E33"/>
    <w:rsid w:val="69A9736E"/>
    <w:rsid w:val="69AA26AD"/>
    <w:rsid w:val="69B55D5F"/>
    <w:rsid w:val="69E90652"/>
    <w:rsid w:val="6A1B245F"/>
    <w:rsid w:val="6A360467"/>
    <w:rsid w:val="6A416CCC"/>
    <w:rsid w:val="6AC23296"/>
    <w:rsid w:val="6AD62431"/>
    <w:rsid w:val="6AEA7C8A"/>
    <w:rsid w:val="6B424106"/>
    <w:rsid w:val="6B433C63"/>
    <w:rsid w:val="6B6F1752"/>
    <w:rsid w:val="6B99520C"/>
    <w:rsid w:val="6BBA1700"/>
    <w:rsid w:val="6BF72930"/>
    <w:rsid w:val="6C3118E9"/>
    <w:rsid w:val="6C404860"/>
    <w:rsid w:val="6C4433CA"/>
    <w:rsid w:val="6C68355C"/>
    <w:rsid w:val="6C6F0E3D"/>
    <w:rsid w:val="6CBF4A2A"/>
    <w:rsid w:val="6CC64F3E"/>
    <w:rsid w:val="6D1E3A54"/>
    <w:rsid w:val="6D394A95"/>
    <w:rsid w:val="6D4318D3"/>
    <w:rsid w:val="6D6D691B"/>
    <w:rsid w:val="6D763A57"/>
    <w:rsid w:val="6DA06D26"/>
    <w:rsid w:val="6E105C5A"/>
    <w:rsid w:val="6E192634"/>
    <w:rsid w:val="6E5042A8"/>
    <w:rsid w:val="6E8E3022"/>
    <w:rsid w:val="6F1C23DC"/>
    <w:rsid w:val="6F2B6AC3"/>
    <w:rsid w:val="6F410095"/>
    <w:rsid w:val="6F51652A"/>
    <w:rsid w:val="6F7F4719"/>
    <w:rsid w:val="6FAF14A2"/>
    <w:rsid w:val="6FC56BF3"/>
    <w:rsid w:val="6FE8646F"/>
    <w:rsid w:val="703B4AE4"/>
    <w:rsid w:val="704B11CB"/>
    <w:rsid w:val="704D10EC"/>
    <w:rsid w:val="70885698"/>
    <w:rsid w:val="70A82D8F"/>
    <w:rsid w:val="711F1E06"/>
    <w:rsid w:val="71253D5A"/>
    <w:rsid w:val="71435060"/>
    <w:rsid w:val="71442AE2"/>
    <w:rsid w:val="719F7978"/>
    <w:rsid w:val="71BB2380"/>
    <w:rsid w:val="71BE7AA8"/>
    <w:rsid w:val="71CA611F"/>
    <w:rsid w:val="71D6418B"/>
    <w:rsid w:val="72151D19"/>
    <w:rsid w:val="724D5513"/>
    <w:rsid w:val="72837FBF"/>
    <w:rsid w:val="72850298"/>
    <w:rsid w:val="72990309"/>
    <w:rsid w:val="72DD3D7C"/>
    <w:rsid w:val="73050544"/>
    <w:rsid w:val="735F6D3B"/>
    <w:rsid w:val="73C117A4"/>
    <w:rsid w:val="73C82B32"/>
    <w:rsid w:val="73C86ECF"/>
    <w:rsid w:val="740116E1"/>
    <w:rsid w:val="740A3CCF"/>
    <w:rsid w:val="74211FD2"/>
    <w:rsid w:val="744321B9"/>
    <w:rsid w:val="7448015F"/>
    <w:rsid w:val="744E04F6"/>
    <w:rsid w:val="74604B19"/>
    <w:rsid w:val="749B1FF5"/>
    <w:rsid w:val="74A54C22"/>
    <w:rsid w:val="74BE285D"/>
    <w:rsid w:val="74CC0400"/>
    <w:rsid w:val="74D774D1"/>
    <w:rsid w:val="74DF7BDF"/>
    <w:rsid w:val="75181898"/>
    <w:rsid w:val="75244F89"/>
    <w:rsid w:val="755F13A4"/>
    <w:rsid w:val="75614FED"/>
    <w:rsid w:val="757F0DC6"/>
    <w:rsid w:val="75BF1D49"/>
    <w:rsid w:val="75DA0F67"/>
    <w:rsid w:val="75FB5524"/>
    <w:rsid w:val="75FB71EF"/>
    <w:rsid w:val="76161308"/>
    <w:rsid w:val="76292EE3"/>
    <w:rsid w:val="76294569"/>
    <w:rsid w:val="768676A8"/>
    <w:rsid w:val="76872831"/>
    <w:rsid w:val="76894E4E"/>
    <w:rsid w:val="76A5382A"/>
    <w:rsid w:val="76A67A63"/>
    <w:rsid w:val="76D0242A"/>
    <w:rsid w:val="76D417EE"/>
    <w:rsid w:val="7713446B"/>
    <w:rsid w:val="7718588A"/>
    <w:rsid w:val="776874B9"/>
    <w:rsid w:val="77690189"/>
    <w:rsid w:val="77925931"/>
    <w:rsid w:val="779D6084"/>
    <w:rsid w:val="77AB69F3"/>
    <w:rsid w:val="77EE09D2"/>
    <w:rsid w:val="78186033"/>
    <w:rsid w:val="783D7246"/>
    <w:rsid w:val="78A43B6E"/>
    <w:rsid w:val="78E8332F"/>
    <w:rsid w:val="794150C9"/>
    <w:rsid w:val="79442C5B"/>
    <w:rsid w:val="79622AD6"/>
    <w:rsid w:val="796E5F2A"/>
    <w:rsid w:val="798A7D7B"/>
    <w:rsid w:val="79907C4E"/>
    <w:rsid w:val="799837C6"/>
    <w:rsid w:val="7A0643B5"/>
    <w:rsid w:val="7AB86F05"/>
    <w:rsid w:val="7AEC35AA"/>
    <w:rsid w:val="7B0363F4"/>
    <w:rsid w:val="7B2B7DFC"/>
    <w:rsid w:val="7B42766E"/>
    <w:rsid w:val="7B865A80"/>
    <w:rsid w:val="7BB65505"/>
    <w:rsid w:val="7BD76009"/>
    <w:rsid w:val="7C0B32CA"/>
    <w:rsid w:val="7C286E08"/>
    <w:rsid w:val="7C3725DB"/>
    <w:rsid w:val="7C630EA1"/>
    <w:rsid w:val="7C80044E"/>
    <w:rsid w:val="7CF60710"/>
    <w:rsid w:val="7D0C7F34"/>
    <w:rsid w:val="7D2F3C22"/>
    <w:rsid w:val="7D311748"/>
    <w:rsid w:val="7D4D68A0"/>
    <w:rsid w:val="7D6B5371"/>
    <w:rsid w:val="7DA71A0B"/>
    <w:rsid w:val="7DAC5273"/>
    <w:rsid w:val="7DE07113"/>
    <w:rsid w:val="7E002EC9"/>
    <w:rsid w:val="7E452C09"/>
    <w:rsid w:val="7E4B683A"/>
    <w:rsid w:val="7E503E50"/>
    <w:rsid w:val="7F4803D2"/>
    <w:rsid w:val="7FFA5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7"/>
    <w:autoRedefine/>
    <w:qFormat/>
    <w:uiPriority w:val="0"/>
    <w:pPr>
      <w:outlineLvl w:val="0"/>
    </w:pPr>
    <w:rPr>
      <w:b/>
      <w:bCs/>
      <w:kern w:val="44"/>
      <w:sz w:val="44"/>
      <w:szCs w:val="44"/>
    </w:rPr>
  </w:style>
  <w:style w:type="paragraph" w:styleId="3">
    <w:name w:val="heading 2"/>
    <w:basedOn w:val="1"/>
    <w:next w:val="1"/>
    <w:link w:val="90"/>
    <w:autoRedefine/>
    <w:qFormat/>
    <w:uiPriority w:val="0"/>
    <w:pPr>
      <w:ind w:left="563"/>
      <w:outlineLvl w:val="1"/>
    </w:pPr>
    <w:rPr>
      <w:rFonts w:ascii="Cambria" w:hAnsi="Cambria"/>
      <w:b/>
      <w:bCs/>
      <w:kern w:val="0"/>
      <w:sz w:val="32"/>
      <w:szCs w:val="32"/>
    </w:rPr>
  </w:style>
  <w:style w:type="paragraph" w:styleId="4">
    <w:name w:val="heading 3"/>
    <w:basedOn w:val="1"/>
    <w:next w:val="1"/>
    <w:link w:val="108"/>
    <w:autoRedefine/>
    <w:qFormat/>
    <w:uiPriority w:val="0"/>
    <w:pPr>
      <w:outlineLvl w:val="2"/>
    </w:pPr>
    <w:rPr>
      <w:b/>
      <w:bCs/>
      <w:kern w:val="0"/>
      <w:sz w:val="32"/>
      <w:szCs w:val="32"/>
    </w:rPr>
  </w:style>
  <w:style w:type="paragraph" w:styleId="5">
    <w:name w:val="heading 4"/>
    <w:basedOn w:val="1"/>
    <w:next w:val="1"/>
    <w:autoRedefine/>
    <w:qFormat/>
    <w:uiPriority w:val="0"/>
    <w:pPr>
      <w:numPr>
        <w:ilvl w:val="3"/>
        <w:numId w:val="1"/>
      </w:numPr>
      <w:tabs>
        <w:tab w:val="left" w:pos="432"/>
        <w:tab w:val="clear" w:pos="864"/>
      </w:tabs>
      <w:spacing w:before="120" w:after="120"/>
      <w:ind w:firstLine="0"/>
      <w:jc w:val="left"/>
      <w:outlineLvl w:val="3"/>
    </w:pPr>
    <w:rPr>
      <w:rFonts w:ascii="Arial" w:hAnsi="Arial" w:cs="Arial"/>
      <w:b/>
      <w:bCs/>
    </w:rPr>
  </w:style>
  <w:style w:type="paragraph" w:styleId="6">
    <w:name w:val="heading 5"/>
    <w:basedOn w:val="1"/>
    <w:next w:val="1"/>
    <w:autoRedefine/>
    <w:qFormat/>
    <w:uiPriority w:val="0"/>
    <w:pPr>
      <w:numPr>
        <w:ilvl w:val="4"/>
        <w:numId w:val="1"/>
      </w:numPr>
      <w:tabs>
        <w:tab w:val="left" w:pos="432"/>
        <w:tab w:val="left" w:pos="720"/>
        <w:tab w:val="left" w:pos="1080"/>
        <w:tab w:val="clear" w:pos="2268"/>
      </w:tabs>
      <w:adjustRightInd w:val="0"/>
      <w:snapToGrid w:val="0"/>
      <w:ind w:firstLine="0"/>
      <w:outlineLvl w:val="4"/>
    </w:pPr>
    <w:rPr>
      <w:rFonts w:ascii="Arial" w:hAnsi="Arial" w:cs="Arial"/>
    </w:rPr>
  </w:style>
  <w:style w:type="character" w:default="1" w:styleId="39">
    <w:name w:val="Default Paragraph Font"/>
    <w:autoRedefine/>
    <w:unhideWhenUsed/>
    <w:qFormat/>
    <w:uiPriority w:val="1"/>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9">
    <w:name w:val="Normal Indent"/>
    <w:basedOn w:val="1"/>
    <w:autoRedefine/>
    <w:qFormat/>
    <w:uiPriority w:val="0"/>
    <w:pPr>
      <w:ind w:firstLine="420"/>
    </w:pPr>
    <w:rPr>
      <w:szCs w:val="20"/>
    </w:rPr>
  </w:style>
  <w:style w:type="paragraph" w:styleId="10">
    <w:name w:val="annotation text"/>
    <w:basedOn w:val="1"/>
    <w:link w:val="88"/>
    <w:autoRedefine/>
    <w:qFormat/>
    <w:uiPriority w:val="99"/>
    <w:pPr>
      <w:jc w:val="left"/>
    </w:pPr>
    <w:rPr>
      <w:szCs w:val="20"/>
    </w:rPr>
  </w:style>
  <w:style w:type="paragraph" w:styleId="11">
    <w:name w:val="Body Text 3"/>
    <w:basedOn w:val="1"/>
    <w:autoRedefine/>
    <w:qFormat/>
    <w:uiPriority w:val="0"/>
    <w:rPr>
      <w:rFonts w:ascii="宋体"/>
      <w:sz w:val="24"/>
      <w:szCs w:val="20"/>
    </w:rPr>
  </w:style>
  <w:style w:type="paragraph" w:styleId="12">
    <w:name w:val="Body Text"/>
    <w:basedOn w:val="1"/>
    <w:next w:val="1"/>
    <w:link w:val="99"/>
    <w:autoRedefine/>
    <w:qFormat/>
    <w:uiPriority w:val="99"/>
    <w:pPr>
      <w:ind w:left="142"/>
    </w:pPr>
    <w:rPr>
      <w:kern w:val="0"/>
    </w:rPr>
  </w:style>
  <w:style w:type="paragraph" w:styleId="13">
    <w:name w:val="Body Text Indent"/>
    <w:basedOn w:val="1"/>
    <w:link w:val="105"/>
    <w:autoRedefine/>
    <w:qFormat/>
    <w:uiPriority w:val="0"/>
    <w:pPr>
      <w:ind w:firstLine="600"/>
    </w:pPr>
    <w:rPr>
      <w:kern w:val="0"/>
      <w:sz w:val="20"/>
      <w:szCs w:val="20"/>
    </w:rPr>
  </w:style>
  <w:style w:type="paragraph" w:styleId="14">
    <w:name w:val="Block Text"/>
    <w:basedOn w:val="1"/>
    <w:next w:val="15"/>
    <w:autoRedefine/>
    <w:qFormat/>
    <w:uiPriority w:val="0"/>
    <w:pPr>
      <w:spacing w:after="120"/>
      <w:ind w:left="1440" w:leftChars="700" w:right="1440" w:rightChars="700"/>
    </w:pPr>
    <w:rPr>
      <w:szCs w:val="20"/>
    </w:rPr>
  </w:style>
  <w:style w:type="paragraph" w:styleId="15">
    <w:name w:val="annotation subject"/>
    <w:basedOn w:val="10"/>
    <w:next w:val="10"/>
    <w:link w:val="86"/>
    <w:autoRedefine/>
    <w:qFormat/>
    <w:uiPriority w:val="0"/>
    <w:rPr>
      <w:b/>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0"/>
    <w:pPr>
      <w:ind w:left="840" w:leftChars="400"/>
    </w:pPr>
  </w:style>
  <w:style w:type="paragraph" w:styleId="18">
    <w:name w:val="Plain Text"/>
    <w:basedOn w:val="1"/>
    <w:link w:val="106"/>
    <w:autoRedefine/>
    <w:qFormat/>
    <w:uiPriority w:val="0"/>
    <w:rPr>
      <w:rFonts w:ascii="宋体" w:hAnsi="Courier New"/>
      <w:kern w:val="0"/>
      <w:szCs w:val="20"/>
    </w:rPr>
  </w:style>
  <w:style w:type="paragraph" w:styleId="19">
    <w:name w:val="toc 8"/>
    <w:basedOn w:val="1"/>
    <w:next w:val="1"/>
    <w:autoRedefine/>
    <w:qFormat/>
    <w:uiPriority w:val="0"/>
    <w:pPr>
      <w:ind w:left="2940" w:leftChars="1400"/>
    </w:pPr>
  </w:style>
  <w:style w:type="paragraph" w:styleId="20">
    <w:name w:val="Date"/>
    <w:basedOn w:val="1"/>
    <w:next w:val="1"/>
    <w:link w:val="91"/>
    <w:autoRedefine/>
    <w:qFormat/>
    <w:uiPriority w:val="0"/>
    <w:pPr>
      <w:ind w:left="100" w:leftChars="2500"/>
    </w:pPr>
    <w:rPr>
      <w:kern w:val="0"/>
      <w:sz w:val="20"/>
      <w:szCs w:val="20"/>
    </w:rPr>
  </w:style>
  <w:style w:type="paragraph" w:styleId="21">
    <w:name w:val="Body Text Indent 2"/>
    <w:basedOn w:val="1"/>
    <w:autoRedefine/>
    <w:qFormat/>
    <w:uiPriority w:val="0"/>
    <w:pPr>
      <w:spacing w:after="120" w:line="480" w:lineRule="auto"/>
      <w:ind w:left="420" w:leftChars="200"/>
    </w:pPr>
  </w:style>
  <w:style w:type="paragraph" w:styleId="22">
    <w:name w:val="endnote text"/>
    <w:basedOn w:val="1"/>
    <w:link w:val="92"/>
    <w:autoRedefine/>
    <w:qFormat/>
    <w:uiPriority w:val="0"/>
    <w:pPr>
      <w:snapToGrid w:val="0"/>
      <w:jc w:val="left"/>
    </w:pPr>
  </w:style>
  <w:style w:type="paragraph" w:styleId="23">
    <w:name w:val="Balloon Text"/>
    <w:basedOn w:val="1"/>
    <w:link w:val="103"/>
    <w:autoRedefine/>
    <w:qFormat/>
    <w:uiPriority w:val="0"/>
    <w:rPr>
      <w:kern w:val="0"/>
      <w:sz w:val="18"/>
      <w:szCs w:val="20"/>
    </w:rPr>
  </w:style>
  <w:style w:type="paragraph" w:styleId="24">
    <w:name w:val="footer"/>
    <w:basedOn w:val="1"/>
    <w:link w:val="95"/>
    <w:autoRedefine/>
    <w:qFormat/>
    <w:uiPriority w:val="0"/>
    <w:pPr>
      <w:tabs>
        <w:tab w:val="center" w:pos="4153"/>
        <w:tab w:val="right" w:pos="8306"/>
      </w:tabs>
      <w:snapToGrid w:val="0"/>
      <w:jc w:val="left"/>
    </w:pPr>
    <w:rPr>
      <w:kern w:val="0"/>
      <w:sz w:val="18"/>
      <w:szCs w:val="20"/>
    </w:rPr>
  </w:style>
  <w:style w:type="paragraph" w:styleId="25">
    <w:name w:val="header"/>
    <w:basedOn w:val="1"/>
    <w:link w:val="107"/>
    <w:autoRedefine/>
    <w:qFormat/>
    <w:uiPriority w:val="0"/>
    <w:pPr>
      <w:tabs>
        <w:tab w:val="center" w:pos="4153"/>
        <w:tab w:val="right" w:pos="8306"/>
      </w:tabs>
      <w:snapToGrid w:val="0"/>
      <w:jc w:val="center"/>
    </w:pPr>
    <w:rPr>
      <w:kern w:val="0"/>
      <w:sz w:val="18"/>
      <w:szCs w:val="20"/>
    </w:rPr>
  </w:style>
  <w:style w:type="paragraph" w:styleId="26">
    <w:name w:val="toc 1"/>
    <w:basedOn w:val="1"/>
    <w:next w:val="1"/>
    <w:autoRedefine/>
    <w:qFormat/>
    <w:uiPriority w:val="0"/>
  </w:style>
  <w:style w:type="paragraph" w:styleId="27">
    <w:name w:val="toc 4"/>
    <w:basedOn w:val="1"/>
    <w:next w:val="1"/>
    <w:autoRedefine/>
    <w:qFormat/>
    <w:uiPriority w:val="0"/>
    <w:pPr>
      <w:ind w:left="1260" w:leftChars="600"/>
    </w:pPr>
  </w:style>
  <w:style w:type="paragraph" w:styleId="28">
    <w:name w:val="toc 6"/>
    <w:basedOn w:val="1"/>
    <w:next w:val="1"/>
    <w:autoRedefine/>
    <w:qFormat/>
    <w:uiPriority w:val="0"/>
    <w:pPr>
      <w:ind w:left="2100" w:leftChars="1000"/>
    </w:p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0"/>
    <w:pPr>
      <w:ind w:left="420" w:leftChars="200"/>
    </w:pPr>
  </w:style>
  <w:style w:type="paragraph" w:styleId="31">
    <w:name w:val="toc 9"/>
    <w:basedOn w:val="1"/>
    <w:next w:val="1"/>
    <w:autoRedefine/>
    <w:qFormat/>
    <w:uiPriority w:val="0"/>
    <w:pPr>
      <w:ind w:left="3360" w:leftChars="1600"/>
    </w:pPr>
  </w:style>
  <w:style w:type="paragraph" w:styleId="32">
    <w:name w:val="Body Text 2"/>
    <w:basedOn w:val="1"/>
    <w:autoRedefine/>
    <w:unhideWhenUsed/>
    <w:qFormat/>
    <w:uiPriority w:val="0"/>
    <w:pPr>
      <w:widowControl w:val="0"/>
      <w:autoSpaceDE w:val="0"/>
      <w:autoSpaceDN w:val="0"/>
      <w:adjustRightInd w:val="0"/>
      <w:spacing w:after="120" w:line="480" w:lineRule="auto"/>
    </w:pPr>
    <w:rPr>
      <w:rFonts w:ascii="Calibri" w:hAnsi="Calibri" w:eastAsia="宋体" w:cs="Times New Roman"/>
      <w:kern w:val="20"/>
      <w:sz w:val="22"/>
      <w:lang w:val="en-US" w:eastAsia="zh-CN" w:bidi="ar-SA"/>
    </w:r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index 2"/>
    <w:basedOn w:val="1"/>
    <w:next w:val="1"/>
    <w:qFormat/>
    <w:uiPriority w:val="0"/>
    <w:pPr>
      <w:ind w:left="420" w:hanging="210"/>
      <w:jc w:val="left"/>
    </w:pPr>
    <w:rPr>
      <w:sz w:val="20"/>
      <w:szCs w:val="20"/>
    </w:rPr>
  </w:style>
  <w:style w:type="paragraph" w:styleId="36">
    <w:name w:val="Title"/>
    <w:basedOn w:val="1"/>
    <w:link w:val="93"/>
    <w:autoRedefine/>
    <w:qFormat/>
    <w:uiPriority w:val="0"/>
    <w:pPr>
      <w:spacing w:before="240" w:after="60"/>
      <w:jc w:val="center"/>
      <w:outlineLvl w:val="0"/>
    </w:pPr>
    <w:rPr>
      <w:rFonts w:ascii="Arial" w:hAnsi="Arial" w:eastAsia="PMingLiUfalt"/>
      <w:b/>
      <w:kern w:val="0"/>
      <w:sz w:val="32"/>
      <w:szCs w:val="20"/>
      <w:lang w:eastAsia="zh-TW"/>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rPr>
  </w:style>
  <w:style w:type="character" w:styleId="41">
    <w:name w:val="endnote reference"/>
    <w:autoRedefine/>
    <w:qFormat/>
    <w:uiPriority w:val="0"/>
    <w:rPr>
      <w:rFonts w:ascii="Times New Roman" w:hAnsi="Times New Roman" w:eastAsia="宋体" w:cs="Times New Roman"/>
      <w:vertAlign w:val="superscript"/>
    </w:rPr>
  </w:style>
  <w:style w:type="character" w:styleId="42">
    <w:name w:val="page number"/>
    <w:autoRedefine/>
    <w:qFormat/>
    <w:uiPriority w:val="0"/>
    <w:rPr>
      <w:rFonts w:ascii="Times New Roman" w:hAnsi="Times New Roman" w:eastAsia="宋体" w:cs="Times New Roman"/>
    </w:rPr>
  </w:style>
  <w:style w:type="character" w:styleId="43">
    <w:name w:val="Hyperlink"/>
    <w:autoRedefine/>
    <w:qFormat/>
    <w:uiPriority w:val="0"/>
    <w:rPr>
      <w:rFonts w:ascii="Times New Roman" w:hAnsi="Times New Roman" w:eastAsia="宋体" w:cs="Times New Roman"/>
      <w:color w:val="0000FF"/>
      <w:u w:val="single"/>
    </w:rPr>
  </w:style>
  <w:style w:type="character" w:styleId="44">
    <w:name w:val="annotation reference"/>
    <w:autoRedefine/>
    <w:qFormat/>
    <w:uiPriority w:val="0"/>
    <w:rPr>
      <w:rFonts w:ascii="Times New Roman" w:hAnsi="Times New Roman" w:eastAsia="宋体" w:cs="Times New Roman"/>
      <w:sz w:val="21"/>
    </w:rPr>
  </w:style>
  <w:style w:type="paragraph" w:customStyle="1" w:styleId="45">
    <w:name w:val="列表段落1"/>
    <w:basedOn w:val="1"/>
    <w:link w:val="102"/>
    <w:autoRedefine/>
    <w:qFormat/>
    <w:uiPriority w:val="0"/>
    <w:pPr>
      <w:ind w:firstLine="420" w:firstLineChars="200"/>
    </w:pPr>
    <w:rPr>
      <w:szCs w:val="24"/>
    </w:rPr>
  </w:style>
  <w:style w:type="paragraph" w:customStyle="1" w:styleId="46">
    <w:name w:val="标题 1_1"/>
    <w:basedOn w:val="47"/>
    <w:next w:val="47"/>
    <w:autoRedefine/>
    <w:qFormat/>
    <w:uiPriority w:val="0"/>
    <w:pPr>
      <w:keepNext/>
      <w:keepLines/>
      <w:spacing w:before="340" w:after="330" w:line="578" w:lineRule="auto"/>
      <w:outlineLvl w:val="0"/>
    </w:pPr>
    <w:rPr>
      <w:b/>
      <w:bCs/>
      <w:kern w:val="44"/>
      <w:sz w:val="44"/>
      <w:szCs w:val="44"/>
    </w:rPr>
  </w:style>
  <w:style w:type="paragraph" w:customStyle="1" w:styleId="47">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字缩2字"/>
    <w:basedOn w:val="1"/>
    <w:autoRedefine/>
    <w:qFormat/>
    <w:uiPriority w:val="99"/>
    <w:pPr>
      <w:spacing w:before="60" w:after="60" w:line="360" w:lineRule="auto"/>
      <w:ind w:left="200" w:leftChars="200" w:firstLine="200" w:firstLineChars="200"/>
    </w:pPr>
    <w:rPr>
      <w:sz w:val="24"/>
    </w:rPr>
  </w:style>
  <w:style w:type="paragraph" w:customStyle="1" w:styleId="49">
    <w:name w:val="List Paragraph1"/>
    <w:basedOn w:val="1"/>
    <w:autoRedefine/>
    <w:qFormat/>
    <w:uiPriority w:val="0"/>
    <w:pPr>
      <w:ind w:firstLine="420" w:firstLineChars="200"/>
    </w:pPr>
  </w:style>
  <w:style w:type="paragraph" w:customStyle="1" w:styleId="50">
    <w:name w:val="p0"/>
    <w:basedOn w:val="1"/>
    <w:autoRedefine/>
    <w:qFormat/>
    <w:uiPriority w:val="0"/>
    <w:pPr>
      <w:widowControl/>
    </w:pPr>
    <w:rPr>
      <w:kern w:val="0"/>
      <w:sz w:val="28"/>
      <w:szCs w:val="28"/>
    </w:rPr>
  </w:style>
  <w:style w:type="paragraph" w:customStyle="1" w:styleId="51">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0"/>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列出段落11"/>
    <w:basedOn w:val="1"/>
    <w:autoRedefine/>
    <w:qFormat/>
    <w:uiPriority w:val="0"/>
    <w:pPr>
      <w:ind w:firstLine="420" w:firstLineChars="200"/>
    </w:pPr>
    <w:rPr>
      <w:rFonts w:cs="黑体"/>
      <w:szCs w:val="22"/>
    </w:rPr>
  </w:style>
  <w:style w:type="paragraph" w:customStyle="1" w:styleId="54">
    <w:name w:val="标题 2_1"/>
    <w:basedOn w:val="47"/>
    <w:next w:val="47"/>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55">
    <w:name w:val="_Style 91"/>
    <w:autoRedefine/>
    <w:unhideWhenUsed/>
    <w:qFormat/>
    <w:uiPriority w:val="99"/>
    <w:rPr>
      <w:rFonts w:ascii="Times New Roman" w:hAnsi="Times New Roman" w:eastAsia="宋体" w:cs="Times New Roman"/>
      <w:kern w:val="2"/>
      <w:sz w:val="21"/>
      <w:szCs w:val="21"/>
      <w:lang w:val="en-US" w:eastAsia="zh-CN" w:bidi="ar-SA"/>
    </w:rPr>
  </w:style>
  <w:style w:type="paragraph" w:customStyle="1" w:styleId="56">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强调文字"/>
    <w:basedOn w:val="47"/>
    <w:autoRedefine/>
    <w:qFormat/>
    <w:uiPriority w:val="0"/>
    <w:pPr>
      <w:ind w:firstLine="560"/>
    </w:pPr>
    <w:rPr>
      <w:rFonts w:eastAsia="黑体"/>
    </w:rPr>
  </w:style>
  <w:style w:type="paragraph" w:customStyle="1" w:styleId="58">
    <w:name w:val="Other|1"/>
    <w:basedOn w:val="1"/>
    <w:autoRedefine/>
    <w:qFormat/>
    <w:uiPriority w:val="0"/>
    <w:pPr>
      <w:spacing w:line="317" w:lineRule="auto"/>
      <w:ind w:firstLine="400"/>
    </w:pPr>
    <w:rPr>
      <w:rFonts w:ascii="宋体" w:hAnsi="宋体" w:cs="宋体"/>
      <w:sz w:val="18"/>
      <w:szCs w:val="18"/>
      <w:lang w:val="zh-TW" w:eastAsia="zh-TW" w:bidi="zh-TW"/>
    </w:rPr>
  </w:style>
  <w:style w:type="paragraph" w:customStyle="1" w:styleId="59">
    <w:name w:val="样式 左  0 字符"/>
    <w:qFormat/>
    <w:uiPriority w:val="0"/>
    <w:pPr>
      <w:widowControl w:val="0"/>
      <w:ind w:firstLine="200" w:firstLineChars="200"/>
      <w:jc w:val="both"/>
    </w:pPr>
    <w:rPr>
      <w:rFonts w:ascii="Times New Roman" w:hAnsi="Times New Roman" w:eastAsia="宋体" w:cs="宋体"/>
      <w:kern w:val="2"/>
      <w:sz w:val="28"/>
      <w:lang w:val="en-US" w:eastAsia="zh-CN" w:bidi="ar-SA"/>
    </w:rPr>
  </w:style>
  <w:style w:type="paragraph" w:customStyle="1" w:styleId="60">
    <w:name w:val="CM28"/>
    <w:basedOn w:val="61"/>
    <w:next w:val="61"/>
    <w:autoRedefine/>
    <w:qFormat/>
    <w:uiPriority w:val="0"/>
    <w:rPr>
      <w:color w:val="auto"/>
    </w:rPr>
  </w:style>
  <w:style w:type="paragraph" w:customStyle="1" w:styleId="6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62">
    <w:name w:val="缺省文本"/>
    <w:autoRedefine/>
    <w:qFormat/>
    <w:uiPriority w:val="0"/>
    <w:pPr>
      <w:widowControl w:val="0"/>
      <w:autoSpaceDE w:val="0"/>
      <w:autoSpaceDN w:val="0"/>
      <w:adjustRightInd w:val="0"/>
    </w:pPr>
    <w:rPr>
      <w:rFonts w:ascii="Calibri" w:hAnsi="Calibri" w:eastAsia="宋体" w:cs="Times New Roman"/>
      <w:sz w:val="24"/>
      <w:szCs w:val="22"/>
      <w:lang w:val="en-US" w:eastAsia="zh-CN" w:bidi="ar-SA"/>
    </w:rPr>
  </w:style>
  <w:style w:type="paragraph" w:customStyle="1" w:styleId="63">
    <w:name w:val="样式 标题 1h11st levelSection Headl11H1Title1PIM 1Titre Ah..."/>
    <w:basedOn w:val="2"/>
    <w:autoRedefine/>
    <w:qFormat/>
    <w:uiPriority w:val="0"/>
    <w:pPr>
      <w:pageBreakBefore/>
      <w:numPr>
        <w:ilvl w:val="0"/>
        <w:numId w:val="2"/>
      </w:numPr>
    </w:pPr>
    <w:rPr>
      <w:color w:val="000000"/>
    </w:rPr>
  </w:style>
  <w:style w:type="paragraph" w:customStyle="1" w:styleId="64">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页脚_0"/>
    <w:autoRedefine/>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customStyle="1" w:styleId="66">
    <w:name w:val="正文1"/>
    <w:qFormat/>
    <w:uiPriority w:val="0"/>
    <w:pPr>
      <w:widowControl w:val="0"/>
      <w:jc w:val="both"/>
    </w:pPr>
    <w:rPr>
      <w:rFonts w:ascii="Times New Roman" w:hAnsi="Times New Roman" w:eastAsia="宋体" w:cs="Times New Roman"/>
      <w:szCs w:val="24"/>
      <w:lang w:val="en-US" w:eastAsia="zh-CN" w:bidi="ar-SA"/>
    </w:rPr>
  </w:style>
  <w:style w:type="paragraph" w:customStyle="1" w:styleId="67">
    <w:name w:val="正文文本缩进_0"/>
    <w:basedOn w:val="47"/>
    <w:autoRedefine/>
    <w:qFormat/>
    <w:uiPriority w:val="0"/>
    <w:pPr>
      <w:spacing w:after="120"/>
      <w:ind w:left="420" w:leftChars="200"/>
    </w:pPr>
  </w:style>
  <w:style w:type="paragraph" w:customStyle="1" w:styleId="68">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4"/>
    <w:autoRedefine/>
    <w:qFormat/>
    <w:uiPriority w:val="0"/>
    <w:rPr>
      <w:rFonts w:ascii="Times New Roman" w:hAnsi="Times New Roman" w:eastAsia="Times New Roman" w:cs="Times New Roman"/>
      <w:sz w:val="24"/>
      <w:szCs w:val="24"/>
      <w:lang w:val="en-US" w:eastAsia="zh-CN" w:bidi="ar-SA"/>
    </w:rPr>
  </w:style>
  <w:style w:type="paragraph" w:customStyle="1" w:styleId="70">
    <w:name w:val="（符号）内容二标题1"/>
    <w:basedOn w:val="1"/>
    <w:autoRedefine/>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71">
    <w:name w:val="纯文本_0"/>
    <w:basedOn w:val="47"/>
    <w:autoRedefine/>
    <w:qFormat/>
    <w:uiPriority w:val="0"/>
    <w:rPr>
      <w:rFonts w:ascii="宋体" w:hAnsi="Courier New"/>
      <w:szCs w:val="20"/>
    </w:rPr>
  </w:style>
  <w:style w:type="paragraph" w:customStyle="1" w:styleId="72">
    <w:name w:val="正文文本_0"/>
    <w:autoRedefine/>
    <w:unhideWhenUsed/>
    <w:qFormat/>
    <w:uiPriority w:val="0"/>
    <w:pPr>
      <w:widowControl w:val="0"/>
      <w:autoSpaceDE w:val="0"/>
      <w:autoSpaceDN w:val="0"/>
      <w:adjustRightInd w:val="0"/>
      <w:spacing w:after="120"/>
    </w:pPr>
    <w:rPr>
      <w:rFonts w:ascii="Calibri" w:hAnsi="Calibri" w:eastAsia="宋体" w:cs="Times New Roman"/>
      <w:lang w:val="en-US" w:eastAsia="zh-CN" w:bidi="ar-SA"/>
    </w:rPr>
  </w:style>
  <w:style w:type="paragraph" w:customStyle="1" w:styleId="73">
    <w:name w:val="Table Paragraph"/>
    <w:basedOn w:val="1"/>
    <w:autoRedefine/>
    <w:qFormat/>
    <w:uiPriority w:val="0"/>
  </w:style>
  <w:style w:type="paragraph" w:customStyle="1" w:styleId="74">
    <w:name w:val="正文_2_0"/>
    <w:autoRedefine/>
    <w:qFormat/>
    <w:uiPriority w:val="0"/>
    <w:pPr>
      <w:widowControl w:val="0"/>
      <w:jc w:val="both"/>
    </w:pPr>
    <w:rPr>
      <w:rFonts w:ascii="Calibri" w:hAnsi="Calibri" w:eastAsia="宋体" w:cs="宋体"/>
      <w:kern w:val="2"/>
      <w:sz w:val="21"/>
      <w:szCs w:val="21"/>
      <w:lang w:val="en-US" w:eastAsia="zh-CN" w:bidi="ar-SA"/>
    </w:rPr>
  </w:style>
  <w:style w:type="paragraph" w:customStyle="1" w:styleId="75">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 w:val="0"/>
      <w:bCs w:val="0"/>
      <w:sz w:val="28"/>
      <w:szCs w:val="20"/>
    </w:rPr>
  </w:style>
  <w:style w:type="paragraph" w:customStyle="1" w:styleId="7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缩进 2_0"/>
    <w:basedOn w:val="47"/>
    <w:autoRedefine/>
    <w:qFormat/>
    <w:uiPriority w:val="0"/>
    <w:pPr>
      <w:spacing w:after="120" w:line="480" w:lineRule="auto"/>
      <w:ind w:left="420" w:leftChars="200"/>
    </w:pPr>
  </w:style>
  <w:style w:type="paragraph" w:customStyle="1" w:styleId="7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列出段落1"/>
    <w:basedOn w:val="1"/>
    <w:qFormat/>
    <w:uiPriority w:val="0"/>
    <w:pPr>
      <w:ind w:firstLine="420" w:firstLineChars="200"/>
    </w:pPr>
    <w:rPr>
      <w:szCs w:val="24"/>
    </w:rPr>
  </w:style>
  <w:style w:type="paragraph" w:customStyle="1" w:styleId="80">
    <w:name w:val="隔面"/>
    <w:basedOn w:val="47"/>
    <w:autoRedefine/>
    <w:qFormat/>
    <w:uiPriority w:val="0"/>
    <w:pPr>
      <w:jc w:val="center"/>
    </w:pPr>
    <w:rPr>
      <w:rFonts w:ascii="黑体" w:eastAsia="黑体"/>
      <w:b/>
      <w:sz w:val="48"/>
      <w:szCs w:val="48"/>
    </w:rPr>
  </w:style>
  <w:style w:type="paragraph" w:customStyle="1" w:styleId="81">
    <w:name w:val="标题 3_0"/>
    <w:basedOn w:val="47"/>
    <w:next w:val="47"/>
    <w:qFormat/>
    <w:uiPriority w:val="0"/>
    <w:pPr>
      <w:keepNext/>
      <w:keepLines/>
      <w:spacing w:before="260" w:after="260" w:line="416" w:lineRule="auto"/>
      <w:outlineLvl w:val="2"/>
    </w:pPr>
    <w:rPr>
      <w:b/>
      <w:bCs/>
      <w:sz w:val="32"/>
      <w:szCs w:val="32"/>
    </w:rPr>
  </w:style>
  <w:style w:type="paragraph" w:customStyle="1" w:styleId="82">
    <w:name w:val="标题 1_0"/>
    <w:next w:val="47"/>
    <w:qFormat/>
    <w:uiPriority w:val="0"/>
    <w:pPr>
      <w:keepNext/>
      <w:widowControl w:val="0"/>
      <w:numPr>
        <w:ilvl w:val="0"/>
        <w:numId w:val="3"/>
      </w:numPr>
      <w:autoSpaceDE w:val="0"/>
      <w:autoSpaceDN w:val="0"/>
      <w:adjustRightInd w:val="0"/>
      <w:spacing w:before="240" w:after="60"/>
      <w:outlineLvl w:val="0"/>
    </w:pPr>
    <w:rPr>
      <w:rFonts w:ascii="Arial" w:hAnsi="Arial" w:eastAsia="宋体" w:cs="Times New Roman"/>
      <w:b/>
      <w:kern w:val="28"/>
      <w:sz w:val="28"/>
      <w:lang w:val="en-US" w:eastAsia="zh-CN" w:bidi="ar-SA"/>
    </w:rPr>
  </w:style>
  <w:style w:type="paragraph" w:customStyle="1" w:styleId="83">
    <w:name w:val="Normal_3"/>
    <w:qFormat/>
    <w:uiPriority w:val="0"/>
    <w:rPr>
      <w:rFonts w:ascii="Times New Roman" w:hAnsi="Times New Roman" w:eastAsia="Times New Roman" w:cs="Times New Roman"/>
      <w:sz w:val="24"/>
      <w:szCs w:val="24"/>
      <w:lang w:val="en-US" w:eastAsia="zh-CN" w:bidi="ar-SA"/>
    </w:rPr>
  </w:style>
  <w:style w:type="paragraph" w:customStyle="1" w:styleId="84">
    <w:name w:val="段"/>
    <w:basedOn w:val="1"/>
    <w:next w:val="1"/>
    <w:autoRedefine/>
    <w:qFormat/>
    <w:uiPriority w:val="0"/>
    <w:pPr>
      <w:widowControl/>
      <w:autoSpaceDE w:val="0"/>
      <w:autoSpaceDN w:val="0"/>
      <w:adjustRightInd w:val="0"/>
      <w:snapToGrid w:val="0"/>
      <w:spacing w:line="360" w:lineRule="auto"/>
      <w:ind w:firstLine="200" w:firstLineChars="200"/>
    </w:pPr>
    <w:rPr>
      <w:rFonts w:hint="eastAsia" w:ascii="宋体"/>
      <w:kern w:val="0"/>
      <w:sz w:val="24"/>
      <w:szCs w:val="22"/>
    </w:rPr>
  </w:style>
  <w:style w:type="paragraph" w:customStyle="1" w:styleId="85">
    <w:name w:val="修订1"/>
    <w:hidden/>
    <w:unhideWhenUsed/>
    <w:qFormat/>
    <w:uiPriority w:val="99"/>
    <w:rPr>
      <w:rFonts w:ascii="Times New Roman" w:hAnsi="Times New Roman" w:eastAsia="宋体" w:cs="Times New Roman"/>
      <w:kern w:val="2"/>
      <w:sz w:val="21"/>
      <w:szCs w:val="21"/>
      <w:lang w:val="en-US" w:eastAsia="zh-CN" w:bidi="ar-SA"/>
    </w:rPr>
  </w:style>
  <w:style w:type="character" w:customStyle="1" w:styleId="86">
    <w:name w:val="批注主题 字符"/>
    <w:link w:val="15"/>
    <w:autoRedefine/>
    <w:qFormat/>
    <w:uiPriority w:val="0"/>
    <w:rPr>
      <w:rFonts w:ascii="Times New Roman" w:hAnsi="Times New Roman" w:eastAsia="宋体" w:cs="Times New Roman"/>
      <w:b/>
      <w:kern w:val="2"/>
      <w:sz w:val="21"/>
    </w:rPr>
  </w:style>
  <w:style w:type="character" w:customStyle="1" w:styleId="87">
    <w:name w:val="标题 1 字符"/>
    <w:link w:val="2"/>
    <w:autoRedefine/>
    <w:qFormat/>
    <w:uiPriority w:val="0"/>
    <w:rPr>
      <w:rFonts w:ascii="Calibri" w:hAnsi="Calibri" w:eastAsia="宋体" w:cs="Times New Roman"/>
      <w:b/>
      <w:bCs/>
      <w:kern w:val="44"/>
      <w:sz w:val="44"/>
      <w:szCs w:val="44"/>
    </w:rPr>
  </w:style>
  <w:style w:type="character" w:customStyle="1" w:styleId="88">
    <w:name w:val="批注文字 字符"/>
    <w:link w:val="10"/>
    <w:autoRedefine/>
    <w:qFormat/>
    <w:uiPriority w:val="99"/>
    <w:rPr>
      <w:rFonts w:ascii="Times New Roman" w:hAnsi="Times New Roman" w:eastAsia="宋体" w:cs="Times New Roman"/>
      <w:kern w:val="2"/>
      <w:sz w:val="21"/>
    </w:rPr>
  </w:style>
  <w:style w:type="character" w:customStyle="1" w:styleId="89">
    <w:name w:val="font01"/>
    <w:autoRedefine/>
    <w:qFormat/>
    <w:uiPriority w:val="0"/>
    <w:rPr>
      <w:rFonts w:hint="eastAsia" w:ascii="宋体" w:hAnsi="宋体" w:eastAsia="宋体" w:cs="宋体"/>
      <w:color w:val="000000"/>
      <w:sz w:val="24"/>
      <w:szCs w:val="24"/>
      <w:u w:val="none"/>
    </w:rPr>
  </w:style>
  <w:style w:type="character" w:customStyle="1" w:styleId="90">
    <w:name w:val="标题 2 字符"/>
    <w:link w:val="3"/>
    <w:autoRedefine/>
    <w:qFormat/>
    <w:uiPriority w:val="0"/>
    <w:rPr>
      <w:rFonts w:ascii="Cambria" w:hAnsi="Cambria" w:eastAsia="宋体" w:cs="Times New Roman"/>
      <w:b/>
      <w:bCs/>
      <w:sz w:val="32"/>
      <w:szCs w:val="32"/>
    </w:rPr>
  </w:style>
  <w:style w:type="character" w:customStyle="1" w:styleId="91">
    <w:name w:val="日期 字符"/>
    <w:link w:val="20"/>
    <w:autoRedefine/>
    <w:qFormat/>
    <w:uiPriority w:val="0"/>
    <w:rPr>
      <w:rFonts w:ascii="Times New Roman" w:hAnsi="Times New Roman" w:eastAsia="宋体" w:cs="Times New Roman"/>
    </w:rPr>
  </w:style>
  <w:style w:type="character" w:customStyle="1" w:styleId="92">
    <w:name w:val="尾注文本 字符"/>
    <w:link w:val="22"/>
    <w:autoRedefine/>
    <w:qFormat/>
    <w:uiPriority w:val="0"/>
    <w:rPr>
      <w:rFonts w:ascii="Times New Roman" w:hAnsi="Times New Roman" w:eastAsia="宋体" w:cs="Times New Roman"/>
      <w:kern w:val="2"/>
      <w:sz w:val="21"/>
      <w:szCs w:val="21"/>
    </w:rPr>
  </w:style>
  <w:style w:type="character" w:customStyle="1" w:styleId="93">
    <w:name w:val="标题 字符"/>
    <w:link w:val="36"/>
    <w:autoRedefine/>
    <w:qFormat/>
    <w:uiPriority w:val="0"/>
    <w:rPr>
      <w:rFonts w:ascii="Arial" w:hAnsi="Arial" w:eastAsia="PMingLiUfalt" w:cs="Times New Roman"/>
      <w:b/>
      <w:sz w:val="32"/>
      <w:lang w:eastAsia="zh-TW"/>
    </w:rPr>
  </w:style>
  <w:style w:type="character" w:customStyle="1" w:styleId="94">
    <w:name w:val="10_0"/>
    <w:autoRedefine/>
    <w:qFormat/>
    <w:uiPriority w:val="0"/>
    <w:rPr>
      <w:rFonts w:hint="default" w:ascii="Times New Roman" w:hAnsi="Times New Roman" w:eastAsia="宋体" w:cs="Times New Roman"/>
    </w:rPr>
  </w:style>
  <w:style w:type="character" w:customStyle="1" w:styleId="95">
    <w:name w:val="页脚 字符"/>
    <w:link w:val="24"/>
    <w:autoRedefine/>
    <w:qFormat/>
    <w:uiPriority w:val="0"/>
    <w:rPr>
      <w:rFonts w:ascii="Times New Roman" w:hAnsi="Times New Roman" w:eastAsia="宋体" w:cs="Times New Roman"/>
      <w:sz w:val="18"/>
    </w:rPr>
  </w:style>
  <w:style w:type="character" w:customStyle="1" w:styleId="96">
    <w:name w:val="标题 3 字符1"/>
    <w:autoRedefine/>
    <w:qFormat/>
    <w:uiPriority w:val="0"/>
    <w:rPr>
      <w:rFonts w:ascii="宋体" w:hAnsi="Times New Roman" w:eastAsia="宋体" w:cs="Times New Roman"/>
      <w:b/>
      <w:bCs/>
      <w:kern w:val="2"/>
      <w:sz w:val="24"/>
      <w:szCs w:val="32"/>
    </w:rPr>
  </w:style>
  <w:style w:type="character" w:customStyle="1" w:styleId="97">
    <w:name w:val="超链接_1"/>
    <w:autoRedefine/>
    <w:qFormat/>
    <w:uiPriority w:val="0"/>
    <w:rPr>
      <w:rFonts w:ascii="Times New Roman" w:hAnsi="Times New Roman" w:eastAsia="宋体" w:cs="Times New Roman"/>
      <w:color w:val="0000FF"/>
      <w:u w:val="single"/>
    </w:rPr>
  </w:style>
  <w:style w:type="character" w:customStyle="1" w:styleId="98">
    <w:name w:val="weby11"/>
    <w:autoRedefine/>
    <w:qFormat/>
    <w:uiPriority w:val="0"/>
    <w:rPr>
      <w:rFonts w:ascii="Times New Roman" w:hAnsi="Times New Roman" w:eastAsia="宋体" w:cs="Times New Roman"/>
      <w:sz w:val="18"/>
    </w:rPr>
  </w:style>
  <w:style w:type="character" w:customStyle="1" w:styleId="99">
    <w:name w:val="正文文本 字符"/>
    <w:link w:val="12"/>
    <w:autoRedefine/>
    <w:qFormat/>
    <w:uiPriority w:val="0"/>
    <w:rPr>
      <w:rFonts w:ascii="Times New Roman" w:hAnsi="Times New Roman" w:eastAsia="宋体" w:cs="Times New Roman"/>
      <w:sz w:val="21"/>
      <w:szCs w:val="21"/>
    </w:rPr>
  </w:style>
  <w:style w:type="character" w:customStyle="1" w:styleId="100">
    <w:name w:val="未处理的提及1"/>
    <w:basedOn w:val="39"/>
    <w:autoRedefine/>
    <w:unhideWhenUsed/>
    <w:qFormat/>
    <w:uiPriority w:val="99"/>
    <w:rPr>
      <w:color w:val="605E5C"/>
      <w:shd w:val="clear" w:color="auto" w:fill="E1DFDD"/>
    </w:rPr>
  </w:style>
  <w:style w:type="character" w:customStyle="1" w:styleId="101">
    <w:name w:val="Para head"/>
    <w:autoRedefine/>
    <w:qFormat/>
    <w:uiPriority w:val="0"/>
    <w:rPr>
      <w:rFonts w:ascii="Times New Roman" w:hAnsi="Times New Roman" w:eastAsia="宋体" w:cs="Times New Roman"/>
    </w:rPr>
  </w:style>
  <w:style w:type="character" w:customStyle="1" w:styleId="102">
    <w:name w:val="列表段落 字符"/>
    <w:link w:val="45"/>
    <w:autoRedefine/>
    <w:qFormat/>
    <w:uiPriority w:val="0"/>
    <w:rPr>
      <w:rFonts w:ascii="Times New Roman" w:hAnsi="Times New Roman" w:eastAsia="宋体" w:cs="Times New Roman"/>
      <w:kern w:val="2"/>
      <w:sz w:val="21"/>
      <w:szCs w:val="24"/>
    </w:rPr>
  </w:style>
  <w:style w:type="character" w:customStyle="1" w:styleId="103">
    <w:name w:val="批注框文本 字符"/>
    <w:link w:val="23"/>
    <w:autoRedefine/>
    <w:qFormat/>
    <w:uiPriority w:val="0"/>
    <w:rPr>
      <w:rFonts w:ascii="Times New Roman" w:hAnsi="Times New Roman" w:eastAsia="宋体" w:cs="Times New Roman"/>
      <w:sz w:val="18"/>
    </w:rPr>
  </w:style>
  <w:style w:type="character" w:customStyle="1" w:styleId="104">
    <w:name w:val="op-map-singlepoint-info-right"/>
    <w:autoRedefine/>
    <w:qFormat/>
    <w:uiPriority w:val="0"/>
    <w:rPr>
      <w:rFonts w:ascii="Times New Roman" w:hAnsi="Times New Roman" w:eastAsia="宋体" w:cs="Times New Roman"/>
    </w:rPr>
  </w:style>
  <w:style w:type="character" w:customStyle="1" w:styleId="105">
    <w:name w:val="正文文本缩进 字符"/>
    <w:link w:val="13"/>
    <w:autoRedefine/>
    <w:qFormat/>
    <w:uiPriority w:val="0"/>
    <w:rPr>
      <w:rFonts w:ascii="Times New Roman" w:hAnsi="Times New Roman" w:eastAsia="宋体" w:cs="Times New Roman"/>
      <w:sz w:val="20"/>
    </w:rPr>
  </w:style>
  <w:style w:type="character" w:customStyle="1" w:styleId="106">
    <w:name w:val="纯文本 字符"/>
    <w:link w:val="18"/>
    <w:autoRedefine/>
    <w:qFormat/>
    <w:uiPriority w:val="0"/>
    <w:rPr>
      <w:rFonts w:ascii="宋体" w:hAnsi="Courier New" w:eastAsia="宋体" w:cs="Times New Roman"/>
      <w:sz w:val="21"/>
    </w:rPr>
  </w:style>
  <w:style w:type="character" w:customStyle="1" w:styleId="107">
    <w:name w:val="页眉 字符"/>
    <w:link w:val="25"/>
    <w:autoRedefine/>
    <w:qFormat/>
    <w:uiPriority w:val="0"/>
    <w:rPr>
      <w:rFonts w:ascii="Times New Roman" w:hAnsi="Times New Roman" w:eastAsia="宋体" w:cs="Times New Roman"/>
      <w:sz w:val="18"/>
    </w:rPr>
  </w:style>
  <w:style w:type="character" w:customStyle="1" w:styleId="108">
    <w:name w:val="标题 3 字符"/>
    <w:link w:val="4"/>
    <w:autoRedefine/>
    <w:qFormat/>
    <w:uiPriority w:val="0"/>
    <w:rPr>
      <w:rFonts w:ascii="Times New Roman" w:hAnsi="Times New Roman" w:eastAsia="宋体" w:cs="Times New Roman"/>
      <w:b/>
      <w:bCs/>
      <w:sz w:val="32"/>
      <w:szCs w:val="32"/>
    </w:rPr>
  </w:style>
  <w:style w:type="character" w:customStyle="1" w:styleId="109">
    <w:name w:val="fontstyle01"/>
    <w:autoRedefine/>
    <w:qFormat/>
    <w:uiPriority w:val="0"/>
    <w:rPr>
      <w:rFonts w:hint="eastAsia" w:ascii="宋体" w:hAnsi="宋体" w:eastAsia="宋体" w:cs="Times New Roman"/>
      <w:color w:val="000000"/>
      <w:sz w:val="24"/>
      <w:szCs w:val="24"/>
    </w:rPr>
  </w:style>
  <w:style w:type="character" w:customStyle="1" w:styleId="110">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111">
    <w:name w:val="注："/>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112">
    <w:name w:val="正文 New"/>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16558</Words>
  <Characters>17825</Characters>
  <Lines>385</Lines>
  <Paragraphs>108</Paragraphs>
  <TotalTime>0</TotalTime>
  <ScaleCrop>false</ScaleCrop>
  <LinksUpToDate>false</LinksUpToDate>
  <CharactersWithSpaces>18895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2023-04-20T00:46:00Z</dcterms:created>
  <dc:creator>YangXiang</dc:creator>
  <cp:lastModifiedBy>覃珩</cp:lastModifiedBy>
  <cp:lastPrinted>2023-09-15T02:28:00Z</cp:lastPrinted>
  <dcterms:modified xsi:type="dcterms:W3CDTF">2024-09-30T03:02:42Z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1C243B5587AE45F294F17B9B369685E7_13</vt:lpwstr>
  </property>
</Properties>
</file>