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8DB5D">
      <w:pPr>
        <w:jc w:val="center"/>
        <w:rPr>
          <w:rFonts w:hint="default" w:ascii="Times New Roman" w:hAnsi="Times New Roman" w:eastAsia="宋体" w:cs="Times New Roman"/>
          <w:b/>
          <w:bCs/>
          <w:color w:val="auto"/>
          <w:sz w:val="30"/>
          <w:szCs w:val="30"/>
          <w:highlight w:val="none"/>
          <w:lang w:val="en-US" w:eastAsia="zh-CN"/>
        </w:rPr>
      </w:pPr>
      <w:bookmarkStart w:id="27" w:name="_GoBack"/>
      <w:r>
        <w:rPr>
          <w:rFonts w:hint="eastAsia" w:cs="Times New Roman"/>
          <w:b/>
          <w:bCs/>
          <w:color w:val="auto"/>
          <w:sz w:val="30"/>
          <w:szCs w:val="30"/>
          <w:highlight w:val="none"/>
          <w:lang w:eastAsia="zh-CN"/>
        </w:rPr>
        <w:t>武汉天河机场采购西南灯光站 UPS 设备交、直流电容及四个灯光站 UPS 供电设备维保项目（</w:t>
      </w:r>
      <w:r>
        <w:rPr>
          <w:rFonts w:hint="eastAsia" w:cs="Times New Roman"/>
          <w:b/>
          <w:bCs/>
          <w:color w:val="auto"/>
          <w:sz w:val="30"/>
          <w:szCs w:val="30"/>
          <w:highlight w:val="none"/>
          <w:lang w:val="en-US" w:eastAsia="zh-CN"/>
        </w:rPr>
        <w:t>二次）</w:t>
      </w:r>
      <w:r>
        <w:rPr>
          <w:rFonts w:hint="default" w:ascii="Times New Roman" w:hAnsi="Times New Roman" w:cs="Times New Roman"/>
          <w:b/>
          <w:bCs/>
          <w:color w:val="auto"/>
          <w:sz w:val="30"/>
          <w:szCs w:val="30"/>
          <w:highlight w:val="none"/>
          <w:lang w:val="en-US" w:eastAsia="zh-CN"/>
        </w:rPr>
        <w:t>询价公告</w:t>
      </w:r>
    </w:p>
    <w:bookmarkEnd w:id="27"/>
    <w:p w14:paraId="25D355BD">
      <w:pPr>
        <w:numPr>
          <w:ilvl w:val="0"/>
          <w:numId w:val="0"/>
        </w:numPr>
        <w:rPr>
          <w:rFonts w:hint="default" w:ascii="Times New Roman" w:hAnsi="Times New Roman" w:eastAsia="宋体" w:cs="Times New Roman"/>
          <w:color w:val="auto"/>
          <w:highlight w:val="none"/>
        </w:rPr>
      </w:pPr>
    </w:p>
    <w:p w14:paraId="33867D2A">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湖北路港工程咨询有限公司（以下简称“采购代理机构”）受</w:t>
      </w:r>
      <w:r>
        <w:rPr>
          <w:rFonts w:hint="eastAsia" w:cs="Times New Roman"/>
          <w:color w:val="auto"/>
          <w:sz w:val="24"/>
          <w:szCs w:val="24"/>
          <w:highlight w:val="none"/>
          <w:lang w:eastAsia="zh-CN"/>
        </w:rPr>
        <w:t>武汉天河机场有限责任公司</w:t>
      </w:r>
      <w:r>
        <w:rPr>
          <w:rFonts w:hint="default" w:ascii="Times New Roman" w:hAnsi="Times New Roman" w:eastAsia="宋体" w:cs="Times New Roman"/>
          <w:color w:val="auto"/>
          <w:sz w:val="24"/>
          <w:szCs w:val="24"/>
          <w:highlight w:val="none"/>
        </w:rPr>
        <w:t>（以下简称“采购人”）的委托，对本项目组织</w:t>
      </w:r>
      <w:r>
        <w:rPr>
          <w:rFonts w:hint="default" w:ascii="Times New Roman" w:hAnsi="Times New Roman" w:eastAsia="宋体" w:cs="Times New Roman"/>
          <w:color w:val="auto"/>
          <w:sz w:val="24"/>
          <w:szCs w:val="24"/>
          <w:highlight w:val="none"/>
          <w:lang w:val="en-US" w:eastAsia="zh-CN"/>
        </w:rPr>
        <w:t>公开</w:t>
      </w:r>
      <w:r>
        <w:rPr>
          <w:rFonts w:hint="default" w:ascii="Times New Roman" w:hAnsi="Times New Roman" w:eastAsia="宋体" w:cs="Times New Roman"/>
          <w:color w:val="auto"/>
          <w:sz w:val="24"/>
          <w:szCs w:val="24"/>
          <w:highlight w:val="none"/>
        </w:rPr>
        <w:t>询价采购。资金来源：企业自筹资金。欢迎符合资格条件的供应商报价。</w:t>
      </w:r>
    </w:p>
    <w:p w14:paraId="614E53A3">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0" w:name="_Toc4884"/>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项目概况</w:t>
      </w:r>
      <w:bookmarkEnd w:id="0"/>
    </w:p>
    <w:p w14:paraId="41E8C6C8">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bookmarkStart w:id="1" w:name="_Toc268164856"/>
      <w:bookmarkStart w:id="2" w:name="_Toc238461289"/>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项目编号：</w:t>
      </w:r>
      <w:r>
        <w:rPr>
          <w:rFonts w:hint="eastAsia" w:cs="Times New Roman"/>
          <w:color w:val="auto"/>
          <w:sz w:val="24"/>
          <w:szCs w:val="24"/>
          <w:highlight w:val="none"/>
          <w:lang w:val="en-US" w:eastAsia="zh-CN"/>
        </w:rPr>
        <w:t>THGZ20240092</w:t>
      </w:r>
    </w:p>
    <w:p w14:paraId="3775FF77">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项目名称：</w:t>
      </w:r>
      <w:bookmarkEnd w:id="1"/>
      <w:bookmarkEnd w:id="2"/>
      <w:r>
        <w:rPr>
          <w:rFonts w:hint="eastAsia" w:cs="Times New Roman"/>
          <w:color w:val="auto"/>
          <w:sz w:val="24"/>
          <w:szCs w:val="24"/>
          <w:highlight w:val="none"/>
          <w:lang w:eastAsia="zh-CN"/>
        </w:rPr>
        <w:t>武汉天河机场采购西南灯光站 UPS 设备交、直流电容及四个灯光站 UPS 供电设备维保项目（</w:t>
      </w:r>
      <w:r>
        <w:rPr>
          <w:rFonts w:hint="eastAsia" w:cs="Times New Roman"/>
          <w:color w:val="auto"/>
          <w:sz w:val="24"/>
          <w:szCs w:val="24"/>
          <w:highlight w:val="none"/>
          <w:lang w:val="en-US" w:eastAsia="zh-CN"/>
        </w:rPr>
        <w:t>二次）</w:t>
      </w:r>
      <w:r>
        <w:rPr>
          <w:rFonts w:hint="eastAsia" w:cs="Times New Roman"/>
          <w:color w:val="auto"/>
          <w:sz w:val="24"/>
          <w:szCs w:val="24"/>
          <w:highlight w:val="none"/>
          <w:lang w:eastAsia="zh-CN"/>
        </w:rPr>
        <w:t>。</w:t>
      </w:r>
    </w:p>
    <w:p w14:paraId="56A52AF2">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3.采购内容：</w:t>
      </w:r>
    </w:p>
    <w:p w14:paraId="7534C642">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采购186颗交、直流电容</w:t>
      </w:r>
      <w:r>
        <w:rPr>
          <w:rFonts w:hint="eastAsia" w:cs="Times New Roman"/>
          <w:color w:val="auto"/>
          <w:sz w:val="24"/>
          <w:szCs w:val="24"/>
          <w:highlight w:val="none"/>
          <w:lang w:val="en-US" w:eastAsia="zh-CN"/>
        </w:rPr>
        <w:t>，负责安装调试等服务。</w:t>
      </w:r>
    </w:p>
    <w:tbl>
      <w:tblPr>
        <w:tblStyle w:val="8"/>
        <w:tblW w:w="934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9"/>
        <w:gridCol w:w="1570"/>
        <w:gridCol w:w="1490"/>
        <w:gridCol w:w="3290"/>
        <w:gridCol w:w="2130"/>
      </w:tblGrid>
      <w:tr w14:paraId="2633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14:paraId="018E532B">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14:paraId="626C392A">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UPS型号</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126580A">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数量（台）</w:t>
            </w:r>
          </w:p>
        </w:tc>
        <w:tc>
          <w:tcPr>
            <w:tcW w:w="3290" w:type="dxa"/>
            <w:tcBorders>
              <w:top w:val="single" w:color="000000" w:sz="4" w:space="0"/>
              <w:left w:val="single" w:color="000000" w:sz="4" w:space="0"/>
              <w:bottom w:val="single" w:color="000000" w:sz="4" w:space="0"/>
              <w:right w:val="single" w:color="000000" w:sz="4" w:space="0"/>
            </w:tcBorders>
            <w:noWrap w:val="0"/>
            <w:vAlign w:val="center"/>
          </w:tcPr>
          <w:p w14:paraId="7EE5EC00">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描述</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037BF31">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小计颗数（只）</w:t>
            </w:r>
          </w:p>
        </w:tc>
      </w:tr>
      <w:tr w14:paraId="4FAC7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69" w:type="dxa"/>
            <w:vMerge w:val="restart"/>
            <w:tcBorders>
              <w:top w:val="single" w:color="000000" w:sz="4" w:space="0"/>
              <w:left w:val="single" w:color="000000" w:sz="4" w:space="0"/>
              <w:right w:val="single" w:color="000000" w:sz="4" w:space="0"/>
            </w:tcBorders>
            <w:noWrap w:val="0"/>
            <w:vAlign w:val="center"/>
          </w:tcPr>
          <w:p w14:paraId="5C083B95">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p w14:paraId="0033A9DE">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1570" w:type="dxa"/>
            <w:vMerge w:val="restart"/>
            <w:tcBorders>
              <w:top w:val="single" w:color="000000" w:sz="4" w:space="0"/>
              <w:left w:val="single" w:color="000000" w:sz="4" w:space="0"/>
              <w:right w:val="single" w:color="000000" w:sz="4" w:space="0"/>
            </w:tcBorders>
            <w:noWrap w:val="0"/>
            <w:vAlign w:val="center"/>
          </w:tcPr>
          <w:p w14:paraId="1456CDD6">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中</w:t>
            </w:r>
            <w:r>
              <w:rPr>
                <w:rFonts w:hint="eastAsia" w:ascii="宋体" w:hAnsi="宋体" w:eastAsia="宋体" w:cs="宋体"/>
                <w:i w:val="0"/>
                <w:iCs w:val="0"/>
                <w:color w:val="auto"/>
                <w:sz w:val="22"/>
                <w:szCs w:val="22"/>
                <w:highlight w:val="none"/>
                <w:u w:val="none"/>
              </w:rPr>
              <w:t>达</w:t>
            </w:r>
          </w:p>
          <w:p w14:paraId="4DB4896F">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rPr>
              <w:t>NT5OOK</w:t>
            </w:r>
            <w:r>
              <w:rPr>
                <w:rFonts w:hint="eastAsia" w:ascii="宋体" w:hAnsi="宋体" w:eastAsia="宋体" w:cs="宋体"/>
                <w:i w:val="0"/>
                <w:iCs w:val="0"/>
                <w:color w:val="auto"/>
                <w:sz w:val="22"/>
                <w:szCs w:val="22"/>
                <w:highlight w:val="none"/>
                <w:u w:val="none"/>
                <w:lang w:val="en-US" w:eastAsia="zh-CN"/>
              </w:rPr>
              <w:t>VA</w:t>
            </w:r>
          </w:p>
        </w:tc>
        <w:tc>
          <w:tcPr>
            <w:tcW w:w="1490" w:type="dxa"/>
            <w:vMerge w:val="restart"/>
            <w:tcBorders>
              <w:top w:val="single" w:color="000000" w:sz="4" w:space="0"/>
              <w:left w:val="single" w:color="000000" w:sz="4" w:space="0"/>
              <w:right w:val="single" w:color="000000" w:sz="4" w:space="0"/>
            </w:tcBorders>
            <w:noWrap w:val="0"/>
            <w:vAlign w:val="center"/>
          </w:tcPr>
          <w:p w14:paraId="62C20C44">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3290" w:type="dxa"/>
            <w:tcBorders>
              <w:top w:val="single" w:color="000000" w:sz="4" w:space="0"/>
              <w:left w:val="single" w:color="000000" w:sz="4" w:space="0"/>
              <w:bottom w:val="single" w:color="000000" w:sz="4" w:space="0"/>
              <w:right w:val="single" w:color="000000" w:sz="4" w:space="0"/>
            </w:tcBorders>
            <w:noWrap w:val="0"/>
            <w:vAlign w:val="center"/>
          </w:tcPr>
          <w:p w14:paraId="6936A10C">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rPr>
              <w:t>单台直流电容颗数</w:t>
            </w:r>
            <w:r>
              <w:rPr>
                <w:rFonts w:hint="eastAsia" w:ascii="宋体" w:hAnsi="宋体" w:eastAsia="宋体" w:cs="宋体"/>
                <w:b/>
                <w:bCs/>
                <w:i w:val="0"/>
                <w:iCs w:val="0"/>
                <w:color w:val="auto"/>
                <w:sz w:val="22"/>
                <w:szCs w:val="22"/>
                <w:highlight w:val="none"/>
                <w:u w:val="none"/>
                <w:lang w:eastAsia="zh-CN"/>
              </w:rPr>
              <w:t>：</w:t>
            </w:r>
            <w:r>
              <w:rPr>
                <w:rFonts w:hint="eastAsia" w:ascii="宋体" w:hAnsi="宋体" w:eastAsia="宋体" w:cs="宋体"/>
                <w:b/>
                <w:bCs/>
                <w:i w:val="0"/>
                <w:iCs w:val="0"/>
                <w:color w:val="auto"/>
                <w:sz w:val="22"/>
                <w:szCs w:val="22"/>
                <w:highlight w:val="none"/>
                <w:u w:val="none"/>
                <w:lang w:val="en-US" w:eastAsia="zh-CN"/>
              </w:rPr>
              <w:t>48</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6E07E30">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96</w:t>
            </w:r>
          </w:p>
        </w:tc>
      </w:tr>
      <w:tr w14:paraId="03BD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69" w:type="dxa"/>
            <w:vMerge w:val="continue"/>
            <w:tcBorders>
              <w:left w:val="single" w:color="000000" w:sz="4" w:space="0"/>
              <w:bottom w:val="single" w:color="000000" w:sz="4" w:space="0"/>
              <w:right w:val="single" w:color="000000" w:sz="4" w:space="0"/>
            </w:tcBorders>
            <w:noWrap w:val="0"/>
            <w:vAlign w:val="center"/>
          </w:tcPr>
          <w:p w14:paraId="31635681">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1570" w:type="dxa"/>
            <w:vMerge w:val="continue"/>
            <w:tcBorders>
              <w:left w:val="single" w:color="000000" w:sz="4" w:space="0"/>
              <w:bottom w:val="single" w:color="000000" w:sz="4" w:space="0"/>
              <w:right w:val="single" w:color="000000" w:sz="4" w:space="0"/>
            </w:tcBorders>
            <w:noWrap w:val="0"/>
            <w:vAlign w:val="center"/>
          </w:tcPr>
          <w:p w14:paraId="41BB2A6A">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sz w:val="22"/>
                <w:szCs w:val="22"/>
                <w:highlight w:val="none"/>
                <w:u w:val="none"/>
              </w:rPr>
            </w:pPr>
          </w:p>
        </w:tc>
        <w:tc>
          <w:tcPr>
            <w:tcW w:w="1490" w:type="dxa"/>
            <w:vMerge w:val="continue"/>
            <w:tcBorders>
              <w:left w:val="single" w:color="000000" w:sz="4" w:space="0"/>
              <w:bottom w:val="single" w:color="000000" w:sz="4" w:space="0"/>
              <w:right w:val="single" w:color="000000" w:sz="4" w:space="0"/>
            </w:tcBorders>
            <w:noWrap w:val="0"/>
            <w:vAlign w:val="center"/>
          </w:tcPr>
          <w:p w14:paraId="015D90B9">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290" w:type="dxa"/>
            <w:tcBorders>
              <w:top w:val="single" w:color="000000" w:sz="4" w:space="0"/>
              <w:left w:val="single" w:color="000000" w:sz="4" w:space="0"/>
              <w:bottom w:val="single" w:color="000000" w:sz="4" w:space="0"/>
              <w:right w:val="single" w:color="000000" w:sz="4" w:space="0"/>
            </w:tcBorders>
            <w:noWrap w:val="0"/>
            <w:vAlign w:val="center"/>
          </w:tcPr>
          <w:p w14:paraId="62F731E5">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单台交流电容颗数：45</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DBD2CC8">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90</w:t>
            </w:r>
          </w:p>
        </w:tc>
      </w:tr>
    </w:tbl>
    <w:p w14:paraId="1E06D5AC">
      <w:pPr>
        <w:pageBreakBefore w:val="0"/>
        <w:kinsoku/>
        <w:overflowPunct/>
        <w:topLinePunct w:val="0"/>
        <w:bidi w:val="0"/>
        <w:adjustRightInd/>
        <w:snapToGrid/>
        <w:spacing w:line="360" w:lineRule="auto"/>
        <w:rPr>
          <w:rFonts w:hint="eastAsia"/>
          <w:color w:val="auto"/>
          <w:highlight w:val="none"/>
          <w:lang w:val="en-US" w:eastAsia="zh-CN"/>
        </w:rPr>
      </w:pPr>
    </w:p>
    <w:p w14:paraId="709EA3CE">
      <w:pPr>
        <w:pageBreakBefore w:val="0"/>
        <w:kinsoku/>
        <w:overflowPunct/>
        <w:topLinePunct w:val="0"/>
        <w:bidi w:val="0"/>
        <w:adjustRightInd/>
        <w:snapToGrid/>
        <w:spacing w:line="360" w:lineRule="auto"/>
        <w:rPr>
          <w:rFonts w:hint="default"/>
          <w:color w:val="auto"/>
          <w:highlight w:val="none"/>
          <w:lang w:val="en-US" w:eastAsia="zh-CN"/>
        </w:rPr>
      </w:pPr>
      <w:r>
        <w:rPr>
          <w:rFonts w:hint="eastAsia"/>
          <w:color w:val="auto"/>
          <w:highlight w:val="none"/>
          <w:lang w:val="en-US" w:eastAsia="zh-CN"/>
        </w:rPr>
        <w:t>（2）8套UPS供电设备维保一次，且在维保结束后出具一份维保报告。</w:t>
      </w:r>
    </w:p>
    <w:tbl>
      <w:tblPr>
        <w:tblStyle w:val="8"/>
        <w:tblW w:w="932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1"/>
        <w:gridCol w:w="1908"/>
        <w:gridCol w:w="2870"/>
        <w:gridCol w:w="1230"/>
        <w:gridCol w:w="1170"/>
        <w:gridCol w:w="1290"/>
      </w:tblGrid>
      <w:tr w14:paraId="04E4F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61" w:type="dxa"/>
            <w:tcBorders>
              <w:top w:val="single" w:color="000000" w:sz="4" w:space="0"/>
              <w:left w:val="single" w:color="000000" w:sz="4" w:space="0"/>
              <w:bottom w:val="single" w:color="000000" w:sz="4" w:space="0"/>
              <w:right w:val="single" w:color="000000" w:sz="4" w:space="0"/>
            </w:tcBorders>
            <w:noWrap w:val="0"/>
            <w:vAlign w:val="center"/>
          </w:tcPr>
          <w:p w14:paraId="645D90B6">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C43ECCA">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UPS型号及容量</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26772D7D">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描述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7D34583">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数量（台）</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4A2EBE6">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6D2C42F">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地点</w:t>
            </w:r>
          </w:p>
        </w:tc>
      </w:tr>
      <w:tr w14:paraId="5A522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61" w:type="dxa"/>
            <w:tcBorders>
              <w:top w:val="single" w:color="000000" w:sz="4" w:space="0"/>
              <w:left w:val="single" w:color="000000" w:sz="4" w:space="0"/>
              <w:bottom w:val="single" w:color="000000" w:sz="4" w:space="0"/>
              <w:right w:val="single" w:color="000000" w:sz="4" w:space="0"/>
            </w:tcBorders>
            <w:noWrap w:val="0"/>
            <w:vAlign w:val="center"/>
          </w:tcPr>
          <w:p w14:paraId="4B921650">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4220F5E">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NT500KVA</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7299F3A5">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rPr>
              <w:t>单台电容数量</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rPr>
              <w:t>只</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93</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DB6E269">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020AC3B">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台/组</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E1D73C">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东南站</w:t>
            </w:r>
          </w:p>
        </w:tc>
      </w:tr>
      <w:tr w14:paraId="151D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61" w:type="dxa"/>
            <w:tcBorders>
              <w:top w:val="single" w:color="000000" w:sz="4" w:space="0"/>
              <w:left w:val="single" w:color="000000" w:sz="4" w:space="0"/>
              <w:bottom w:val="single" w:color="000000" w:sz="4" w:space="0"/>
              <w:right w:val="single" w:color="000000" w:sz="4" w:space="0"/>
            </w:tcBorders>
            <w:noWrap w:val="0"/>
            <w:vAlign w:val="center"/>
          </w:tcPr>
          <w:p w14:paraId="476FA2B4">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F420C43">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NT260KVA</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714F07D2">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sz w:val="22"/>
                <w:szCs w:val="22"/>
                <w:highlight w:val="none"/>
                <w:u w:val="none"/>
              </w:rPr>
              <w:t>单台电容数量</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rPr>
              <w:t>只</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54</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F4719A7">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020AA74">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台/组</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1454B8">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东北站</w:t>
            </w:r>
          </w:p>
        </w:tc>
      </w:tr>
      <w:tr w14:paraId="4FF5D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61" w:type="dxa"/>
            <w:tcBorders>
              <w:top w:val="single" w:color="000000" w:sz="4" w:space="0"/>
              <w:left w:val="single" w:color="000000" w:sz="4" w:space="0"/>
              <w:bottom w:val="single" w:color="000000" w:sz="4" w:space="0"/>
              <w:right w:val="single" w:color="000000" w:sz="4" w:space="0"/>
            </w:tcBorders>
            <w:noWrap w:val="0"/>
            <w:vAlign w:val="center"/>
          </w:tcPr>
          <w:p w14:paraId="47075021">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1908" w:type="dxa"/>
            <w:tcBorders>
              <w:top w:val="nil"/>
              <w:left w:val="single" w:color="000000" w:sz="4" w:space="0"/>
              <w:bottom w:val="nil"/>
              <w:right w:val="single" w:color="000000" w:sz="4" w:space="0"/>
            </w:tcBorders>
            <w:noWrap w:val="0"/>
            <w:vAlign w:val="center"/>
          </w:tcPr>
          <w:p w14:paraId="3086EFBE">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NT500KVA</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70A24A6F">
            <w:pPr>
              <w:keepNext w:val="0"/>
              <w:keepLines w:val="0"/>
              <w:pageBreakBefore w:val="0"/>
              <w:widowControl/>
              <w:suppressLineNumbers w:val="0"/>
              <w:kinsoku/>
              <w:overflowPunct/>
              <w:topLinePunct w:val="0"/>
              <w:bidi w:val="0"/>
              <w:adjustRightInd/>
              <w:snapToGrid/>
              <w:spacing w:line="360" w:lineRule="auto"/>
              <w:jc w:val="center"/>
              <w:textAlignment w:val="bottom"/>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sz w:val="22"/>
                <w:szCs w:val="22"/>
                <w:highlight w:val="none"/>
                <w:u w:val="none"/>
              </w:rPr>
              <w:t>单台电容数量</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rPr>
              <w:t>只</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93</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E5BF603">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D376430">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台/组</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244899">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西南站</w:t>
            </w:r>
          </w:p>
        </w:tc>
      </w:tr>
      <w:tr w14:paraId="1AD30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61" w:type="dxa"/>
            <w:tcBorders>
              <w:top w:val="single" w:color="000000" w:sz="4" w:space="0"/>
              <w:left w:val="single" w:color="000000" w:sz="4" w:space="0"/>
              <w:bottom w:val="single" w:color="000000" w:sz="4" w:space="0"/>
              <w:right w:val="single" w:color="000000" w:sz="4" w:space="0"/>
            </w:tcBorders>
            <w:noWrap w:val="0"/>
            <w:vAlign w:val="center"/>
          </w:tcPr>
          <w:p w14:paraId="7D8D6768">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1B73C33">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YTG120KVA</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43D58F77">
            <w:pPr>
              <w:keepNext w:val="0"/>
              <w:keepLines w:val="0"/>
              <w:pageBreakBefore w:val="0"/>
              <w:widowControl/>
              <w:suppressLineNumbers w:val="0"/>
              <w:kinsoku/>
              <w:overflowPunct/>
              <w:topLinePunct w:val="0"/>
              <w:bidi w:val="0"/>
              <w:adjustRightInd/>
              <w:snapToGrid/>
              <w:spacing w:line="360" w:lineRule="auto"/>
              <w:jc w:val="center"/>
              <w:textAlignment w:val="bottom"/>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sz w:val="22"/>
                <w:szCs w:val="22"/>
                <w:highlight w:val="none"/>
                <w:u w:val="none"/>
              </w:rPr>
              <w:t>单台电容数量</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rPr>
              <w:t>只</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36</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08B4DC9">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3899829">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台/组</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49BDA8">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西北站</w:t>
            </w:r>
          </w:p>
        </w:tc>
      </w:tr>
    </w:tbl>
    <w:p w14:paraId="58C6911E">
      <w:pPr>
        <w:pageBreakBefore w:val="0"/>
        <w:kinsoku/>
        <w:overflowPunct/>
        <w:topLinePunct w:val="0"/>
        <w:bidi w:val="0"/>
        <w:adjustRightInd/>
        <w:snapToGrid/>
        <w:spacing w:line="360" w:lineRule="auto"/>
        <w:rPr>
          <w:rFonts w:hint="eastAsia"/>
          <w:color w:val="auto"/>
          <w:highlight w:val="none"/>
          <w:lang w:val="en-US" w:eastAsia="zh-CN"/>
        </w:rPr>
      </w:pPr>
    </w:p>
    <w:p w14:paraId="109622D2">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本次采购不允许分包。</w:t>
      </w:r>
    </w:p>
    <w:p w14:paraId="153D0828">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4.采购预算：29.68万元，供应商响应报价超过该包预算金额的</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该包竞标为无效竞标。</w:t>
      </w:r>
    </w:p>
    <w:p w14:paraId="3ACC430B">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bookmarkStart w:id="3" w:name="_Toc268164859"/>
      <w:r>
        <w:rPr>
          <w:rFonts w:hint="default"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服务期限</w:t>
      </w:r>
      <w:r>
        <w:rPr>
          <w:rFonts w:hint="default" w:ascii="Times New Roman" w:hAnsi="Times New Roman" w:eastAsia="宋体" w:cs="Times New Roman"/>
          <w:color w:val="auto"/>
          <w:sz w:val="24"/>
          <w:szCs w:val="24"/>
          <w:highlight w:val="none"/>
          <w:lang w:val="en-US" w:eastAsia="zh-CN"/>
        </w:rPr>
        <w:t>：</w:t>
      </w:r>
    </w:p>
    <w:p w14:paraId="1FDC9D94">
      <w:pPr>
        <w:pageBreakBefore w:val="0"/>
        <w:widowControl w:val="0"/>
        <w:tabs>
          <w:tab w:val="left" w:pos="2130"/>
          <w:tab w:val="center" w:pos="4156"/>
        </w:tabs>
        <w:kinsoku/>
        <w:overflowPunct/>
        <w:topLinePunct w:val="0"/>
        <w:autoSpaceDE/>
        <w:autoSpaceDN/>
        <w:bidi w:val="0"/>
        <w:adjustRightInd/>
        <w:snapToGrid/>
        <w:spacing w:line="360" w:lineRule="auto"/>
        <w:ind w:firstLine="720" w:firstLineChars="300"/>
        <w:jc w:val="left"/>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5.1  货物在</w:t>
      </w:r>
      <w:r>
        <w:rPr>
          <w:rFonts w:hint="default" w:ascii="Times New Roman" w:hAnsi="Times New Roman" w:eastAsia="宋体" w:cs="Times New Roman"/>
          <w:color w:val="auto"/>
          <w:sz w:val="24"/>
          <w:szCs w:val="24"/>
          <w:highlight w:val="none"/>
          <w:lang w:val="en-US" w:eastAsia="zh-CN"/>
        </w:rPr>
        <w:t>合同签订后</w:t>
      </w:r>
      <w:r>
        <w:rPr>
          <w:rFonts w:hint="eastAsia" w:eastAsia="宋体" w:cs="Times New Roman"/>
          <w:color w:val="auto"/>
          <w:sz w:val="24"/>
          <w:szCs w:val="24"/>
          <w:highlight w:val="none"/>
          <w:lang w:val="en-US" w:eastAsia="zh-CN"/>
        </w:rPr>
        <w:t xml:space="preserve"> 7</w:t>
      </w:r>
      <w:r>
        <w:rPr>
          <w:rFonts w:hint="default" w:ascii="Times New Roman" w:hAnsi="Times New Roman" w:eastAsia="宋体" w:cs="Times New Roman"/>
          <w:color w:val="auto"/>
          <w:sz w:val="24"/>
          <w:szCs w:val="24"/>
          <w:highlight w:val="none"/>
          <w:lang w:val="en-US" w:eastAsia="zh-CN"/>
        </w:rPr>
        <w:t>天内交货</w:t>
      </w:r>
      <w:r>
        <w:rPr>
          <w:rFonts w:hint="eastAsia" w:eastAsia="宋体" w:cs="Times New Roman"/>
          <w:color w:val="auto"/>
          <w:sz w:val="24"/>
          <w:szCs w:val="24"/>
          <w:highlight w:val="none"/>
          <w:lang w:val="en-US" w:eastAsia="zh-CN"/>
        </w:rPr>
        <w:t>并完成西南站UPS的电容更换安装及调试；</w:t>
      </w:r>
    </w:p>
    <w:p w14:paraId="2C2B2A38">
      <w:pPr>
        <w:pageBreakBefore w:val="0"/>
        <w:widowControl w:val="0"/>
        <w:tabs>
          <w:tab w:val="left" w:pos="2130"/>
          <w:tab w:val="center" w:pos="4156"/>
        </w:tabs>
        <w:kinsoku/>
        <w:overflowPunct/>
        <w:topLinePunct w:val="0"/>
        <w:autoSpaceDE/>
        <w:autoSpaceDN/>
        <w:bidi w:val="0"/>
        <w:adjustRightInd/>
        <w:snapToGrid/>
        <w:spacing w:line="360" w:lineRule="auto"/>
        <w:ind w:firstLine="720" w:firstLineChars="300"/>
        <w:jc w:val="left"/>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5.2  8套UPS供电设备的维保需在</w:t>
      </w:r>
      <w:r>
        <w:rPr>
          <w:rFonts w:hint="default" w:ascii="Times New Roman" w:hAnsi="Times New Roman" w:eastAsia="宋体" w:cs="Times New Roman"/>
          <w:color w:val="auto"/>
          <w:sz w:val="24"/>
          <w:szCs w:val="24"/>
          <w:highlight w:val="none"/>
          <w:lang w:val="en-US" w:eastAsia="zh-CN"/>
        </w:rPr>
        <w:t>合同签订后</w:t>
      </w:r>
      <w:r>
        <w:rPr>
          <w:rFonts w:hint="eastAsia" w:eastAsia="宋体" w:cs="Times New Roman"/>
          <w:color w:val="auto"/>
          <w:sz w:val="24"/>
          <w:szCs w:val="24"/>
          <w:highlight w:val="none"/>
          <w:lang w:val="en-US" w:eastAsia="zh-CN"/>
        </w:rPr>
        <w:t xml:space="preserve"> 30 </w:t>
      </w:r>
      <w:r>
        <w:rPr>
          <w:rFonts w:hint="default" w:ascii="Times New Roman" w:hAnsi="Times New Roman" w:eastAsia="宋体" w:cs="Times New Roman"/>
          <w:color w:val="auto"/>
          <w:sz w:val="24"/>
          <w:szCs w:val="24"/>
          <w:highlight w:val="none"/>
          <w:lang w:val="en-US" w:eastAsia="zh-CN"/>
        </w:rPr>
        <w:t>天内</w:t>
      </w:r>
      <w:r>
        <w:rPr>
          <w:rFonts w:hint="eastAsia" w:eastAsia="宋体" w:cs="Times New Roman"/>
          <w:color w:val="auto"/>
          <w:sz w:val="24"/>
          <w:szCs w:val="24"/>
          <w:highlight w:val="none"/>
          <w:lang w:val="en-US" w:eastAsia="zh-CN"/>
        </w:rPr>
        <w:t>完成并提交检测报告。</w:t>
      </w:r>
    </w:p>
    <w:p w14:paraId="3C61D46B">
      <w:pPr>
        <w:pStyle w:val="15"/>
        <w:pageBreakBefore w:val="0"/>
        <w:kinsoku/>
        <w:overflowPunct/>
        <w:topLinePunct w:val="0"/>
        <w:bidi w:val="0"/>
        <w:adjustRightInd/>
        <w:snapToGrid/>
        <w:spacing w:line="360" w:lineRule="auto"/>
        <w:rPr>
          <w:rFonts w:hint="default"/>
          <w:color w:val="auto"/>
          <w:highlight w:val="none"/>
          <w:lang w:val="en-US" w:eastAsia="zh-CN"/>
        </w:rPr>
      </w:pPr>
      <w:r>
        <w:rPr>
          <w:rFonts w:hint="eastAsia" w:eastAsia="宋体" w:cs="Times New Roman"/>
          <w:color w:val="auto"/>
          <w:sz w:val="24"/>
          <w:szCs w:val="24"/>
          <w:highlight w:val="none"/>
          <w:lang w:val="en-US" w:eastAsia="zh-CN"/>
        </w:rPr>
        <w:t>6.货物质保期：1 年。</w:t>
      </w:r>
    </w:p>
    <w:bookmarkEnd w:id="3"/>
    <w:p w14:paraId="3631E4B8">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4" w:name="_Toc2006"/>
      <w:r>
        <w:rPr>
          <w:rFonts w:hint="default"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供应商资格要求</w:t>
      </w:r>
      <w:bookmarkEnd w:id="4"/>
    </w:p>
    <w:p w14:paraId="14D780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供应商应是在中华人民共和国境内注册，并取得有效营业执照的独立法人</w:t>
      </w:r>
      <w:r>
        <w:rPr>
          <w:rFonts w:hint="default" w:ascii="Times New Roman" w:hAnsi="Times New Roman" w:eastAsia="宋体" w:cs="Times New Roman"/>
          <w:color w:val="auto"/>
          <w:sz w:val="24"/>
          <w:szCs w:val="24"/>
          <w:highlight w:val="none"/>
          <w:lang w:eastAsia="zh-CN"/>
        </w:rPr>
        <w:t>；</w:t>
      </w:r>
    </w:p>
    <w:p w14:paraId="2FDBC0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bookmarkStart w:id="5" w:name="_Toc261363587"/>
      <w:bookmarkStart w:id="6" w:name="_Toc261337133"/>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.供应商须是合格的生产商或是经生产商授权的代理商（若是代理商参与询价，竞标时需提供生产商授权代理证明复印件）；</w:t>
      </w:r>
    </w:p>
    <w:p w14:paraId="1D6B9B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.类似业绩：供应商近三年（2021年</w:t>
      </w: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月1日至响应截止之日，以合同签订时间为准）至少承担过一项单项合同金额为</w:t>
      </w:r>
      <w:r>
        <w:rPr>
          <w:rFonts w:hint="eastAsia" w:cs="Times New Roman"/>
          <w:color w:val="auto"/>
          <w:sz w:val="24"/>
          <w:szCs w:val="24"/>
          <w:highlight w:val="none"/>
          <w:lang w:val="en-US" w:eastAsia="zh-CN"/>
        </w:rPr>
        <w:t>10</w:t>
      </w:r>
      <w:r>
        <w:rPr>
          <w:rFonts w:hint="default" w:ascii="Times New Roman" w:hAnsi="Times New Roman" w:cs="Times New Roman"/>
          <w:color w:val="auto"/>
          <w:sz w:val="24"/>
          <w:szCs w:val="24"/>
          <w:highlight w:val="none"/>
          <w:lang w:val="en-US" w:eastAsia="zh-CN"/>
        </w:rPr>
        <w:t>万元及以上的类似</w:t>
      </w:r>
      <w:r>
        <w:rPr>
          <w:rFonts w:hint="eastAsia" w:cs="Times New Roman"/>
          <w:color w:val="auto"/>
          <w:sz w:val="24"/>
          <w:szCs w:val="24"/>
          <w:highlight w:val="none"/>
          <w:lang w:val="en-US" w:eastAsia="zh-CN"/>
        </w:rPr>
        <w:t>货物供货或维保服务</w:t>
      </w:r>
      <w:r>
        <w:rPr>
          <w:rFonts w:hint="default" w:ascii="Times New Roman" w:hAnsi="Times New Roman" w:cs="Times New Roman"/>
          <w:color w:val="auto"/>
          <w:sz w:val="24"/>
          <w:szCs w:val="24"/>
          <w:highlight w:val="none"/>
          <w:lang w:val="en-US" w:eastAsia="zh-CN"/>
        </w:rPr>
        <w:t>业绩。（须提供合同首页、合同服务内容、</w:t>
      </w:r>
      <w:r>
        <w:rPr>
          <w:rFonts w:hint="eastAsia" w:cs="Times New Roman"/>
          <w:color w:val="auto"/>
          <w:sz w:val="24"/>
          <w:szCs w:val="24"/>
          <w:highlight w:val="none"/>
          <w:lang w:val="en-US" w:eastAsia="zh-CN"/>
        </w:rPr>
        <w:t>合同金额、</w:t>
      </w:r>
      <w:r>
        <w:rPr>
          <w:rFonts w:hint="default" w:ascii="Times New Roman" w:hAnsi="Times New Roman" w:cs="Times New Roman"/>
          <w:color w:val="auto"/>
          <w:sz w:val="24"/>
          <w:szCs w:val="24"/>
          <w:highlight w:val="none"/>
          <w:lang w:val="en-US" w:eastAsia="zh-CN"/>
        </w:rPr>
        <w:t>签章页等关键复印件）；</w:t>
      </w:r>
    </w:p>
    <w:p w14:paraId="625834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4.服务团队人员：现场操作人员需要具有电工操作证</w:t>
      </w:r>
      <w:r>
        <w:rPr>
          <w:rFonts w:hint="eastAsia" w:ascii="Times New Roman" w:hAnsi="Times New Roman" w:eastAsia="宋体" w:cs="Times New Roman"/>
          <w:color w:val="auto"/>
          <w:sz w:val="24"/>
          <w:szCs w:val="24"/>
          <w:highlight w:val="none"/>
          <w:lang w:val="en-US" w:eastAsia="zh-CN"/>
        </w:rPr>
        <w:t>；</w:t>
      </w:r>
    </w:p>
    <w:p w14:paraId="2B2566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未被列入“信用中国”网站</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www.creditchina.gov.cn</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或中国执行信息公开网（http://zxgk.court.gov.cn）失信被执行人名单（提供查询截图）；</w:t>
      </w:r>
    </w:p>
    <w:p w14:paraId="0E5478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应针对《</w:t>
      </w:r>
      <w:r>
        <w:rPr>
          <w:rFonts w:hint="default" w:ascii="Times New Roman" w:hAnsi="Times New Roman" w:cs="Times New Roman"/>
          <w:color w:val="auto"/>
          <w:sz w:val="24"/>
          <w:szCs w:val="24"/>
          <w:highlight w:val="none"/>
          <w:lang w:eastAsia="zh-CN"/>
        </w:rPr>
        <w:t>湖北机场集团有限公司“供应商不良行为”管理办法</w:t>
      </w:r>
      <w:r>
        <w:rPr>
          <w:rFonts w:hint="default" w:ascii="Times New Roman" w:hAnsi="Times New Roman" w:eastAsia="宋体" w:cs="Times New Roman"/>
          <w:color w:val="auto"/>
          <w:sz w:val="24"/>
          <w:szCs w:val="24"/>
          <w:highlight w:val="none"/>
        </w:rPr>
        <w:t>》在</w:t>
      </w:r>
      <w:r>
        <w:rPr>
          <w:rFonts w:hint="default" w:ascii="Times New Roman" w:hAnsi="Times New Roman" w:eastAsia="宋体" w:cs="Times New Roman"/>
          <w:color w:val="auto"/>
          <w:sz w:val="24"/>
          <w:szCs w:val="24"/>
          <w:highlight w:val="none"/>
          <w:lang w:val="en-US" w:eastAsia="zh-CN"/>
        </w:rPr>
        <w:t>报价</w:t>
      </w:r>
      <w:r>
        <w:rPr>
          <w:rFonts w:hint="default" w:ascii="Times New Roman" w:hAnsi="Times New Roman" w:eastAsia="宋体" w:cs="Times New Roman"/>
          <w:color w:val="auto"/>
          <w:sz w:val="24"/>
          <w:szCs w:val="24"/>
          <w:highlight w:val="none"/>
        </w:rPr>
        <w:t>文件中出示承诺书（提供承诺函）；</w:t>
      </w:r>
    </w:p>
    <w:p w14:paraId="056A63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7</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本次询价不接受联合体报价。</w:t>
      </w:r>
    </w:p>
    <w:p w14:paraId="0CF5EEED">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7" w:name="_Toc11744"/>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rPr>
        <w:t>询价文件获取</w:t>
      </w:r>
      <w:bookmarkEnd w:id="7"/>
    </w:p>
    <w:bookmarkEnd w:id="5"/>
    <w:bookmarkEnd w:id="6"/>
    <w:p w14:paraId="588821E8">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bookmarkStart w:id="8" w:name="_Toc261337134"/>
      <w:bookmarkStart w:id="9" w:name="_Toc261363588"/>
      <w:r>
        <w:rPr>
          <w:rFonts w:hint="default" w:ascii="Times New Roman" w:hAnsi="Times New Roman" w:eastAsia="宋体" w:cs="Times New Roman"/>
          <w:color w:val="auto"/>
          <w:sz w:val="24"/>
          <w:szCs w:val="24"/>
          <w:highlight w:val="none"/>
        </w:rPr>
        <w:t>1</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获取时间：202</w:t>
      </w: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31</w:t>
      </w:r>
      <w:r>
        <w:rPr>
          <w:rFonts w:hint="default" w:ascii="Times New Roman" w:hAnsi="Times New Roman" w:eastAsia="宋体" w:cs="Times New Roman"/>
          <w:color w:val="auto"/>
          <w:sz w:val="24"/>
          <w:szCs w:val="24"/>
          <w:highlight w:val="none"/>
        </w:rPr>
        <w:t>日起至202</w:t>
      </w: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日，每天上午</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0～12：00、下午14：00～1</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0（节假日除外）。</w:t>
      </w:r>
    </w:p>
    <w:p w14:paraId="3956E4EE">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获取地点：湖北省武汉市武昌区民主路洪广大酒店A座</w:t>
      </w:r>
      <w:r>
        <w:rPr>
          <w:rFonts w:hint="default"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 xml:space="preserve">楼湖北路港工程咨询有限公司。 </w:t>
      </w:r>
    </w:p>
    <w:p w14:paraId="331D0BBD">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售价：人民币</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00元/本，售后不退。</w:t>
      </w:r>
    </w:p>
    <w:p w14:paraId="7ABBE34B">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获取方式：</w:t>
      </w:r>
      <w:r>
        <w:rPr>
          <w:rFonts w:hint="default" w:ascii="Times New Roman" w:hAnsi="Times New Roman" w:eastAsia="宋体" w:cs="Times New Roman"/>
          <w:color w:val="auto"/>
          <w:sz w:val="24"/>
          <w:szCs w:val="24"/>
          <w:highlight w:val="none"/>
          <w:lang w:eastAsia="zh-CN"/>
        </w:rPr>
        <w:t>（一）现场获取，</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应当在以上获取时间内，携带法定代表人身份证明书及法定代表人身份证或法定代表人授权书及受托人身份证</w:t>
      </w:r>
      <w:r>
        <w:rPr>
          <w:rFonts w:hint="default" w:ascii="Times New Roman" w:hAnsi="Times New Roman" w:eastAsia="宋体" w:cs="Times New Roman"/>
          <w:color w:val="auto"/>
          <w:sz w:val="24"/>
          <w:szCs w:val="24"/>
          <w:highlight w:val="none"/>
          <w:lang w:eastAsia="zh-CN"/>
        </w:rPr>
        <w:t>等资料</w:t>
      </w:r>
      <w:r>
        <w:rPr>
          <w:rFonts w:hint="default" w:ascii="Times New Roman" w:hAnsi="Times New Roman" w:eastAsia="宋体" w:cs="Times New Roman"/>
          <w:color w:val="auto"/>
          <w:sz w:val="24"/>
          <w:szCs w:val="24"/>
          <w:highlight w:val="none"/>
        </w:rPr>
        <w:t>在湖北路港工程咨询有限公司（武汉市民主路782号洪广大酒店A座1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楼）领取</w:t>
      </w:r>
      <w:r>
        <w:rPr>
          <w:rFonts w:hint="default" w:ascii="Times New Roman" w:hAnsi="Times New Roman" w:eastAsia="宋体" w:cs="Times New Roman"/>
          <w:color w:val="auto"/>
          <w:sz w:val="24"/>
          <w:szCs w:val="24"/>
          <w:highlight w:val="none"/>
          <w:lang w:val="en-US" w:eastAsia="zh-CN"/>
        </w:rPr>
        <w:t>询价</w:t>
      </w:r>
      <w:r>
        <w:rPr>
          <w:rFonts w:hint="default" w:ascii="Times New Roman" w:hAnsi="Times New Roman" w:eastAsia="宋体" w:cs="Times New Roman"/>
          <w:color w:val="auto"/>
          <w:sz w:val="24"/>
          <w:szCs w:val="24"/>
          <w:highlight w:val="none"/>
        </w:rPr>
        <w:t>文件。</w:t>
      </w:r>
    </w:p>
    <w:p w14:paraId="7E6BC4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（二）线上</w:t>
      </w:r>
      <w:r>
        <w:rPr>
          <w:rFonts w:hint="default" w:ascii="Times New Roman" w:hAnsi="Times New Roman" w:eastAsia="宋体" w:cs="Times New Roman"/>
          <w:color w:val="auto"/>
          <w:sz w:val="24"/>
          <w:szCs w:val="24"/>
          <w:highlight w:val="none"/>
        </w:rPr>
        <w:t>获取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应当在以上获取时间内，将以下材料扫描件（按顺序扫描为一个PDF文件）发至邮箱</w:t>
      </w:r>
      <w:r>
        <w:rPr>
          <w:rFonts w:hint="default" w:ascii="Times New Roman" w:hAnsi="Times New Roman" w:eastAsia="宋体" w:cs="Times New Roman"/>
          <w:color w:val="auto"/>
          <w:sz w:val="24"/>
          <w:szCs w:val="24"/>
          <w:highlight w:val="none"/>
          <w:lang w:val="en-US" w:eastAsia="zh-CN"/>
        </w:rPr>
        <w:t>2697358739@qq.com</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邮件主题注明项目名称，</w:t>
      </w:r>
      <w:r>
        <w:rPr>
          <w:rFonts w:hint="default" w:ascii="Times New Roman" w:hAnsi="Times New Roman" w:eastAsia="宋体" w:cs="Times New Roman"/>
          <w:color w:val="auto"/>
          <w:sz w:val="24"/>
          <w:szCs w:val="24"/>
          <w:highlight w:val="none"/>
        </w:rPr>
        <w:t>获取文件时效性以收到邮件时间为准。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法定代表人自己领取的，须提供法定代表人身份证明书及法定代表人身份证（扫描件）；</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法定代表人委托他人领取的，须提供法定代表人授权书及受托人身份证（扫描件）</w:t>
      </w:r>
      <w:r>
        <w:rPr>
          <w:rFonts w:hint="default" w:ascii="Times New Roman" w:hAnsi="Times New Roman" w:eastAsia="宋体" w:cs="Times New Roman"/>
          <w:color w:val="auto"/>
          <w:sz w:val="24"/>
          <w:szCs w:val="24"/>
          <w:highlight w:val="none"/>
          <w:lang w:eastAsia="zh-CN"/>
        </w:rPr>
        <w:t>。</w:t>
      </w:r>
    </w:p>
    <w:bookmarkEnd w:id="8"/>
    <w:bookmarkEnd w:id="9"/>
    <w:p w14:paraId="5316AF52">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b/>
          <w:color w:val="auto"/>
          <w:sz w:val="24"/>
          <w:szCs w:val="24"/>
          <w:highlight w:val="none"/>
        </w:rPr>
      </w:pPr>
      <w:bookmarkStart w:id="10" w:name="_Toc12993"/>
      <w:r>
        <w:rPr>
          <w:rFonts w:hint="default" w:ascii="Times New Roman" w:hAnsi="Times New Roman" w:eastAsia="宋体" w:cs="Times New Roman"/>
          <w:b/>
          <w:color w:val="auto"/>
          <w:sz w:val="24"/>
          <w:szCs w:val="24"/>
          <w:highlight w:val="none"/>
          <w:lang w:val="en-US" w:eastAsia="zh-CN"/>
        </w:rPr>
        <w:t>四、</w:t>
      </w:r>
      <w:r>
        <w:rPr>
          <w:rFonts w:hint="default" w:ascii="Times New Roman" w:hAnsi="Times New Roman" w:eastAsia="宋体" w:cs="Times New Roman"/>
          <w:b/>
          <w:color w:val="auto"/>
          <w:sz w:val="24"/>
          <w:szCs w:val="24"/>
          <w:highlight w:val="none"/>
        </w:rPr>
        <w:t>递交报价文件的截止时间及询价时间</w:t>
      </w:r>
      <w:bookmarkEnd w:id="10"/>
    </w:p>
    <w:p w14:paraId="625793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w:t>
      </w: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09</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日14时30分（北京时间）</w:t>
      </w:r>
    </w:p>
    <w:p w14:paraId="226BF9EC">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11" w:name="_Toc261363589"/>
      <w:bookmarkStart w:id="12" w:name="_Toc29521"/>
      <w:bookmarkStart w:id="13" w:name="_Toc261337135"/>
      <w:bookmarkStart w:id="14" w:name="_Toc279136550"/>
      <w:r>
        <w:rPr>
          <w:rFonts w:hint="default" w:ascii="Times New Roman" w:hAnsi="Times New Roman" w:eastAsia="宋体" w:cs="Times New Roman"/>
          <w:color w:val="auto"/>
          <w:sz w:val="24"/>
          <w:szCs w:val="24"/>
          <w:highlight w:val="none"/>
          <w:lang w:val="en-US" w:eastAsia="zh-CN"/>
        </w:rPr>
        <w:t>五、</w:t>
      </w:r>
      <w:r>
        <w:rPr>
          <w:rFonts w:hint="default" w:ascii="Times New Roman" w:hAnsi="Times New Roman" w:eastAsia="宋体" w:cs="Times New Roman"/>
          <w:color w:val="auto"/>
          <w:sz w:val="24"/>
          <w:szCs w:val="24"/>
          <w:highlight w:val="none"/>
        </w:rPr>
        <w:t>询价地点</w:t>
      </w:r>
      <w:bookmarkEnd w:id="11"/>
      <w:bookmarkEnd w:id="12"/>
      <w:bookmarkEnd w:id="13"/>
      <w:bookmarkEnd w:id="14"/>
    </w:p>
    <w:p w14:paraId="5329A1F6">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询价地点：湖北路港工程咨询有限公司</w:t>
      </w:r>
    </w:p>
    <w:p w14:paraId="18A888C5">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地    址：湖北省武汉市武昌区民主路洪广大酒店A座1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号会议室</w:t>
      </w:r>
    </w:p>
    <w:p w14:paraId="6523BD2F">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15" w:name="_Toc261363593"/>
      <w:bookmarkStart w:id="16" w:name="_Toc26490"/>
      <w:bookmarkStart w:id="17" w:name="_Toc261337139"/>
      <w:r>
        <w:rPr>
          <w:rFonts w:hint="default" w:ascii="Times New Roman" w:hAnsi="Times New Roman" w:eastAsia="宋体" w:cs="Times New Roman"/>
          <w:color w:val="auto"/>
          <w:sz w:val="24"/>
          <w:szCs w:val="24"/>
          <w:highlight w:val="none"/>
          <w:lang w:val="en-US" w:eastAsia="zh-CN"/>
        </w:rPr>
        <w:t>六、</w:t>
      </w:r>
      <w:r>
        <w:rPr>
          <w:rFonts w:hint="default" w:ascii="Times New Roman" w:hAnsi="Times New Roman" w:eastAsia="宋体" w:cs="Times New Roman"/>
          <w:color w:val="auto"/>
          <w:sz w:val="24"/>
          <w:szCs w:val="24"/>
          <w:highlight w:val="none"/>
        </w:rPr>
        <w:t>联系方式</w:t>
      </w:r>
      <w:bookmarkEnd w:id="15"/>
      <w:bookmarkEnd w:id="16"/>
      <w:bookmarkEnd w:id="17"/>
    </w:p>
    <w:p w14:paraId="66D94356">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18" w:name="_Toc261363594"/>
      <w:bookmarkStart w:id="19" w:name="_Toc261337140"/>
      <w:bookmarkStart w:id="20" w:name="_Toc211783311"/>
      <w:r>
        <w:rPr>
          <w:rFonts w:hint="default" w:ascii="Times New Roman" w:hAnsi="Times New Roman" w:eastAsia="宋体" w:cs="Times New Roman"/>
          <w:color w:val="auto"/>
          <w:sz w:val="24"/>
          <w:szCs w:val="24"/>
          <w:highlight w:val="none"/>
        </w:rPr>
        <w:t>采 购 人：</w:t>
      </w:r>
      <w:r>
        <w:rPr>
          <w:rFonts w:hint="eastAsia" w:cs="Times New Roman"/>
          <w:color w:val="auto"/>
          <w:sz w:val="24"/>
          <w:szCs w:val="24"/>
          <w:highlight w:val="none"/>
          <w:lang w:eastAsia="zh-CN"/>
        </w:rPr>
        <w:t>武汉天河机场有限责任公司</w:t>
      </w:r>
    </w:p>
    <w:p w14:paraId="1C485C24">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址：武汉市黄陂区天河机场</w:t>
      </w:r>
    </w:p>
    <w:p w14:paraId="49F47F97">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eastAsia" w:cs="Times New Roman"/>
          <w:color w:val="auto"/>
          <w:sz w:val="24"/>
          <w:szCs w:val="24"/>
          <w:highlight w:val="none"/>
          <w:lang w:val="en-US" w:eastAsia="zh-CN"/>
        </w:rPr>
        <w:t>方嘉琰</w:t>
      </w:r>
      <w:r>
        <w:rPr>
          <w:rFonts w:hint="eastAsia" w:ascii="Times New Roman" w:hAnsi="Times New Roman" w:cs="Times New Roman"/>
          <w:color w:val="auto"/>
          <w:sz w:val="24"/>
          <w:szCs w:val="24"/>
          <w:highlight w:val="none"/>
          <w:lang w:val="en-US" w:eastAsia="zh-CN"/>
        </w:rPr>
        <w:t xml:space="preserve"> </w:t>
      </w:r>
    </w:p>
    <w:p w14:paraId="454BC4B7">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联系电话：</w:t>
      </w:r>
      <w:bookmarkEnd w:id="18"/>
      <w:bookmarkEnd w:id="19"/>
      <w:bookmarkEnd w:id="20"/>
      <w:r>
        <w:rPr>
          <w:rFonts w:hint="eastAsia" w:cs="Times New Roman"/>
          <w:color w:val="auto"/>
          <w:sz w:val="24"/>
          <w:szCs w:val="24"/>
          <w:highlight w:val="none"/>
          <w:lang w:val="en-US" w:eastAsia="zh-CN"/>
        </w:rPr>
        <w:t>13886076233</w:t>
      </w:r>
    </w:p>
    <w:p w14:paraId="506C08EC">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代理机构：湖北路港工程咨询有限公司</w:t>
      </w:r>
    </w:p>
    <w:p w14:paraId="23B9F00A">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址：湖北省武汉市武昌区民主路洪广大酒店A座14楼</w:t>
      </w:r>
    </w:p>
    <w:p w14:paraId="69DB6CAA">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default" w:ascii="Times New Roman" w:hAnsi="Times New Roman" w:eastAsia="宋体" w:cs="Times New Roman"/>
          <w:color w:val="auto"/>
          <w:sz w:val="24"/>
          <w:szCs w:val="24"/>
          <w:highlight w:val="none"/>
          <w:lang w:val="en-US" w:eastAsia="zh-CN"/>
        </w:rPr>
        <w:t>向彩红、谭莉</w:t>
      </w:r>
    </w:p>
    <w:p w14:paraId="68BADF5A">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电    话：</w:t>
      </w:r>
      <w:r>
        <w:rPr>
          <w:rFonts w:hint="default" w:ascii="Times New Roman" w:hAnsi="Times New Roman" w:eastAsia="宋体" w:cs="Times New Roman"/>
          <w:color w:val="auto"/>
          <w:sz w:val="24"/>
          <w:szCs w:val="24"/>
          <w:highlight w:val="none"/>
          <w:lang w:val="en-US" w:eastAsia="zh-CN"/>
        </w:rPr>
        <w:t>13026165768</w:t>
      </w:r>
    </w:p>
    <w:p w14:paraId="55543AF3">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    箱：</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"mailto:59743009@qq.com"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2697358739</w:t>
      </w:r>
      <w:r>
        <w:rPr>
          <w:rFonts w:hint="default" w:ascii="Times New Roman" w:hAnsi="Times New Roman" w:eastAsia="宋体" w:cs="Times New Roman"/>
          <w:color w:val="auto"/>
          <w:sz w:val="24"/>
          <w:szCs w:val="24"/>
          <w:highlight w:val="none"/>
        </w:rPr>
        <w:t>@qq.com</w:t>
      </w:r>
      <w:r>
        <w:rPr>
          <w:rFonts w:hint="default" w:ascii="Times New Roman" w:hAnsi="Times New Roman" w:eastAsia="宋体" w:cs="Times New Roman"/>
          <w:color w:val="auto"/>
          <w:sz w:val="24"/>
          <w:szCs w:val="24"/>
          <w:highlight w:val="none"/>
        </w:rPr>
        <w:fldChar w:fldCharType="end"/>
      </w:r>
    </w:p>
    <w:p w14:paraId="1066022E">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21" w:name="_Toc16164"/>
      <w:bookmarkStart w:id="22" w:name="_Toc5052"/>
      <w:bookmarkStart w:id="23" w:name="_Toc334539190"/>
      <w:bookmarkStart w:id="24" w:name="_Toc14406"/>
      <w:r>
        <w:rPr>
          <w:rFonts w:hint="default" w:ascii="Times New Roman" w:hAnsi="Times New Roman" w:eastAsia="宋体" w:cs="Times New Roman"/>
          <w:color w:val="auto"/>
          <w:sz w:val="24"/>
          <w:szCs w:val="24"/>
          <w:highlight w:val="none"/>
          <w:lang w:val="en-US" w:eastAsia="zh-CN"/>
        </w:rPr>
        <w:t>七、</w:t>
      </w:r>
      <w:r>
        <w:rPr>
          <w:rFonts w:hint="default" w:ascii="Times New Roman" w:hAnsi="Times New Roman" w:eastAsia="宋体" w:cs="Times New Roman"/>
          <w:color w:val="auto"/>
          <w:sz w:val="24"/>
          <w:szCs w:val="24"/>
          <w:highlight w:val="none"/>
        </w:rPr>
        <w:t>保证金汇款账户信息</w:t>
      </w:r>
      <w:bookmarkEnd w:id="21"/>
      <w:bookmarkEnd w:id="22"/>
    </w:p>
    <w:p w14:paraId="53754C07">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开户行：中国农业银行股份有限公司武汉武昌支行</w:t>
      </w:r>
    </w:p>
    <w:p w14:paraId="7F694337">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收款人：湖北路港工程咨询有限公司</w:t>
      </w:r>
    </w:p>
    <w:p w14:paraId="25ADF74A">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帐 号：17030101040020299 </w:t>
      </w:r>
    </w:p>
    <w:p w14:paraId="1C2F8A50">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25" w:name="_Toc11612"/>
      <w:bookmarkStart w:id="26" w:name="_Toc23213"/>
      <w:r>
        <w:rPr>
          <w:rFonts w:hint="default" w:ascii="Times New Roman" w:hAnsi="Times New Roman" w:eastAsia="宋体" w:cs="Times New Roman"/>
          <w:color w:val="auto"/>
          <w:sz w:val="24"/>
          <w:szCs w:val="24"/>
          <w:highlight w:val="none"/>
          <w:lang w:val="en-US" w:eastAsia="zh-CN"/>
        </w:rPr>
        <w:t>八、</w:t>
      </w:r>
      <w:r>
        <w:rPr>
          <w:rFonts w:hint="default" w:ascii="Times New Roman" w:hAnsi="Times New Roman" w:eastAsia="宋体" w:cs="Times New Roman"/>
          <w:color w:val="auto"/>
          <w:sz w:val="24"/>
          <w:szCs w:val="24"/>
          <w:highlight w:val="none"/>
        </w:rPr>
        <w:t>信息发布媒体</w:t>
      </w:r>
      <w:bookmarkEnd w:id="23"/>
      <w:r>
        <w:rPr>
          <w:rFonts w:hint="default" w:ascii="Times New Roman" w:hAnsi="Times New Roman" w:eastAsia="宋体" w:cs="Times New Roman"/>
          <w:color w:val="auto"/>
          <w:sz w:val="24"/>
          <w:szCs w:val="24"/>
          <w:highlight w:val="none"/>
        </w:rPr>
        <w:t>及发布时间</w:t>
      </w:r>
      <w:bookmarkEnd w:id="24"/>
      <w:bookmarkEnd w:id="25"/>
      <w:bookmarkEnd w:id="26"/>
    </w:p>
    <w:p w14:paraId="54D7DD81">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发布媒体：中国招标投标公共服务平台、湖北机场集团有限公司（www.whairport.com）</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kern w:val="0"/>
          <w:sz w:val="24"/>
          <w:szCs w:val="24"/>
          <w:highlight w:val="none"/>
          <w:u w:val="none"/>
          <w:lang w:eastAsia="zh-CN"/>
        </w:rPr>
        <w:t>湖北路港工程咨询有限公司（http://www.hblgzx.cn/）</w:t>
      </w:r>
    </w:p>
    <w:p w14:paraId="623CB25C">
      <w:pPr>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发布日期：202</w:t>
      </w: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日</w:t>
      </w:r>
    </w:p>
    <w:p w14:paraId="0EAEC7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OGM2ZjM5NGQ2OGVkMTJkMWE0NjFhN2NkNjA5MDIifQ=="/>
  </w:docVars>
  <w:rsids>
    <w:rsidRoot w:val="6E5B319E"/>
    <w:rsid w:val="04311621"/>
    <w:rsid w:val="150177FB"/>
    <w:rsid w:val="1EBA2307"/>
    <w:rsid w:val="254F1478"/>
    <w:rsid w:val="46317690"/>
    <w:rsid w:val="46B50AA1"/>
    <w:rsid w:val="487171B8"/>
    <w:rsid w:val="4BD12B3A"/>
    <w:rsid w:val="4C471DC9"/>
    <w:rsid w:val="55AB10D0"/>
    <w:rsid w:val="560735DA"/>
    <w:rsid w:val="5E167238"/>
    <w:rsid w:val="5E6D09FC"/>
    <w:rsid w:val="5F6F6BEE"/>
    <w:rsid w:val="672B29D6"/>
    <w:rsid w:val="6BC27CCC"/>
    <w:rsid w:val="6DCF19AE"/>
    <w:rsid w:val="6E5B319E"/>
    <w:rsid w:val="762A4A3C"/>
    <w:rsid w:val="76A7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12"/>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1"/>
    <w:link w:val="11"/>
    <w:semiHidden/>
    <w:unhideWhenUsed/>
    <w:qFormat/>
    <w:uiPriority w:val="0"/>
    <w:pPr>
      <w:keepNext/>
      <w:keepLines/>
      <w:spacing w:before="260" w:after="260" w:line="416" w:lineRule="auto"/>
      <w:jc w:val="center"/>
      <w:outlineLvl w:val="1"/>
    </w:pPr>
    <w:rPr>
      <w:rFonts w:ascii="Cambria" w:hAnsi="Cambria" w:eastAsia="宋体" w:cs="Times New Roman"/>
      <w:b/>
      <w:bCs/>
      <w:sz w:val="28"/>
      <w:szCs w:val="32"/>
    </w:rPr>
  </w:style>
  <w:style w:type="paragraph" w:styleId="5">
    <w:name w:val="heading 3"/>
    <w:basedOn w:val="1"/>
    <w:next w:val="1"/>
    <w:link w:val="10"/>
    <w:semiHidden/>
    <w:unhideWhenUsed/>
    <w:qFormat/>
    <w:uiPriority w:val="0"/>
    <w:pPr>
      <w:keepNext/>
      <w:keepLines/>
      <w:spacing w:line="360" w:lineRule="auto"/>
      <w:outlineLvl w:val="2"/>
    </w:pPr>
    <w:rPr>
      <w:rFonts w:ascii="Times New Roman" w:hAnsi="Times New Roman" w:eastAsia="宋体"/>
      <w:b/>
      <w:sz w:val="24"/>
    </w:rPr>
  </w:style>
  <w:style w:type="paragraph" w:styleId="6">
    <w:name w:val="heading 4"/>
    <w:basedOn w:val="1"/>
    <w:next w:val="1"/>
    <w:link w:val="14"/>
    <w:semiHidden/>
    <w:unhideWhenUsed/>
    <w:qFormat/>
    <w:uiPriority w:val="0"/>
    <w:pPr>
      <w:keepNext w:val="0"/>
      <w:keepLines w:val="0"/>
      <w:spacing w:line="360" w:lineRule="auto"/>
      <w:ind w:firstLine="0" w:firstLineChars="0"/>
      <w:outlineLvl w:val="3"/>
    </w:pPr>
    <w:rPr>
      <w:rFonts w:ascii="Times New Roman" w:hAnsi="Times New Roman" w:eastAsia="黑体"/>
      <w:bCs/>
      <w:sz w:val="28"/>
      <w:szCs w:val="28"/>
    </w:rPr>
  </w:style>
  <w:style w:type="paragraph" w:styleId="7">
    <w:name w:val="heading 5"/>
    <w:basedOn w:val="1"/>
    <w:next w:val="1"/>
    <w:link w:val="13"/>
    <w:semiHidden/>
    <w:unhideWhenUsed/>
    <w:qFormat/>
    <w:uiPriority w:val="0"/>
    <w:pPr>
      <w:keepNext/>
      <w:keepLines/>
      <w:spacing w:line="360" w:lineRule="auto"/>
      <w:outlineLvl w:val="4"/>
    </w:pPr>
    <w:rPr>
      <w:rFonts w:ascii="Times New Roman" w:hAnsi="Times New Roman" w:eastAsia="宋体"/>
      <w:b/>
      <w:bCs/>
      <w:szCs w:val="28"/>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uiPriority w:val="0"/>
    <w:pPr>
      <w:spacing w:after="120" w:line="480" w:lineRule="auto"/>
    </w:pPr>
  </w:style>
  <w:style w:type="character" w:customStyle="1" w:styleId="10">
    <w:name w:val="标题 3 Char2"/>
    <w:link w:val="5"/>
    <w:autoRedefine/>
    <w:qFormat/>
    <w:uiPriority w:val="0"/>
    <w:rPr>
      <w:rFonts w:ascii="Times New Roman" w:hAnsi="Times New Roman" w:eastAsia="宋体" w:cs="Times New Roman"/>
      <w:b/>
      <w:bCs/>
      <w:kern w:val="2"/>
      <w:sz w:val="28"/>
      <w:szCs w:val="32"/>
    </w:rPr>
  </w:style>
  <w:style w:type="character" w:customStyle="1" w:styleId="11">
    <w:name w:val="标题 2 字符"/>
    <w:link w:val="4"/>
    <w:autoRedefine/>
    <w:locked/>
    <w:uiPriority w:val="0"/>
    <w:rPr>
      <w:rFonts w:ascii="Arial" w:hAnsi="Arial" w:eastAsia="宋体" w:cs="Times New Roman"/>
      <w:b/>
      <w:kern w:val="2"/>
      <w:sz w:val="30"/>
    </w:rPr>
  </w:style>
  <w:style w:type="character" w:customStyle="1" w:styleId="12">
    <w:name w:val="标题 1 字符"/>
    <w:link w:val="3"/>
    <w:autoRedefine/>
    <w:uiPriority w:val="0"/>
    <w:rPr>
      <w:rFonts w:ascii="Times New Roman" w:hAnsi="Times New Roman" w:eastAsia="宋体"/>
      <w:b/>
      <w:kern w:val="44"/>
      <w:sz w:val="36"/>
    </w:rPr>
  </w:style>
  <w:style w:type="character" w:customStyle="1" w:styleId="13">
    <w:name w:val="标题 5 Char"/>
    <w:link w:val="7"/>
    <w:semiHidden/>
    <w:uiPriority w:val="9"/>
    <w:rPr>
      <w:rFonts w:ascii="Times New Roman" w:hAnsi="Times New Roman" w:eastAsia="宋体"/>
      <w:b/>
      <w:bCs/>
      <w:kern w:val="2"/>
      <w:sz w:val="21"/>
      <w:szCs w:val="28"/>
    </w:rPr>
  </w:style>
  <w:style w:type="character" w:customStyle="1" w:styleId="14">
    <w:name w:val="标题 4 Char"/>
    <w:link w:val="6"/>
    <w:qFormat/>
    <w:uiPriority w:val="0"/>
    <w:rPr>
      <w:rFonts w:ascii="Times New Roman" w:hAnsi="Times New Roman" w:eastAsia="宋体"/>
      <w:bCs/>
      <w:kern w:val="2"/>
      <w:sz w:val="24"/>
      <w:szCs w:val="28"/>
    </w:rPr>
  </w:style>
  <w:style w:type="paragraph" w:customStyle="1" w:styleId="1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2024-08-30T03:38:00Z</dcterms:created>
  <dc:creator>小向</dc:creator>
  <cp:lastModifiedBy>小向</cp:lastModifiedBy>
  <dcterms:modified xsi:type="dcterms:W3CDTF">2024-08-30T03:39:24Z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3726EA9D68CA4486B42BE41965B76B30_11</vt:lpwstr>
  </property>
</Properties>
</file>