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武汉天河机场2024年T3航站楼东二指廊增加组合式空调器（空调机组）采购项目（第二次）磋商谈判采购公告</w:t>
      </w:r>
    </w:p>
    <w:p>
      <w:pPr>
        <w:spacing w:line="360" w:lineRule="auto"/>
        <w:ind w:firstLine="420" w:firstLineChars="200"/>
        <w:rPr>
          <w:color w:val="auto"/>
          <w:szCs w:val="21"/>
        </w:rPr>
      </w:pPr>
      <w:r>
        <w:rPr>
          <w:color w:val="auto"/>
          <w:szCs w:val="21"/>
        </w:rPr>
        <w:t>湖北省成套招标股份有限公司（以下简称“采购代理机构”）受</w:t>
      </w:r>
      <w:r>
        <w:rPr>
          <w:rFonts w:hint="eastAsia"/>
          <w:color w:val="auto"/>
          <w:szCs w:val="21"/>
        </w:rPr>
        <w:t>武汉天河机场有限责任公司</w:t>
      </w:r>
      <w:r>
        <w:rPr>
          <w:color w:val="auto"/>
          <w:szCs w:val="21"/>
        </w:rPr>
        <w:t>（以下简称“采购人”）的委托，对</w:t>
      </w:r>
      <w:r>
        <w:rPr>
          <w:rFonts w:hint="eastAsia"/>
          <w:color w:val="auto"/>
          <w:szCs w:val="21"/>
        </w:rPr>
        <w:t>武汉天河机场2024年T3航站楼东二指廊增加组合式空调器</w:t>
      </w:r>
      <w:r>
        <w:rPr>
          <w:rFonts w:hint="eastAsia" w:ascii="Times New Roman" w:hAnsi="Times New Roman" w:eastAsia="宋体" w:cs="Times New Roman"/>
          <w:b w:val="0"/>
          <w:bCs w:val="0"/>
          <w:color w:val="auto"/>
          <w:sz w:val="21"/>
          <w:szCs w:val="21"/>
          <w:lang w:val="hr-HR" w:eastAsia="zh-CN"/>
        </w:rPr>
        <w:t>（</w:t>
      </w:r>
      <w:r>
        <w:rPr>
          <w:rFonts w:hint="eastAsia" w:ascii="Times New Roman" w:hAnsi="Times New Roman" w:eastAsia="宋体" w:cs="Times New Roman"/>
          <w:b w:val="0"/>
          <w:bCs w:val="0"/>
          <w:color w:val="auto"/>
          <w:sz w:val="21"/>
          <w:szCs w:val="21"/>
          <w:lang w:val="en-US" w:eastAsia="zh-CN"/>
        </w:rPr>
        <w:t>空调机组</w:t>
      </w:r>
      <w:r>
        <w:rPr>
          <w:rFonts w:hint="eastAsia" w:ascii="Times New Roman" w:hAnsi="Times New Roman" w:eastAsia="宋体" w:cs="Times New Roman"/>
          <w:b w:val="0"/>
          <w:bCs w:val="0"/>
          <w:color w:val="auto"/>
          <w:sz w:val="21"/>
          <w:szCs w:val="21"/>
          <w:lang w:val="hr-HR" w:eastAsia="zh-CN"/>
        </w:rPr>
        <w:t>）</w:t>
      </w:r>
      <w:r>
        <w:rPr>
          <w:rFonts w:hint="eastAsia" w:ascii="Times New Roman" w:hAnsi="Times New Roman" w:eastAsia="宋体" w:cs="Times New Roman"/>
          <w:color w:val="auto"/>
          <w:szCs w:val="21"/>
        </w:rPr>
        <w:t>采购</w:t>
      </w:r>
      <w:r>
        <w:rPr>
          <w:rFonts w:hint="eastAsia"/>
          <w:color w:val="auto"/>
          <w:szCs w:val="21"/>
        </w:rPr>
        <w:t>项目</w:t>
      </w:r>
      <w:r>
        <w:rPr>
          <w:rFonts w:hint="eastAsia"/>
          <w:color w:val="auto"/>
          <w:szCs w:val="21"/>
          <w:lang w:eastAsia="zh-CN"/>
        </w:rPr>
        <w:t>（</w:t>
      </w:r>
      <w:r>
        <w:rPr>
          <w:rFonts w:hint="eastAsia"/>
          <w:color w:val="auto"/>
          <w:szCs w:val="21"/>
          <w:lang w:val="en-US" w:eastAsia="zh-CN"/>
        </w:rPr>
        <w:t>第二次</w:t>
      </w:r>
      <w:r>
        <w:rPr>
          <w:rFonts w:hint="eastAsia"/>
          <w:color w:val="auto"/>
          <w:szCs w:val="21"/>
          <w:lang w:eastAsia="zh-CN"/>
        </w:rPr>
        <w:t>）</w:t>
      </w:r>
      <w:r>
        <w:rPr>
          <w:color w:val="auto"/>
          <w:szCs w:val="21"/>
        </w:rPr>
        <w:t>组织</w:t>
      </w:r>
      <w:r>
        <w:rPr>
          <w:rFonts w:hint="eastAsia"/>
          <w:color w:val="auto"/>
          <w:szCs w:val="21"/>
          <w:lang w:eastAsia="zh-CN"/>
        </w:rPr>
        <w:t>磋商谈判采购</w:t>
      </w:r>
      <w:r>
        <w:rPr>
          <w:color w:val="auto"/>
          <w:szCs w:val="21"/>
        </w:rPr>
        <w:t>。资金来源：企业自筹资金。欢迎符合资格条件的供应商参加</w:t>
      </w:r>
      <w:r>
        <w:rPr>
          <w:rFonts w:hint="eastAsia"/>
          <w:color w:val="auto"/>
          <w:szCs w:val="21"/>
          <w:lang w:eastAsia="zh-CN"/>
        </w:rPr>
        <w:t>磋商谈判</w:t>
      </w:r>
      <w:r>
        <w:rPr>
          <w:color w:val="auto"/>
          <w:szCs w:val="21"/>
        </w:rPr>
        <w:t>报价。</w:t>
      </w:r>
    </w:p>
    <w:p>
      <w:pPr>
        <w:spacing w:line="360" w:lineRule="auto"/>
        <w:ind w:firstLine="0" w:firstLineChars="0"/>
        <w:rPr>
          <w:rFonts w:ascii="Times New Roman" w:hAnsi="Times New Roman" w:eastAsia="宋体"/>
          <w:b/>
          <w:bCs/>
          <w:color w:val="auto"/>
          <w:sz w:val="21"/>
          <w:szCs w:val="21"/>
        </w:rPr>
      </w:pPr>
      <w:bookmarkStart w:id="0" w:name="_Toc4155"/>
      <w:bookmarkStart w:id="1" w:name="_Toc24878"/>
      <w:bookmarkStart w:id="2" w:name="_Toc29123"/>
      <w:bookmarkStart w:id="3" w:name="_Toc25608"/>
      <w:bookmarkStart w:id="4" w:name="_Toc7992"/>
      <w:bookmarkStart w:id="5" w:name="_Toc18591"/>
      <w:bookmarkStart w:id="6" w:name="_Toc11647"/>
      <w:bookmarkStart w:id="7" w:name="_Toc2022"/>
      <w:bookmarkStart w:id="8" w:name="_Toc27715"/>
      <w:bookmarkStart w:id="9" w:name="_Toc3919"/>
      <w:bookmarkStart w:id="10" w:name="_Toc32069"/>
      <w:bookmarkStart w:id="11" w:name="_Toc14642"/>
      <w:bookmarkStart w:id="12" w:name="_Toc1648"/>
      <w:bookmarkStart w:id="13" w:name="_Toc14552"/>
      <w:bookmarkStart w:id="14" w:name="_Toc535856555"/>
      <w:bookmarkStart w:id="15" w:name="_Toc13652"/>
      <w:bookmarkStart w:id="16" w:name="_Toc334539183"/>
      <w:r>
        <w:rPr>
          <w:rFonts w:hint="eastAsia" w:ascii="Times New Roman" w:hAnsi="Times New Roman" w:eastAsia="宋体"/>
          <w:b/>
          <w:bCs/>
          <w:color w:val="auto"/>
          <w:sz w:val="21"/>
          <w:szCs w:val="21"/>
        </w:rPr>
        <w:t>一、</w:t>
      </w:r>
      <w:r>
        <w:rPr>
          <w:rFonts w:ascii="Times New Roman" w:hAnsi="Times New Roman" w:eastAsia="宋体"/>
          <w:b/>
          <w:bCs/>
          <w:color w:val="auto"/>
          <w:sz w:val="21"/>
          <w:szCs w:val="21"/>
        </w:rPr>
        <w:t>项目概况</w:t>
      </w:r>
      <w:bookmarkEnd w:id="0"/>
      <w:bookmarkEnd w:id="1"/>
      <w:bookmarkEnd w:id="2"/>
      <w:bookmarkEnd w:id="3"/>
      <w:bookmarkEnd w:id="4"/>
      <w:bookmarkEnd w:id="5"/>
      <w:bookmarkEnd w:id="6"/>
      <w:bookmarkEnd w:id="7"/>
      <w:bookmarkEnd w:id="8"/>
      <w:bookmarkEnd w:id="9"/>
      <w:bookmarkEnd w:id="10"/>
      <w:bookmarkEnd w:id="11"/>
      <w:bookmarkEnd w:id="12"/>
      <w:bookmarkEnd w:id="13"/>
    </w:p>
    <w:p>
      <w:pPr>
        <w:pageBreakBefore w:val="0"/>
        <w:widowControl w:val="0"/>
        <w:tabs>
          <w:tab w:val="left" w:pos="0"/>
        </w:tabs>
        <w:kinsoku/>
        <w:wordWrap/>
        <w:overflowPunct/>
        <w:topLinePunct w:val="0"/>
        <w:autoSpaceDE/>
        <w:autoSpaceDN/>
        <w:bidi w:val="0"/>
        <w:adjustRightInd/>
        <w:snapToGrid/>
        <w:spacing w:line="360" w:lineRule="auto"/>
        <w:ind w:firstLine="0" w:firstLineChars="0"/>
        <w:rPr>
          <w:rFonts w:hint="eastAsia" w:ascii="Calibri" w:hAnsi="宋体" w:eastAsia="宋体"/>
          <w:color w:val="auto"/>
          <w:szCs w:val="21"/>
          <w:lang w:eastAsia="zh-CN"/>
        </w:rPr>
      </w:pPr>
      <w:r>
        <w:rPr>
          <w:rFonts w:hint="eastAsia" w:hAnsi="宋体"/>
          <w:color w:val="auto"/>
          <w:szCs w:val="21"/>
        </w:rPr>
        <w:t>1、项目编号：</w:t>
      </w:r>
      <w:r>
        <w:rPr>
          <w:rFonts w:hint="eastAsia" w:ascii="Times New Roman" w:hAnsi="Times New Roman" w:eastAsia="宋体" w:cs="Times New Roman"/>
          <w:color w:val="auto"/>
          <w:szCs w:val="21"/>
        </w:rPr>
        <w:t>HBCZ-2306021134-241960</w:t>
      </w:r>
    </w:p>
    <w:p>
      <w:pPr>
        <w:pageBreakBefore w:val="0"/>
        <w:widowControl w:val="0"/>
        <w:tabs>
          <w:tab w:val="left" w:pos="0"/>
        </w:tabs>
        <w:kinsoku/>
        <w:wordWrap/>
        <w:overflowPunct/>
        <w:topLinePunct w:val="0"/>
        <w:autoSpaceDE/>
        <w:autoSpaceDN/>
        <w:bidi w:val="0"/>
        <w:adjustRightInd/>
        <w:snapToGrid/>
        <w:spacing w:line="360" w:lineRule="auto"/>
        <w:ind w:firstLine="0" w:firstLineChars="0"/>
        <w:rPr>
          <w:rFonts w:hint="eastAsia" w:ascii="Times New Roman" w:hAnsi="Times New Roman" w:eastAsia="宋体" w:cs="Times New Roman"/>
          <w:color w:val="auto"/>
          <w:szCs w:val="21"/>
          <w:lang w:eastAsia="zh-CN"/>
        </w:rPr>
      </w:pPr>
      <w:r>
        <w:rPr>
          <w:rFonts w:hint="eastAsia"/>
          <w:color w:val="auto"/>
          <w:szCs w:val="21"/>
        </w:rPr>
        <w:t>2、项目名称：武汉天河机场2024年T3航站楼东二指廊增加组合式空调</w:t>
      </w:r>
      <w:r>
        <w:rPr>
          <w:rFonts w:hint="eastAsia" w:ascii="Times New Roman" w:hAnsi="Times New Roman" w:eastAsia="宋体" w:cs="Times New Roman"/>
          <w:color w:val="auto"/>
          <w:szCs w:val="21"/>
        </w:rPr>
        <w:t>器</w:t>
      </w:r>
      <w:r>
        <w:rPr>
          <w:rFonts w:hint="eastAsia" w:ascii="Times New Roman" w:hAnsi="Times New Roman" w:eastAsia="宋体" w:cs="Times New Roman"/>
          <w:b w:val="0"/>
          <w:bCs w:val="0"/>
          <w:color w:val="auto"/>
          <w:sz w:val="21"/>
          <w:szCs w:val="21"/>
          <w:lang w:val="hr-HR" w:eastAsia="zh-CN"/>
        </w:rPr>
        <w:t>（</w:t>
      </w:r>
      <w:r>
        <w:rPr>
          <w:rFonts w:hint="eastAsia" w:ascii="Times New Roman" w:hAnsi="Times New Roman" w:eastAsia="宋体" w:cs="Times New Roman"/>
          <w:b w:val="0"/>
          <w:bCs w:val="0"/>
          <w:color w:val="auto"/>
          <w:sz w:val="21"/>
          <w:szCs w:val="21"/>
          <w:lang w:val="en-US" w:eastAsia="zh-CN"/>
        </w:rPr>
        <w:t>空调机组</w:t>
      </w:r>
      <w:r>
        <w:rPr>
          <w:rFonts w:hint="eastAsia" w:ascii="Times New Roman" w:hAnsi="Times New Roman" w:eastAsia="宋体" w:cs="Times New Roman"/>
          <w:b w:val="0"/>
          <w:bCs w:val="0"/>
          <w:color w:val="auto"/>
          <w:sz w:val="21"/>
          <w:szCs w:val="21"/>
          <w:lang w:val="hr-HR" w:eastAsia="zh-CN"/>
        </w:rPr>
        <w:t>）</w:t>
      </w:r>
      <w:r>
        <w:rPr>
          <w:rFonts w:hint="eastAsia" w:ascii="Times New Roman" w:hAnsi="Times New Roman" w:eastAsia="宋体" w:cs="Times New Roman"/>
          <w:color w:val="auto"/>
          <w:szCs w:val="21"/>
        </w:rPr>
        <w:t>采购项目</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第二次</w:t>
      </w:r>
      <w:r>
        <w:rPr>
          <w:rFonts w:hint="eastAsia" w:ascii="Times New Roman" w:hAnsi="Times New Roman" w:eastAsia="宋体" w:cs="Times New Roman"/>
          <w:color w:val="auto"/>
          <w:szCs w:val="21"/>
          <w:lang w:eastAsia="zh-CN"/>
        </w:rPr>
        <w:t>）</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3、</w:t>
      </w:r>
      <w:r>
        <w:rPr>
          <w:rFonts w:hint="eastAsia" w:ascii="Times New Roman" w:hAnsi="Times New Roman" w:eastAsia="宋体" w:cs="Times New Roman"/>
          <w:color w:val="auto"/>
          <w:szCs w:val="21"/>
          <w:lang w:val="en-US" w:eastAsia="zh-CN"/>
        </w:rPr>
        <w:t>采购内容：本次采购包含空调采购及设计优化、通风、运输、安装、调试、试运行、综合能效测试、验收合格直至交付使用及质保期内维修、保养、售后服务、人员培训等。详见工程量清单及设计图纸。</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4、最高限价：</w:t>
      </w:r>
      <w:r>
        <w:rPr>
          <w:rFonts w:hint="eastAsia" w:ascii="Times New Roman" w:hAnsi="Times New Roman" w:eastAsia="宋体" w:cs="Times New Roman"/>
          <w:color w:val="auto"/>
          <w:szCs w:val="21"/>
          <w:highlight w:val="none"/>
          <w:lang w:val="en-US" w:eastAsia="zh-CN"/>
        </w:rPr>
        <w:t>人民币83.983129万元</w:t>
      </w:r>
      <w:r>
        <w:rPr>
          <w:rFonts w:hint="eastAsia" w:ascii="Times New Roman" w:hAnsi="Times New Roman" w:eastAsia="宋体" w:cs="Times New Roman"/>
          <w:color w:val="auto"/>
          <w:szCs w:val="21"/>
          <w:lang w:val="en-US" w:eastAsia="zh-CN"/>
        </w:rPr>
        <w:t>，超过最高限价的报价为无效报价。</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5、采购项目实施地点（履约地点）：武汉天河机场 </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6、工期：自合同签订之日起60日。</w:t>
      </w:r>
    </w:p>
    <w:p>
      <w:pPr>
        <w:pStyle w:val="2"/>
        <w:spacing w:line="360" w:lineRule="auto"/>
        <w:ind w:firstLine="0" w:firstLineChars="0"/>
        <w:rPr>
          <w:rFonts w:hint="default"/>
          <w:color w:val="auto"/>
          <w:lang w:val="en-US" w:eastAsia="zh-CN"/>
        </w:rPr>
      </w:pPr>
      <w:r>
        <w:rPr>
          <w:rFonts w:hint="eastAsia" w:ascii="Times New Roman" w:hAnsi="Times New Roman" w:eastAsia="宋体" w:cs="Times New Roman"/>
          <w:color w:val="auto"/>
          <w:szCs w:val="21"/>
          <w:lang w:val="en-US" w:eastAsia="zh-CN"/>
        </w:rPr>
        <w:t>7、质保期：竣工验收交付之日起算二个采暖期和制冷期（24个月）</w:t>
      </w:r>
    </w:p>
    <w:p>
      <w:pPr>
        <w:tabs>
          <w:tab w:val="left" w:pos="0"/>
        </w:tabs>
        <w:spacing w:line="360" w:lineRule="auto"/>
        <w:rPr>
          <w:rFonts w:hint="eastAsia"/>
          <w:b/>
          <w:bCs/>
          <w:color w:val="auto"/>
          <w:szCs w:val="21"/>
        </w:rPr>
      </w:pPr>
      <w:r>
        <w:rPr>
          <w:rFonts w:hint="eastAsia"/>
          <w:b/>
          <w:bCs/>
          <w:color w:val="auto"/>
          <w:szCs w:val="21"/>
        </w:rPr>
        <w:t>二、供应商资格要求</w:t>
      </w:r>
    </w:p>
    <w:bookmarkEnd w:id="14"/>
    <w:bookmarkEnd w:id="15"/>
    <w:bookmarkEnd w:id="16"/>
    <w:p>
      <w:pPr>
        <w:tabs>
          <w:tab w:val="left" w:pos="0"/>
          <w:tab w:val="left" w:pos="420"/>
        </w:tabs>
        <w:spacing w:line="360" w:lineRule="auto"/>
        <w:rPr>
          <w:rFonts w:hint="eastAsia" w:ascii="宋体" w:hAnsi="宋体" w:cs="宋体"/>
          <w:bCs/>
          <w:color w:val="auto"/>
          <w:szCs w:val="21"/>
        </w:rPr>
      </w:pPr>
      <w:bookmarkStart w:id="17" w:name="_Hlk522363781"/>
      <w:r>
        <w:rPr>
          <w:rFonts w:hint="eastAsia" w:ascii="宋体" w:hAnsi="宋体" w:cs="宋体"/>
          <w:bCs/>
          <w:color w:val="auto"/>
          <w:szCs w:val="21"/>
        </w:rPr>
        <w:t>1、供应商须是国内注册的独立法人，具备合法有效的营业执照；</w:t>
      </w:r>
    </w:p>
    <w:p>
      <w:pPr>
        <w:tabs>
          <w:tab w:val="left" w:pos="0"/>
          <w:tab w:val="left" w:pos="420"/>
        </w:tabs>
        <w:spacing w:line="360" w:lineRule="auto"/>
        <w:rPr>
          <w:rFonts w:hint="eastAsia" w:ascii="宋体" w:hAnsi="宋体" w:cs="宋体"/>
          <w:bCs/>
          <w:color w:val="auto"/>
          <w:szCs w:val="21"/>
        </w:rPr>
      </w:pPr>
      <w:r>
        <w:rPr>
          <w:rFonts w:hint="eastAsia" w:ascii="宋体" w:hAnsi="宋体" w:cs="宋体"/>
          <w:bCs/>
          <w:color w:val="auto"/>
          <w:szCs w:val="21"/>
        </w:rPr>
        <w:t>2、</w:t>
      </w:r>
      <w:r>
        <w:rPr>
          <w:rFonts w:hint="eastAsia" w:ascii="宋体" w:hAnsi="宋体" w:cs="宋体"/>
          <w:color w:val="auto"/>
          <w:kern w:val="0"/>
          <w:szCs w:val="21"/>
          <w:highlight w:val="none"/>
        </w:rPr>
        <w:t>供应商须具备</w:t>
      </w:r>
      <w:r>
        <w:rPr>
          <w:rFonts w:hint="eastAsia" w:ascii="宋体" w:hAnsi="宋体" w:cs="宋体"/>
          <w:color w:val="auto"/>
          <w:kern w:val="0"/>
          <w:szCs w:val="21"/>
          <w:highlight w:val="none"/>
          <w:lang w:val="en-US" w:eastAsia="zh-CN"/>
        </w:rPr>
        <w:t>建筑机电安装工程专业承包三级及以上资质，并具有有效的安全生产许可证</w:t>
      </w:r>
      <w:r>
        <w:rPr>
          <w:rFonts w:hint="eastAsia" w:ascii="宋体" w:hAnsi="宋体" w:cs="宋体"/>
          <w:bCs/>
          <w:color w:val="auto"/>
          <w:szCs w:val="21"/>
        </w:rPr>
        <w:t>；</w:t>
      </w:r>
    </w:p>
    <w:p>
      <w:pPr>
        <w:tabs>
          <w:tab w:val="left" w:pos="0"/>
          <w:tab w:val="left" w:pos="420"/>
        </w:tabs>
        <w:spacing w:line="360" w:lineRule="auto"/>
        <w:rPr>
          <w:rFonts w:hint="eastAsia" w:ascii="宋体" w:hAnsi="宋体" w:eastAsia="宋体" w:cs="宋体"/>
          <w:bCs/>
          <w:color w:val="auto"/>
          <w:szCs w:val="21"/>
          <w:lang w:eastAsia="zh-CN"/>
        </w:rPr>
      </w:pPr>
      <w:r>
        <w:rPr>
          <w:rFonts w:hint="eastAsia"/>
          <w:color w:val="auto"/>
          <w:lang w:val="en-US" w:eastAsia="zh-CN"/>
        </w:rPr>
        <w:t>3、</w:t>
      </w:r>
      <w:r>
        <w:rPr>
          <w:rFonts w:hint="eastAsia"/>
          <w:color w:val="auto"/>
        </w:rPr>
        <w:t>供应商须是合格的</w:t>
      </w:r>
      <w:r>
        <w:rPr>
          <w:rFonts w:hint="eastAsia"/>
          <w:color w:val="auto"/>
          <w:szCs w:val="21"/>
        </w:rPr>
        <w:t>组合式空调</w:t>
      </w:r>
      <w:r>
        <w:rPr>
          <w:rFonts w:hint="eastAsia" w:ascii="Times New Roman" w:hAnsi="Times New Roman" w:eastAsia="宋体" w:cs="Times New Roman"/>
          <w:color w:val="auto"/>
          <w:szCs w:val="21"/>
        </w:rPr>
        <w:t>器</w:t>
      </w:r>
      <w:r>
        <w:rPr>
          <w:rFonts w:hint="eastAsia"/>
          <w:color w:val="auto"/>
        </w:rPr>
        <w:t>生产商或是经</w:t>
      </w:r>
      <w:r>
        <w:rPr>
          <w:rFonts w:hint="eastAsia"/>
          <w:color w:val="auto"/>
          <w:szCs w:val="21"/>
        </w:rPr>
        <w:t>组合式空调</w:t>
      </w:r>
      <w:r>
        <w:rPr>
          <w:rFonts w:hint="eastAsia" w:ascii="Times New Roman" w:hAnsi="Times New Roman" w:eastAsia="宋体" w:cs="Times New Roman"/>
          <w:color w:val="auto"/>
          <w:szCs w:val="21"/>
        </w:rPr>
        <w:t>器</w:t>
      </w:r>
      <w:r>
        <w:rPr>
          <w:rFonts w:hint="eastAsia"/>
          <w:color w:val="auto"/>
        </w:rPr>
        <w:t>生产商授权的代理商（若是代理商参与</w:t>
      </w:r>
      <w:r>
        <w:rPr>
          <w:rFonts w:hint="eastAsia"/>
          <w:color w:val="auto"/>
          <w:lang w:val="en-US" w:eastAsia="zh-CN"/>
        </w:rPr>
        <w:t>磋商谈判</w:t>
      </w:r>
      <w:r>
        <w:rPr>
          <w:rFonts w:hint="eastAsia"/>
          <w:color w:val="auto"/>
        </w:rPr>
        <w:t>，竞标时需提供生产商的授权书）</w:t>
      </w:r>
      <w:r>
        <w:rPr>
          <w:rFonts w:hint="eastAsia"/>
          <w:color w:val="auto"/>
          <w:lang w:eastAsia="zh-CN"/>
        </w:rPr>
        <w:t>；</w:t>
      </w:r>
    </w:p>
    <w:p>
      <w:pPr>
        <w:tabs>
          <w:tab w:val="left" w:pos="0"/>
          <w:tab w:val="left" w:pos="420"/>
        </w:tabs>
        <w:spacing w:line="360" w:lineRule="auto"/>
        <w:rPr>
          <w:rFonts w:hint="eastAsia" w:ascii="宋体" w:hAnsi="宋体" w:cs="宋体"/>
          <w:bCs/>
          <w:color w:val="auto"/>
          <w:szCs w:val="21"/>
          <w:highlight w:val="none"/>
        </w:rPr>
      </w:pPr>
      <w:r>
        <w:rPr>
          <w:rFonts w:hint="eastAsia" w:ascii="宋体" w:hAnsi="宋体" w:cs="宋体"/>
          <w:bCs/>
          <w:color w:val="auto"/>
          <w:szCs w:val="21"/>
          <w:lang w:val="en-US" w:eastAsia="zh-CN"/>
        </w:rPr>
        <w:t>4</w:t>
      </w:r>
      <w:r>
        <w:rPr>
          <w:rFonts w:hint="eastAsia" w:ascii="宋体" w:hAnsi="宋体" w:cs="宋体"/>
          <w:bCs/>
          <w:color w:val="auto"/>
          <w:szCs w:val="21"/>
        </w:rPr>
        <w:t>、</w:t>
      </w:r>
      <w:r>
        <w:rPr>
          <w:rFonts w:hint="eastAsia" w:ascii="宋体" w:hAnsi="宋体" w:cs="宋体"/>
          <w:color w:val="auto"/>
          <w:kern w:val="0"/>
          <w:szCs w:val="21"/>
          <w:highlight w:val="none"/>
          <w:lang w:val="en-US" w:eastAsia="zh-CN"/>
        </w:rPr>
        <w:t>供应商拟派项目经理须具备机电工程专业二级及以上注册建造师执业资格和有效的安全生产考核合格证明（B证），其注册证书上所记载的聘用单位须为该供应商，且未担任其他在施建设工程项目的项目经理</w:t>
      </w:r>
      <w:r>
        <w:rPr>
          <w:rFonts w:hint="eastAsia" w:ascii="宋体" w:hAnsi="宋体" w:cs="宋体"/>
          <w:bCs/>
          <w:color w:val="auto"/>
          <w:szCs w:val="21"/>
          <w:highlight w:val="none"/>
        </w:rPr>
        <w:t>（提供无在建承诺）；</w:t>
      </w:r>
    </w:p>
    <w:p>
      <w:pPr>
        <w:tabs>
          <w:tab w:val="left" w:pos="0"/>
          <w:tab w:val="left" w:pos="420"/>
        </w:tabs>
        <w:spacing w:line="360" w:lineRule="auto"/>
        <w:rPr>
          <w:rFonts w:hint="eastAsia" w:ascii="宋体" w:hAnsi="宋体" w:cs="宋体"/>
          <w:bCs/>
          <w:color w:val="auto"/>
          <w:szCs w:val="21"/>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ascii="Calibri" w:hAnsi="宋体"/>
          <w:color w:val="auto"/>
          <w:szCs w:val="21"/>
          <w:highlight w:val="none"/>
        </w:rPr>
        <w:t>供应商20</w:t>
      </w:r>
      <w:r>
        <w:rPr>
          <w:rFonts w:hint="eastAsia" w:ascii="Calibri" w:hAnsi="宋体"/>
          <w:color w:val="auto"/>
          <w:szCs w:val="21"/>
          <w:highlight w:val="none"/>
          <w:lang w:val="en-US" w:eastAsia="zh-CN"/>
        </w:rPr>
        <w:t>21</w:t>
      </w:r>
      <w:r>
        <w:rPr>
          <w:rFonts w:hint="eastAsia" w:ascii="Calibri" w:hAnsi="宋体"/>
          <w:color w:val="auto"/>
          <w:szCs w:val="21"/>
          <w:highlight w:val="none"/>
        </w:rPr>
        <w:t>年</w:t>
      </w:r>
      <w:r>
        <w:rPr>
          <w:rFonts w:hint="eastAsia" w:ascii="Calibri" w:hAnsi="宋体"/>
          <w:color w:val="auto"/>
          <w:szCs w:val="21"/>
          <w:highlight w:val="none"/>
          <w:lang w:val="en-US" w:eastAsia="zh-CN"/>
        </w:rPr>
        <w:t>6</w:t>
      </w:r>
      <w:r>
        <w:rPr>
          <w:rFonts w:hint="eastAsia" w:ascii="Calibri" w:hAnsi="宋体"/>
          <w:color w:val="auto"/>
          <w:szCs w:val="21"/>
          <w:highlight w:val="none"/>
        </w:rPr>
        <w:t>月1日至</w:t>
      </w:r>
      <w:r>
        <w:rPr>
          <w:rFonts w:hint="eastAsia" w:ascii="Calibri" w:hAnsi="宋体"/>
          <w:color w:val="auto"/>
          <w:szCs w:val="21"/>
          <w:highlight w:val="none"/>
          <w:lang w:val="en-US" w:eastAsia="zh-CN"/>
        </w:rPr>
        <w:t>递交响应文件前一日</w:t>
      </w:r>
      <w:r>
        <w:rPr>
          <w:rFonts w:hint="eastAsia" w:ascii="Calibri" w:hAnsi="宋体"/>
          <w:color w:val="auto"/>
          <w:szCs w:val="21"/>
          <w:highlight w:val="none"/>
          <w:lang w:eastAsia="zh-CN"/>
        </w:rPr>
        <w:t>（</w:t>
      </w:r>
      <w:r>
        <w:rPr>
          <w:rFonts w:hint="eastAsia" w:ascii="Calibri" w:hAnsi="宋体"/>
          <w:color w:val="auto"/>
          <w:szCs w:val="21"/>
          <w:highlight w:val="none"/>
          <w:lang w:val="en-US" w:eastAsia="zh-CN"/>
        </w:rPr>
        <w:t>以合同签订时间为准</w:t>
      </w:r>
      <w:r>
        <w:rPr>
          <w:rFonts w:hint="eastAsia" w:ascii="Calibri" w:hAnsi="宋体"/>
          <w:color w:val="auto"/>
          <w:szCs w:val="21"/>
          <w:highlight w:val="none"/>
          <w:lang w:eastAsia="zh-CN"/>
        </w:rPr>
        <w:t>）至少</w:t>
      </w:r>
      <w:r>
        <w:rPr>
          <w:rFonts w:hint="eastAsia" w:ascii="Calibri" w:hAnsi="宋体"/>
          <w:color w:val="auto"/>
          <w:szCs w:val="21"/>
          <w:highlight w:val="none"/>
          <w:lang w:val="en-US" w:eastAsia="zh-CN"/>
        </w:rPr>
        <w:t>承接过</w:t>
      </w:r>
      <w:r>
        <w:rPr>
          <w:rFonts w:hint="eastAsia" w:ascii="Calibri" w:hAnsi="宋体"/>
          <w:color w:val="auto"/>
          <w:szCs w:val="21"/>
          <w:highlight w:val="none"/>
          <w:lang w:eastAsia="zh-CN"/>
        </w:rPr>
        <w:t>1个单项合同金额在</w:t>
      </w:r>
      <w:r>
        <w:rPr>
          <w:rFonts w:hint="eastAsia" w:ascii="Calibri" w:hAnsi="宋体"/>
          <w:color w:val="auto"/>
          <w:szCs w:val="21"/>
          <w:highlight w:val="none"/>
          <w:lang w:val="en-US" w:eastAsia="zh-CN"/>
        </w:rPr>
        <w:t>45</w:t>
      </w:r>
      <w:r>
        <w:rPr>
          <w:rFonts w:hint="eastAsia" w:ascii="Calibri" w:hAnsi="宋体"/>
          <w:color w:val="auto"/>
          <w:szCs w:val="21"/>
          <w:highlight w:val="none"/>
          <w:lang w:eastAsia="zh-CN"/>
        </w:rPr>
        <w:t>万元及以上的</w:t>
      </w:r>
      <w:r>
        <w:rPr>
          <w:rFonts w:hint="eastAsia" w:ascii="Calibri" w:hAnsi="宋体"/>
          <w:color w:val="auto"/>
          <w:szCs w:val="21"/>
          <w:highlight w:val="none"/>
          <w:lang w:val="en-US" w:eastAsia="zh-CN"/>
        </w:rPr>
        <w:t>空调设备采购</w:t>
      </w:r>
      <w:r>
        <w:rPr>
          <w:rFonts w:hint="eastAsia" w:ascii="Calibri" w:hAnsi="宋体"/>
          <w:color w:val="auto"/>
          <w:szCs w:val="21"/>
          <w:lang w:val="en-US" w:eastAsia="zh-CN"/>
        </w:rPr>
        <w:t>及安装</w:t>
      </w:r>
      <w:r>
        <w:rPr>
          <w:rFonts w:hint="eastAsia" w:ascii="Calibri" w:hAnsi="宋体"/>
          <w:color w:val="auto"/>
          <w:szCs w:val="21"/>
          <w:lang w:eastAsia="zh-CN"/>
        </w:rPr>
        <w:t>业绩。</w:t>
      </w:r>
      <w:r>
        <w:rPr>
          <w:rFonts w:hint="eastAsia" w:ascii="Calibri" w:hAnsi="宋体"/>
          <w:color w:val="auto"/>
          <w:szCs w:val="21"/>
        </w:rPr>
        <w:t>（提供合同</w:t>
      </w:r>
      <w:r>
        <w:rPr>
          <w:rFonts w:hint="eastAsia" w:ascii="Calibri" w:hAnsi="宋体"/>
          <w:color w:val="auto"/>
          <w:szCs w:val="21"/>
          <w:lang w:val="en-US" w:eastAsia="zh-CN"/>
        </w:rPr>
        <w:t>复印件</w:t>
      </w:r>
      <w:r>
        <w:rPr>
          <w:rFonts w:hint="eastAsia" w:ascii="Calibri" w:hAnsi="宋体"/>
          <w:color w:val="auto"/>
          <w:szCs w:val="21"/>
        </w:rPr>
        <w:t>）</w:t>
      </w:r>
      <w:r>
        <w:rPr>
          <w:rFonts w:hint="eastAsia" w:ascii="宋体" w:hAnsi="宋体" w:cs="宋体"/>
          <w:bCs/>
          <w:color w:val="auto"/>
          <w:szCs w:val="21"/>
        </w:rPr>
        <w:t>；</w:t>
      </w:r>
    </w:p>
    <w:p>
      <w:pPr>
        <w:widowControl/>
        <w:tabs>
          <w:tab w:val="left" w:pos="0"/>
          <w:tab w:val="left" w:pos="420"/>
        </w:tabs>
        <w:spacing w:line="420" w:lineRule="exact"/>
        <w:jc w:val="left"/>
        <w:rPr>
          <w:rFonts w:hint="eastAsia" w:ascii="宋体" w:hAnsi="宋体" w:cs="宋体"/>
          <w:bCs/>
          <w:color w:val="auto"/>
          <w:szCs w:val="21"/>
        </w:rPr>
      </w:pPr>
      <w:r>
        <w:rPr>
          <w:rFonts w:hint="eastAsia" w:ascii="宋体" w:hAnsi="宋体" w:cs="宋体"/>
          <w:bCs/>
          <w:color w:val="auto"/>
          <w:szCs w:val="21"/>
          <w:lang w:val="en-US" w:eastAsia="zh-CN"/>
        </w:rPr>
        <w:t>6</w:t>
      </w:r>
      <w:r>
        <w:rPr>
          <w:rFonts w:hint="eastAsia" w:ascii="宋体" w:hAnsi="宋体" w:cs="宋体"/>
          <w:bCs/>
          <w:color w:val="auto"/>
          <w:szCs w:val="21"/>
        </w:rPr>
        <w:t>、</w:t>
      </w:r>
      <w:r>
        <w:rPr>
          <w:rFonts w:hint="eastAsia" w:ascii="宋体" w:hAnsi="宋体" w:cs="Segoe UI"/>
          <w:color w:val="auto"/>
          <w:szCs w:val="21"/>
          <w:shd w:val="clear" w:color="auto" w:fill="FFFFFF"/>
        </w:rPr>
        <w:t>供应商未被</w:t>
      </w:r>
      <w:r>
        <w:rPr>
          <w:rFonts w:hint="eastAsia" w:ascii="宋体" w:hAnsi="宋体" w:cs="宋体"/>
          <w:bCs/>
          <w:color w:val="auto"/>
          <w:szCs w:val="21"/>
        </w:rPr>
        <w:t>“信用中国”网站（www.creditchina.gov.cn）或中国执行信息公开网（http://zxgk.court.gov.cn/）列入失信被执行人（提供网页查询截图）；</w:t>
      </w:r>
    </w:p>
    <w:p>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lang w:val="en-US" w:eastAsia="zh-CN"/>
        </w:rPr>
        <w:t>7</w:t>
      </w:r>
      <w:r>
        <w:rPr>
          <w:rFonts w:hint="eastAsia" w:ascii="宋体" w:hAnsi="宋体" w:cs="宋体"/>
          <w:bCs/>
          <w:color w:val="auto"/>
          <w:szCs w:val="21"/>
        </w:rPr>
        <w:t>、供应商须针对《湖北机场集团有限公司“供应商不良行为”管理办法》在</w:t>
      </w:r>
      <w:r>
        <w:rPr>
          <w:rFonts w:hint="eastAsia" w:ascii="宋体" w:hAnsi="宋体" w:cs="宋体"/>
          <w:bCs/>
          <w:color w:val="auto"/>
          <w:szCs w:val="21"/>
          <w:lang w:val="en-US" w:eastAsia="zh-CN"/>
        </w:rPr>
        <w:t>响应</w:t>
      </w:r>
      <w:r>
        <w:rPr>
          <w:rFonts w:hint="eastAsia" w:ascii="宋体" w:hAnsi="宋体" w:cs="宋体"/>
          <w:bCs/>
          <w:color w:val="auto"/>
          <w:szCs w:val="21"/>
        </w:rPr>
        <w:t>文件中做出承诺，格式详见采购文件“第六章 响应文件格式”；</w:t>
      </w:r>
    </w:p>
    <w:p>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lang w:val="en-US" w:eastAsia="zh-CN"/>
        </w:rPr>
        <w:t>8</w:t>
      </w:r>
      <w:r>
        <w:rPr>
          <w:rFonts w:hint="eastAsia" w:ascii="宋体" w:hAnsi="宋体" w:cs="宋体"/>
          <w:bCs/>
          <w:color w:val="auto"/>
          <w:szCs w:val="21"/>
        </w:rPr>
        <w:t>、本项目不接受联合体响应，不允许分包、转包。</w:t>
      </w:r>
    </w:p>
    <w:p>
      <w:pPr>
        <w:tabs>
          <w:tab w:val="left" w:pos="0"/>
          <w:tab w:val="left" w:pos="420"/>
        </w:tabs>
        <w:spacing w:line="420" w:lineRule="exact"/>
        <w:rPr>
          <w:bCs/>
          <w:color w:val="auto"/>
          <w:szCs w:val="21"/>
        </w:rPr>
      </w:pPr>
      <w:r>
        <w:rPr>
          <w:bCs/>
          <w:color w:val="auto"/>
          <w:szCs w:val="21"/>
        </w:rPr>
        <w:t>以上资格要求为本次响应供应商应具备的基本条件，参加响应的供应商必须满足资格要求中的所有条款，并按照相关规定递交资格证明文件。</w:t>
      </w:r>
    </w:p>
    <w:bookmarkEnd w:id="17"/>
    <w:p>
      <w:pPr>
        <w:pStyle w:val="6"/>
        <w:spacing w:line="420" w:lineRule="exact"/>
        <w:rPr>
          <w:rFonts w:ascii="Times New Roman" w:hAnsi="Times New Roman" w:eastAsia="宋体"/>
          <w:color w:val="auto"/>
          <w:sz w:val="21"/>
          <w:szCs w:val="21"/>
        </w:rPr>
      </w:pPr>
      <w:bookmarkStart w:id="18" w:name="_Toc334539184"/>
      <w:bookmarkStart w:id="19" w:name="_Toc535856556"/>
      <w:bookmarkStart w:id="20" w:name="_Toc20834"/>
      <w:bookmarkStart w:id="21" w:name="_Toc28185"/>
      <w:bookmarkStart w:id="22" w:name="_Toc27633"/>
      <w:bookmarkStart w:id="23" w:name="_Toc29650"/>
      <w:bookmarkStart w:id="24" w:name="_Toc17181"/>
      <w:bookmarkStart w:id="25" w:name="_Toc11569"/>
      <w:bookmarkStart w:id="26" w:name="_Toc20734"/>
      <w:bookmarkStart w:id="27" w:name="_Toc22099"/>
      <w:bookmarkStart w:id="28" w:name="_Toc9675"/>
      <w:bookmarkStart w:id="29" w:name="_Toc25251"/>
      <w:bookmarkStart w:id="30" w:name="_Toc18730"/>
      <w:bookmarkStart w:id="31" w:name="_Toc20463"/>
      <w:bookmarkStart w:id="32" w:name="_Toc5343"/>
      <w:bookmarkStart w:id="33" w:name="_Toc19396"/>
      <w:bookmarkStart w:id="34" w:name="_Toc29480"/>
      <w:bookmarkStart w:id="35" w:name="_Toc9216"/>
      <w:bookmarkStart w:id="36" w:name="_Toc13485"/>
      <w:bookmarkStart w:id="37" w:name="_Toc22229"/>
      <w:bookmarkStart w:id="38" w:name="_Toc28404"/>
      <w:bookmarkStart w:id="39" w:name="_Toc6733"/>
      <w:bookmarkStart w:id="40"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18"/>
      <w:r>
        <w:rPr>
          <w:rFonts w:ascii="Times New Roman" w:hAnsi="Times New Roman" w:eastAsia="宋体"/>
          <w:color w:val="auto"/>
          <w:sz w:val="21"/>
          <w:szCs w:val="21"/>
        </w:rPr>
        <w:t>获取</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tabs>
          <w:tab w:val="left" w:pos="0"/>
        </w:tabs>
        <w:spacing w:line="360" w:lineRule="auto"/>
        <w:rPr>
          <w:rFonts w:ascii="宋体" w:hAnsi="宋体"/>
          <w:color w:val="auto"/>
          <w:szCs w:val="21"/>
        </w:rPr>
      </w:pPr>
      <w:bookmarkStart w:id="41" w:name="_Toc16309"/>
      <w:r>
        <w:rPr>
          <w:rFonts w:hint="eastAsia" w:ascii="宋体" w:hAnsi="宋体"/>
          <w:color w:val="auto"/>
          <w:szCs w:val="21"/>
        </w:rPr>
        <w:t>1、文件获取开始时间：</w:t>
      </w:r>
      <w:r>
        <w:rPr>
          <w:rFonts w:hint="eastAsia" w:ascii="宋体" w:hAnsi="宋体"/>
          <w:color w:val="auto"/>
          <w:szCs w:val="21"/>
          <w:u w:val="single"/>
        </w:rPr>
        <w:t>2024</w:t>
      </w:r>
      <w:r>
        <w:rPr>
          <w:rFonts w:hint="eastAsia" w:ascii="宋体" w:hAnsi="宋体"/>
          <w:color w:val="auto"/>
          <w:szCs w:val="21"/>
        </w:rPr>
        <w:t>年</w:t>
      </w:r>
      <w:r>
        <w:rPr>
          <w:rFonts w:hint="eastAsia" w:ascii="宋体" w:hAnsi="宋体"/>
          <w:color w:val="auto"/>
          <w:szCs w:val="21"/>
          <w:u w:val="single"/>
          <w:lang w:val="en-US" w:eastAsia="zh-CN"/>
        </w:rPr>
        <w:t>08</w:t>
      </w:r>
      <w:r>
        <w:rPr>
          <w:rFonts w:hint="eastAsia" w:ascii="宋体" w:hAnsi="宋体"/>
          <w:color w:val="auto"/>
          <w:szCs w:val="21"/>
        </w:rPr>
        <w:t>月</w:t>
      </w:r>
      <w:r>
        <w:rPr>
          <w:rFonts w:hint="eastAsia" w:ascii="宋体" w:hAnsi="宋体"/>
          <w:color w:val="auto"/>
          <w:szCs w:val="21"/>
          <w:u w:val="single"/>
          <w:lang w:val="en-US" w:eastAsia="zh-CN"/>
        </w:rPr>
        <w:t>23</w:t>
      </w:r>
      <w:r>
        <w:rPr>
          <w:rFonts w:hint="eastAsia" w:ascii="宋体" w:hAnsi="宋体"/>
          <w:color w:val="auto"/>
          <w:szCs w:val="21"/>
        </w:rPr>
        <w:t>日8时30分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rPr>
          <w:rFonts w:ascii="宋体" w:hAnsi="宋体"/>
          <w:color w:val="auto"/>
          <w:szCs w:val="21"/>
        </w:rPr>
      </w:pPr>
      <w:r>
        <w:rPr>
          <w:rFonts w:hint="eastAsia" w:ascii="宋体" w:hAnsi="宋体"/>
          <w:color w:val="auto"/>
          <w:szCs w:val="21"/>
        </w:rPr>
        <w:t>文件获取截止时间：</w:t>
      </w:r>
      <w:r>
        <w:rPr>
          <w:rFonts w:hint="eastAsia" w:ascii="宋体" w:hAnsi="宋体"/>
          <w:color w:val="auto"/>
          <w:szCs w:val="21"/>
          <w:u w:val="single"/>
        </w:rPr>
        <w:t>2024</w:t>
      </w:r>
      <w:r>
        <w:rPr>
          <w:rFonts w:hint="eastAsia" w:ascii="宋体" w:hAnsi="宋体"/>
          <w:color w:val="auto"/>
          <w:szCs w:val="21"/>
        </w:rPr>
        <w:t>年</w:t>
      </w:r>
      <w:r>
        <w:rPr>
          <w:rFonts w:hint="eastAsia" w:ascii="宋体" w:hAnsi="宋体"/>
          <w:color w:val="auto"/>
          <w:szCs w:val="21"/>
          <w:u w:val="single"/>
          <w:lang w:val="en-US" w:eastAsia="zh-CN"/>
        </w:rPr>
        <w:t>08</w:t>
      </w:r>
      <w:r>
        <w:rPr>
          <w:rFonts w:hint="eastAsia" w:ascii="宋体" w:hAnsi="宋体"/>
          <w:color w:val="auto"/>
          <w:szCs w:val="21"/>
        </w:rPr>
        <w:t>月</w:t>
      </w:r>
      <w:r>
        <w:rPr>
          <w:rFonts w:hint="eastAsia" w:ascii="宋体" w:hAnsi="宋体"/>
          <w:color w:val="auto"/>
          <w:szCs w:val="21"/>
          <w:u w:val="single"/>
          <w:lang w:val="en-US" w:eastAsia="zh-CN"/>
        </w:rPr>
        <w:t>29</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rPr>
          <w:rFonts w:ascii="宋体" w:hAnsi="宋体"/>
          <w:color w:val="auto"/>
          <w:szCs w:val="21"/>
        </w:rPr>
      </w:pPr>
      <w:r>
        <w:rPr>
          <w:rFonts w:hint="eastAsia" w:ascii="宋体" w:hAnsi="宋体"/>
          <w:color w:val="auto"/>
          <w:szCs w:val="21"/>
        </w:rPr>
        <w:t>2、获取方式：</w:t>
      </w:r>
      <w:r>
        <w:rPr>
          <w:rFonts w:ascii="宋体" w:hAnsi="宋体"/>
          <w:color w:val="auto"/>
          <w:szCs w:val="21"/>
        </w:rPr>
        <w:t xml:space="preserve">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rPr>
        <w:t>（上午08:30-12:00，下午14：00-16:30）</w:t>
      </w:r>
      <w:r>
        <w:rPr>
          <w:rFonts w:hint="eastAsia" w:ascii="宋体" w:hAnsi="宋体"/>
          <w:color w:val="auto"/>
          <w:szCs w:val="21"/>
        </w:rPr>
        <w:t>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rPr>
          <w:rFonts w:hint="eastAsia" w:ascii="宋体" w:hAnsi="宋体" w:eastAsia="宋体"/>
          <w:color w:val="auto"/>
          <w:szCs w:val="21"/>
          <w:lang w:eastAsia="zh-CN"/>
        </w:rPr>
      </w:pPr>
      <w:r>
        <w:rPr>
          <w:rFonts w:hint="eastAsia" w:ascii="宋体" w:hAnsi="宋体"/>
          <w:color w:val="auto"/>
          <w:szCs w:val="21"/>
        </w:rPr>
        <w:t>3、信息费：人民币</w:t>
      </w:r>
      <w:r>
        <w:rPr>
          <w:rFonts w:hint="eastAsia" w:ascii="宋体" w:hAnsi="宋体"/>
          <w:color w:val="auto"/>
          <w:szCs w:val="21"/>
          <w:u w:val="single"/>
        </w:rPr>
        <w:t>500</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r>
        <w:rPr>
          <w:rFonts w:hint="eastAsia" w:ascii="宋体" w:hAnsi="宋体"/>
          <w:color w:val="auto"/>
          <w:szCs w:val="21"/>
          <w:lang w:eastAsia="zh-CN"/>
        </w:rPr>
        <w:t>（</w:t>
      </w:r>
      <w:r>
        <w:rPr>
          <w:rFonts w:hint="eastAsia" w:ascii="宋体" w:hAnsi="宋体"/>
          <w:color w:val="auto"/>
          <w:szCs w:val="21"/>
          <w:lang w:val="en-US" w:eastAsia="zh-CN"/>
        </w:rPr>
        <w:t>第一次获取过采购文件的供应商第二次免费获取采购文件</w:t>
      </w:r>
      <w:r>
        <w:rPr>
          <w:rFonts w:hint="eastAsia" w:ascii="宋体" w:hAnsi="宋体"/>
          <w:color w:val="auto"/>
          <w:szCs w:val="21"/>
          <w:lang w:eastAsia="zh-CN"/>
        </w:rPr>
        <w:t>）</w:t>
      </w:r>
    </w:p>
    <w:p>
      <w:pPr>
        <w:tabs>
          <w:tab w:val="left" w:pos="0"/>
        </w:tabs>
        <w:spacing w:line="360" w:lineRule="auto"/>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账户</w:t>
      </w:r>
      <w:r>
        <w:rPr>
          <w:rFonts w:hint="eastAsia" w:ascii="宋体" w:hAnsi="宋体"/>
          <w:color w:val="auto"/>
          <w:szCs w:val="21"/>
        </w:rPr>
        <w:t>信息</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户名：湖北省成套招标股份有限公司</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lang w:val="en-US" w:eastAsia="zh-CN"/>
        </w:rPr>
        <w:t>账号</w:t>
      </w:r>
      <w:r>
        <w:rPr>
          <w:rFonts w:hint="eastAsia" w:ascii="宋体" w:hAnsi="宋体"/>
          <w:color w:val="auto"/>
          <w:szCs w:val="21"/>
        </w:rPr>
        <w:t>：572976591978   清算行号：840085  大额支付系统行号：104521004672</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开户银行：中国银行湖北省武汉市中南路支行</w:t>
      </w:r>
    </w:p>
    <w:p>
      <w:pPr>
        <w:tabs>
          <w:tab w:val="left" w:pos="0"/>
        </w:tabs>
        <w:spacing w:line="360" w:lineRule="auto"/>
        <w:ind w:firstLine="422" w:firstLineChars="200"/>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pPr>
        <w:pStyle w:val="6"/>
        <w:spacing w:line="420" w:lineRule="exact"/>
        <w:rPr>
          <w:rFonts w:ascii="Times New Roman" w:hAnsi="Times New Roman" w:eastAsia="宋体"/>
          <w:color w:val="auto"/>
          <w:sz w:val="21"/>
          <w:szCs w:val="21"/>
        </w:rPr>
      </w:pPr>
      <w:bookmarkStart w:id="42" w:name="_Toc22552"/>
      <w:bookmarkStart w:id="43" w:name="_Toc3848"/>
      <w:bookmarkStart w:id="44" w:name="_Toc6930"/>
      <w:bookmarkStart w:id="45" w:name="_Toc24219"/>
      <w:bookmarkStart w:id="46" w:name="_Toc4647"/>
      <w:bookmarkStart w:id="47" w:name="_Toc5213"/>
      <w:bookmarkStart w:id="48" w:name="_Toc18182"/>
      <w:bookmarkStart w:id="49" w:name="_Toc18327"/>
      <w:bookmarkStart w:id="50" w:name="_Toc6506"/>
      <w:bookmarkStart w:id="51" w:name="_Toc28391"/>
      <w:bookmarkStart w:id="52" w:name="_Toc9824"/>
      <w:bookmarkStart w:id="53" w:name="_Toc6346"/>
      <w:bookmarkStart w:id="54" w:name="_Toc1607"/>
      <w:bookmarkStart w:id="55" w:name="_Toc7618"/>
      <w:bookmarkStart w:id="56" w:name="_Toc535856557"/>
      <w:bookmarkStart w:id="57" w:name="_Toc2457"/>
      <w:bookmarkStart w:id="58" w:name="_Toc6720"/>
      <w:bookmarkStart w:id="59" w:name="_Toc11937"/>
      <w:bookmarkStart w:id="60" w:name="_Toc10224"/>
      <w:bookmarkStart w:id="61" w:name="_Toc1793"/>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62" w:name="_Toc276368885"/>
      <w:bookmarkStart w:id="63" w:name="_Toc317262248"/>
      <w:r>
        <w:rPr>
          <w:rFonts w:ascii="Times New Roman" w:hAnsi="Times New Roman" w:eastAsia="宋体"/>
          <w:color w:val="auto"/>
          <w:sz w:val="21"/>
          <w:szCs w:val="21"/>
        </w:rPr>
        <w:t>截止时间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spacing w:line="420" w:lineRule="exact"/>
        <w:rPr>
          <w:color w:val="auto"/>
          <w:szCs w:val="21"/>
        </w:rPr>
      </w:pPr>
      <w:bookmarkStart w:id="64" w:name="_Toc259028276"/>
      <w:bookmarkStart w:id="65" w:name="_Toc334539186"/>
      <w:r>
        <w:rPr>
          <w:color w:val="auto"/>
          <w:szCs w:val="21"/>
          <w:lang w:val="zh-CN"/>
        </w:rPr>
        <w:t>送达地点：湖北省成套招标股份有限公司</w:t>
      </w:r>
      <w:r>
        <w:rPr>
          <w:color w:val="auto"/>
          <w:szCs w:val="21"/>
        </w:rPr>
        <w:t>10楼</w:t>
      </w:r>
      <w:r>
        <w:rPr>
          <w:rFonts w:hint="eastAsia"/>
          <w:color w:val="auto"/>
          <w:szCs w:val="21"/>
          <w:lang w:val="en-US" w:eastAsia="zh-CN"/>
        </w:rPr>
        <w:t>1006</w:t>
      </w:r>
      <w:r>
        <w:rPr>
          <w:color w:val="auto"/>
          <w:szCs w:val="21"/>
        </w:rPr>
        <w:t>号会议室</w:t>
      </w:r>
    </w:p>
    <w:p>
      <w:pPr>
        <w:spacing w:line="420" w:lineRule="exact"/>
        <w:rPr>
          <w:color w:val="auto"/>
          <w:szCs w:val="21"/>
          <w:lang w:val="zh-CN"/>
        </w:rPr>
      </w:pPr>
      <w:r>
        <w:rPr>
          <w:color w:val="auto"/>
          <w:szCs w:val="21"/>
          <w:lang w:val="zh-CN"/>
        </w:rPr>
        <w:t>送达截止时间：</w:t>
      </w:r>
      <w:r>
        <w:rPr>
          <w:color w:val="auto"/>
          <w:szCs w:val="21"/>
        </w:rPr>
        <w:t>20</w:t>
      </w:r>
      <w:r>
        <w:rPr>
          <w:rFonts w:hint="eastAsia"/>
          <w:color w:val="auto"/>
          <w:szCs w:val="21"/>
        </w:rPr>
        <w:t>24</w:t>
      </w:r>
      <w:r>
        <w:rPr>
          <w:color w:val="auto"/>
          <w:szCs w:val="21"/>
        </w:rPr>
        <w:t>年</w:t>
      </w:r>
      <w:r>
        <w:rPr>
          <w:rFonts w:hint="eastAsia"/>
          <w:color w:val="auto"/>
          <w:szCs w:val="21"/>
          <w:lang w:val="en-US" w:eastAsia="zh-CN"/>
        </w:rPr>
        <w:t>09</w:t>
      </w:r>
      <w:r>
        <w:rPr>
          <w:color w:val="auto"/>
          <w:szCs w:val="21"/>
        </w:rPr>
        <w:t>月</w:t>
      </w:r>
      <w:r>
        <w:rPr>
          <w:rFonts w:hint="eastAsia"/>
          <w:color w:val="auto"/>
          <w:szCs w:val="21"/>
          <w:lang w:val="en-US" w:eastAsia="zh-CN"/>
        </w:rPr>
        <w:t>04</w:t>
      </w:r>
      <w:r>
        <w:rPr>
          <w:color w:val="auto"/>
          <w:szCs w:val="21"/>
        </w:rPr>
        <w:t>日</w:t>
      </w:r>
      <w:r>
        <w:rPr>
          <w:rFonts w:hint="eastAsia"/>
          <w:color w:val="auto"/>
          <w:szCs w:val="21"/>
          <w:lang w:val="en-US" w:eastAsia="zh-CN"/>
        </w:rPr>
        <w:t>09:30</w:t>
      </w:r>
      <w:r>
        <w:rPr>
          <w:color w:val="auto"/>
          <w:szCs w:val="21"/>
        </w:rPr>
        <w:t>时</w:t>
      </w:r>
      <w:r>
        <w:rPr>
          <w:color w:val="auto"/>
          <w:szCs w:val="21"/>
          <w:lang w:val="zh-CN"/>
        </w:rPr>
        <w:t>（北京时间）</w:t>
      </w:r>
    </w:p>
    <w:p>
      <w:pPr>
        <w:spacing w:line="420" w:lineRule="exact"/>
        <w:rPr>
          <w:color w:val="auto"/>
          <w:szCs w:val="21"/>
          <w:lang w:val="zh-CN"/>
        </w:rPr>
      </w:pPr>
      <w:r>
        <w:rPr>
          <w:color w:val="auto"/>
          <w:szCs w:val="21"/>
        </w:rPr>
        <w:t>接收文件</w:t>
      </w:r>
      <w:r>
        <w:rPr>
          <w:color w:val="auto"/>
          <w:szCs w:val="21"/>
          <w:lang w:val="zh-CN"/>
        </w:rPr>
        <w:t>的</w:t>
      </w:r>
      <w:r>
        <w:rPr>
          <w:color w:val="auto"/>
          <w:szCs w:val="21"/>
        </w:rPr>
        <w:t>时间：截止时间前1小时内接受文件。</w:t>
      </w:r>
    </w:p>
    <w:p>
      <w:pPr>
        <w:pStyle w:val="6"/>
        <w:spacing w:line="420" w:lineRule="exact"/>
        <w:rPr>
          <w:rFonts w:ascii="Times New Roman" w:hAnsi="Times New Roman" w:eastAsia="宋体"/>
          <w:color w:val="auto"/>
          <w:sz w:val="21"/>
          <w:szCs w:val="21"/>
        </w:rPr>
      </w:pPr>
      <w:bookmarkStart w:id="66" w:name="_Toc362"/>
      <w:bookmarkStart w:id="67" w:name="_Toc25073"/>
      <w:bookmarkStart w:id="68" w:name="_Toc21444"/>
      <w:bookmarkStart w:id="69" w:name="_Toc3551"/>
      <w:bookmarkStart w:id="70" w:name="_Toc28268"/>
      <w:bookmarkStart w:id="71" w:name="_Toc767"/>
      <w:bookmarkStart w:id="72" w:name="_Toc25421"/>
      <w:bookmarkStart w:id="73" w:name="_Toc535856558"/>
      <w:bookmarkStart w:id="74" w:name="_Toc3078"/>
      <w:bookmarkStart w:id="75" w:name="_Toc29258"/>
      <w:bookmarkStart w:id="76" w:name="_Toc19287"/>
      <w:bookmarkStart w:id="77" w:name="_Toc26431"/>
      <w:bookmarkStart w:id="78" w:name="_Toc28288"/>
      <w:bookmarkStart w:id="79" w:name="_Toc29998"/>
      <w:bookmarkStart w:id="80" w:name="_Toc23556"/>
      <w:bookmarkStart w:id="81" w:name="_Toc4575"/>
      <w:bookmarkStart w:id="82" w:name="_Toc13920"/>
      <w:bookmarkStart w:id="83" w:name="_Toc3131"/>
      <w:bookmarkStart w:id="84" w:name="_Toc16195"/>
      <w:bookmarkStart w:id="85" w:name="_Toc19405"/>
      <w:bookmarkStart w:id="86" w:name="_Toc28318"/>
      <w:r>
        <w:rPr>
          <w:rFonts w:hint="eastAsia" w:ascii="Times New Roman" w:hAnsi="Times New Roman" w:eastAsia="宋体"/>
          <w:color w:val="auto"/>
          <w:sz w:val="21"/>
          <w:szCs w:val="21"/>
        </w:rPr>
        <w:t>五、</w:t>
      </w:r>
      <w:r>
        <w:rPr>
          <w:rFonts w:hint="eastAsia" w:ascii="Times New Roman" w:hAnsi="Times New Roman" w:eastAsia="宋体"/>
          <w:color w:val="auto"/>
          <w:sz w:val="21"/>
          <w:szCs w:val="21"/>
          <w:lang w:eastAsia="zh-CN"/>
        </w:rPr>
        <w:t>磋商谈判</w:t>
      </w:r>
      <w:r>
        <w:rPr>
          <w:rFonts w:ascii="Times New Roman" w:hAnsi="Times New Roman" w:eastAsia="宋体"/>
          <w:color w:val="auto"/>
          <w:sz w:val="21"/>
          <w:szCs w:val="21"/>
        </w:rPr>
        <w:t>地点</w:t>
      </w:r>
      <w:bookmarkEnd w:id="64"/>
      <w:r>
        <w:rPr>
          <w:rFonts w:ascii="Times New Roman" w:hAnsi="Times New Roman" w:eastAsia="宋体"/>
          <w:color w:val="auto"/>
          <w:sz w:val="21"/>
          <w:szCs w:val="21"/>
        </w:rPr>
        <w:t>及时间</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420" w:lineRule="exact"/>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1006</w:t>
      </w:r>
      <w:r>
        <w:rPr>
          <w:color w:val="auto"/>
          <w:szCs w:val="21"/>
        </w:rPr>
        <w:t>号会议室</w:t>
      </w:r>
    </w:p>
    <w:p>
      <w:pPr>
        <w:spacing w:line="420" w:lineRule="exact"/>
        <w:rPr>
          <w:color w:val="auto"/>
          <w:szCs w:val="21"/>
          <w:lang w:val="zh-CN"/>
        </w:rPr>
      </w:pPr>
      <w:r>
        <w:rPr>
          <w:color w:val="auto"/>
          <w:szCs w:val="21"/>
          <w:lang w:val="zh-CN"/>
        </w:rPr>
        <w:t>截止时间：</w:t>
      </w:r>
      <w:r>
        <w:rPr>
          <w:color w:val="auto"/>
          <w:szCs w:val="21"/>
        </w:rPr>
        <w:t>20</w:t>
      </w:r>
      <w:r>
        <w:rPr>
          <w:rFonts w:hint="eastAsia"/>
          <w:color w:val="auto"/>
          <w:szCs w:val="21"/>
        </w:rPr>
        <w:t>24</w:t>
      </w:r>
      <w:r>
        <w:rPr>
          <w:color w:val="auto"/>
          <w:szCs w:val="21"/>
        </w:rPr>
        <w:t>年</w:t>
      </w:r>
      <w:r>
        <w:rPr>
          <w:rFonts w:hint="eastAsia"/>
          <w:color w:val="auto"/>
          <w:szCs w:val="21"/>
          <w:lang w:val="en-US" w:eastAsia="zh-CN"/>
        </w:rPr>
        <w:t>09</w:t>
      </w:r>
      <w:r>
        <w:rPr>
          <w:color w:val="auto"/>
          <w:szCs w:val="21"/>
        </w:rPr>
        <w:t>月</w:t>
      </w:r>
      <w:r>
        <w:rPr>
          <w:rFonts w:hint="eastAsia"/>
          <w:color w:val="auto"/>
          <w:szCs w:val="21"/>
          <w:lang w:val="en-US" w:eastAsia="zh-CN"/>
        </w:rPr>
        <w:t>04</w:t>
      </w:r>
      <w:r>
        <w:rPr>
          <w:color w:val="auto"/>
          <w:szCs w:val="21"/>
        </w:rPr>
        <w:t>日</w:t>
      </w:r>
      <w:r>
        <w:rPr>
          <w:rFonts w:hint="eastAsia"/>
          <w:color w:val="auto"/>
          <w:szCs w:val="21"/>
          <w:lang w:val="en-US" w:eastAsia="zh-CN"/>
        </w:rPr>
        <w:t>09:30</w:t>
      </w:r>
      <w:r>
        <w:rPr>
          <w:color w:val="auto"/>
          <w:szCs w:val="21"/>
        </w:rPr>
        <w:t>时</w:t>
      </w:r>
      <w:r>
        <w:rPr>
          <w:color w:val="auto"/>
          <w:szCs w:val="21"/>
          <w:lang w:val="zh-CN"/>
        </w:rPr>
        <w:t>（北京时间）</w:t>
      </w:r>
    </w:p>
    <w:p>
      <w:pPr>
        <w:spacing w:line="420" w:lineRule="exact"/>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pPr>
        <w:pStyle w:val="6"/>
        <w:spacing w:line="420" w:lineRule="exact"/>
        <w:rPr>
          <w:rFonts w:ascii="Times New Roman" w:hAnsi="Times New Roman" w:eastAsia="宋体"/>
          <w:color w:val="auto"/>
          <w:sz w:val="21"/>
          <w:szCs w:val="21"/>
        </w:rPr>
      </w:pPr>
      <w:bookmarkStart w:id="87" w:name="_Toc4980"/>
      <w:bookmarkStart w:id="88" w:name="_Toc30191"/>
      <w:bookmarkStart w:id="89" w:name="_Toc12575"/>
      <w:bookmarkStart w:id="90" w:name="_Toc23229"/>
      <w:bookmarkStart w:id="91" w:name="_Toc7221"/>
      <w:bookmarkStart w:id="92" w:name="_Toc19870"/>
      <w:bookmarkStart w:id="93" w:name="_Toc20066"/>
      <w:bookmarkStart w:id="94" w:name="_Toc11835"/>
      <w:bookmarkStart w:id="95" w:name="_Toc27028"/>
      <w:bookmarkStart w:id="96" w:name="_Toc7978"/>
      <w:bookmarkStart w:id="97" w:name="_Toc321"/>
      <w:bookmarkStart w:id="98" w:name="_Toc3394"/>
      <w:bookmarkStart w:id="99" w:name="_Toc19673"/>
      <w:bookmarkStart w:id="100" w:name="_Toc334539187"/>
      <w:bookmarkStart w:id="101" w:name="_Toc259028277"/>
      <w:bookmarkStart w:id="102" w:name="_Toc28010"/>
      <w:bookmarkStart w:id="103" w:name="_Toc17047"/>
      <w:bookmarkStart w:id="104" w:name="_Toc21568"/>
      <w:bookmarkStart w:id="105" w:name="_Toc535856559"/>
      <w:bookmarkStart w:id="106" w:name="_Toc24853"/>
      <w:bookmarkStart w:id="107" w:name="_Toc11115"/>
      <w:bookmarkStart w:id="108" w:name="_Toc21911"/>
      <w:bookmarkStart w:id="109" w:name="_Toc18563"/>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420" w:lineRule="exact"/>
        <w:rPr>
          <w:color w:val="auto"/>
          <w:szCs w:val="21"/>
        </w:rPr>
      </w:pPr>
      <w:bookmarkStart w:id="110" w:name="_Toc6021"/>
      <w:bookmarkStart w:id="111" w:name="_Toc320898024"/>
      <w:bookmarkStart w:id="112" w:name="_Toc276368888"/>
      <w:bookmarkStart w:id="113" w:name="_Toc259607751"/>
      <w:bookmarkStart w:id="114" w:name="_Toc334539188"/>
      <w:bookmarkStart w:id="115" w:name="_Toc317262251"/>
      <w:r>
        <w:rPr>
          <w:color w:val="auto"/>
          <w:szCs w:val="21"/>
        </w:rPr>
        <w:t>采 购 人：武汉天河机场有限责任公司</w:t>
      </w:r>
    </w:p>
    <w:p>
      <w:pPr>
        <w:spacing w:line="420" w:lineRule="exact"/>
        <w:rPr>
          <w:color w:val="auto"/>
          <w:szCs w:val="21"/>
          <w:lang w:val="zh-CN"/>
        </w:rPr>
      </w:pPr>
      <w:r>
        <w:rPr>
          <w:color w:val="auto"/>
          <w:szCs w:val="21"/>
          <w:lang w:val="zh-CN"/>
        </w:rPr>
        <w:t>地    址：</w:t>
      </w:r>
      <w:r>
        <w:rPr>
          <w:color w:val="auto"/>
          <w:szCs w:val="21"/>
        </w:rPr>
        <w:t>武汉市黄陂区天河镇武汉天河机场</w:t>
      </w:r>
    </w:p>
    <w:p>
      <w:pPr>
        <w:spacing w:line="420" w:lineRule="exact"/>
        <w:rPr>
          <w:color w:val="auto"/>
          <w:kern w:val="0"/>
          <w:szCs w:val="21"/>
        </w:rPr>
      </w:pPr>
      <w:r>
        <w:rPr>
          <w:color w:val="auto"/>
          <w:kern w:val="0"/>
          <w:szCs w:val="21"/>
        </w:rPr>
        <w:t>联 系 人：</w:t>
      </w:r>
      <w:r>
        <w:rPr>
          <w:rFonts w:hint="eastAsia"/>
          <w:color w:val="auto"/>
          <w:kern w:val="0"/>
          <w:szCs w:val="21"/>
          <w:lang w:val="en-US" w:eastAsia="zh-CN"/>
        </w:rPr>
        <w:t xml:space="preserve">左先生 </w:t>
      </w:r>
      <w:r>
        <w:rPr>
          <w:rFonts w:hint="eastAsia"/>
          <w:color w:val="auto"/>
          <w:kern w:val="0"/>
          <w:szCs w:val="21"/>
        </w:rPr>
        <w:t xml:space="preserve">  </w:t>
      </w:r>
      <w:r>
        <w:rPr>
          <w:color w:val="auto"/>
          <w:szCs w:val="21"/>
        </w:rPr>
        <w:t xml:space="preserve"> </w:t>
      </w:r>
    </w:p>
    <w:p>
      <w:pPr>
        <w:spacing w:line="420" w:lineRule="exact"/>
        <w:rPr>
          <w:rFonts w:hint="default" w:eastAsia="宋体"/>
          <w:color w:val="auto"/>
          <w:szCs w:val="21"/>
          <w:lang w:val="en-US" w:eastAsia="zh-CN"/>
        </w:rPr>
      </w:pPr>
      <w:r>
        <w:rPr>
          <w:color w:val="auto"/>
          <w:szCs w:val="21"/>
        </w:rPr>
        <w:t>电    话：</w:t>
      </w:r>
      <w:bookmarkStart w:id="116" w:name="_Toc535856560"/>
      <w:bookmarkStart w:id="117" w:name="_Toc14448"/>
      <w:bookmarkStart w:id="118" w:name="_Toc3912"/>
      <w:r>
        <w:rPr>
          <w:rFonts w:hint="eastAsia"/>
          <w:color w:val="auto"/>
          <w:szCs w:val="21"/>
          <w:lang w:val="en-US" w:eastAsia="zh-CN"/>
        </w:rPr>
        <w:t>027-65590135</w:t>
      </w:r>
    </w:p>
    <w:p>
      <w:pPr>
        <w:pStyle w:val="6"/>
        <w:spacing w:before="0" w:after="0" w:line="360" w:lineRule="auto"/>
        <w:rPr>
          <w:rFonts w:ascii="Times New Roman" w:hAnsi="Times New Roman" w:eastAsia="宋体"/>
          <w:color w:val="auto"/>
          <w:sz w:val="21"/>
          <w:szCs w:val="21"/>
        </w:rPr>
      </w:pPr>
      <w:bookmarkStart w:id="119" w:name="_Toc19882"/>
      <w:bookmarkStart w:id="120" w:name="_Toc18750"/>
      <w:bookmarkStart w:id="121" w:name="_Toc5420"/>
      <w:bookmarkStart w:id="122" w:name="_Toc10137"/>
      <w:bookmarkStart w:id="123" w:name="_Toc29714"/>
      <w:bookmarkStart w:id="124" w:name="_Toc14713"/>
      <w:bookmarkStart w:id="125" w:name="_Toc25141"/>
      <w:bookmarkStart w:id="126" w:name="_Toc22077"/>
      <w:bookmarkStart w:id="127" w:name="_Toc20039"/>
      <w:bookmarkStart w:id="128" w:name="_Toc27917"/>
      <w:bookmarkStart w:id="129" w:name="_Toc25277"/>
      <w:bookmarkStart w:id="130" w:name="_Toc7183"/>
      <w:bookmarkStart w:id="131" w:name="_Toc18389"/>
      <w:bookmarkStart w:id="132" w:name="_Toc31274"/>
      <w:bookmarkStart w:id="133" w:name="_Toc19654"/>
      <w:bookmarkStart w:id="134" w:name="_Toc26476"/>
      <w:bookmarkStart w:id="135" w:name="_Toc998"/>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360" w:lineRule="auto"/>
        <w:rPr>
          <w:color w:val="auto"/>
          <w:szCs w:val="21"/>
        </w:rPr>
      </w:pPr>
      <w:bookmarkStart w:id="136" w:name="_Toc318643462"/>
      <w:bookmarkStart w:id="137" w:name="_Toc317262253"/>
      <w:bookmarkStart w:id="138" w:name="_Toc259028279"/>
      <w:bookmarkStart w:id="139" w:name="_Toc334539189"/>
      <w:r>
        <w:rPr>
          <w:color w:val="auto"/>
          <w:szCs w:val="21"/>
        </w:rPr>
        <w:t>代理机构：湖北省成套招标股份有限公司</w:t>
      </w:r>
    </w:p>
    <w:p>
      <w:pPr>
        <w:spacing w:line="360" w:lineRule="auto"/>
        <w:rPr>
          <w:color w:val="auto"/>
          <w:szCs w:val="21"/>
        </w:rPr>
      </w:pPr>
      <w:r>
        <w:rPr>
          <w:color w:val="auto"/>
          <w:szCs w:val="21"/>
        </w:rPr>
        <w:t>邮    编：430071</w:t>
      </w:r>
    </w:p>
    <w:p>
      <w:pPr>
        <w:spacing w:line="360" w:lineRule="auto"/>
        <w:rPr>
          <w:color w:val="auto"/>
          <w:szCs w:val="21"/>
        </w:rPr>
      </w:pPr>
      <w:r>
        <w:rPr>
          <w:color w:val="auto"/>
          <w:szCs w:val="21"/>
        </w:rPr>
        <w:t>地    址：武汉市武昌区东湖西路特2号平安财富中心B座7-10楼（东湖大厦正对面）</w:t>
      </w:r>
    </w:p>
    <w:bookmarkEnd w:id="136"/>
    <w:bookmarkEnd w:id="137"/>
    <w:bookmarkEnd w:id="138"/>
    <w:bookmarkEnd w:id="139"/>
    <w:p>
      <w:pPr>
        <w:spacing w:line="360" w:lineRule="auto"/>
        <w:rPr>
          <w:color w:val="auto"/>
          <w:szCs w:val="21"/>
        </w:rPr>
      </w:pPr>
      <w:bookmarkStart w:id="140" w:name="_Toc13007"/>
      <w:bookmarkStart w:id="141" w:name="_Toc371437767"/>
      <w:r>
        <w:rPr>
          <w:color w:val="auto"/>
          <w:szCs w:val="21"/>
        </w:rPr>
        <w:t>联 系 人：</w:t>
      </w:r>
      <w:r>
        <w:rPr>
          <w:rFonts w:hint="eastAsia"/>
          <w:color w:val="auto"/>
        </w:rPr>
        <w:t>郭亚楠、胡小康</w:t>
      </w:r>
    </w:p>
    <w:p>
      <w:pPr>
        <w:spacing w:line="360" w:lineRule="auto"/>
        <w:rPr>
          <w:color w:val="auto"/>
          <w:szCs w:val="21"/>
        </w:rPr>
      </w:pPr>
      <w:r>
        <w:rPr>
          <w:color w:val="auto"/>
          <w:szCs w:val="21"/>
        </w:rPr>
        <w:t>电    话：027-87816666-861</w:t>
      </w:r>
      <w:r>
        <w:rPr>
          <w:rFonts w:hint="eastAsia"/>
          <w:color w:val="auto"/>
          <w:szCs w:val="21"/>
        </w:rPr>
        <w:t>3</w:t>
      </w:r>
    </w:p>
    <w:p>
      <w:pPr>
        <w:spacing w:line="360" w:lineRule="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40"/>
    <w:bookmarkEnd w:id="141"/>
    <w:p>
      <w:pPr>
        <w:pStyle w:val="6"/>
        <w:spacing w:before="0" w:after="0" w:line="360" w:lineRule="auto"/>
        <w:rPr>
          <w:rFonts w:ascii="Times New Roman" w:hAnsi="Times New Roman" w:eastAsia="宋体"/>
          <w:color w:val="auto"/>
          <w:sz w:val="21"/>
          <w:szCs w:val="21"/>
        </w:rPr>
      </w:pPr>
      <w:bookmarkStart w:id="142" w:name="_Toc14150"/>
      <w:bookmarkStart w:id="143" w:name="_Toc334539190"/>
      <w:bookmarkStart w:id="144" w:name="_Toc28014"/>
      <w:bookmarkStart w:id="145" w:name="_Toc22538"/>
      <w:bookmarkStart w:id="146" w:name="_Toc14396"/>
      <w:bookmarkStart w:id="147" w:name="_Toc31133"/>
      <w:bookmarkStart w:id="148" w:name="_Toc8970"/>
      <w:bookmarkStart w:id="149" w:name="_Toc6205"/>
      <w:bookmarkStart w:id="150" w:name="_Toc4968"/>
      <w:bookmarkStart w:id="151" w:name="_Toc28201"/>
      <w:bookmarkStart w:id="152" w:name="_Toc15450"/>
      <w:bookmarkStart w:id="153" w:name="_Toc20359"/>
      <w:bookmarkStart w:id="154" w:name="_Toc10127"/>
      <w:bookmarkStart w:id="155" w:name="_Toc17482"/>
      <w:bookmarkStart w:id="156" w:name="_Toc535856561"/>
      <w:bookmarkStart w:id="157" w:name="_Toc22518"/>
      <w:bookmarkStart w:id="158" w:name="_Toc31932"/>
      <w:bookmarkStart w:id="159" w:name="_Toc24436"/>
      <w:bookmarkStart w:id="160" w:name="_Toc16443"/>
      <w:bookmarkStart w:id="161" w:name="_Toc6084"/>
      <w:bookmarkStart w:id="162" w:name="_Toc2540"/>
      <w:bookmarkStart w:id="163" w:name="_Toc12020"/>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42"/>
      <w:bookmarkEnd w:id="143"/>
      <w:r>
        <w:rPr>
          <w:rFonts w:ascii="Times New Roman" w:hAnsi="Times New Roman" w:eastAsia="宋体"/>
          <w:color w:val="auto"/>
          <w:sz w:val="21"/>
          <w:szCs w:val="21"/>
        </w:rPr>
        <w:t>及发布时间</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360" w:lineRule="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pPr>
        <w:spacing w:line="360" w:lineRule="auto"/>
        <w:rPr>
          <w:color w:val="auto"/>
        </w:rPr>
      </w:pPr>
      <w:r>
        <w:rPr>
          <w:color w:val="auto"/>
          <w:szCs w:val="21"/>
        </w:rPr>
        <w:t>发布日期：</w:t>
      </w:r>
      <w:r>
        <w:rPr>
          <w:color w:val="auto"/>
        </w:rPr>
        <w:t>20</w:t>
      </w:r>
      <w:r>
        <w:rPr>
          <w:rFonts w:hint="eastAsia"/>
          <w:color w:val="auto"/>
        </w:rPr>
        <w:t>24</w:t>
      </w:r>
      <w:r>
        <w:rPr>
          <w:color w:val="auto"/>
        </w:rPr>
        <w:t>年</w:t>
      </w:r>
      <w:r>
        <w:rPr>
          <w:rFonts w:hint="eastAsia"/>
          <w:color w:val="auto"/>
          <w:lang w:val="en-US" w:eastAsia="zh-CN"/>
        </w:rPr>
        <w:t>08</w:t>
      </w:r>
      <w:r>
        <w:rPr>
          <w:color w:val="auto"/>
        </w:rPr>
        <w:t>月</w:t>
      </w:r>
      <w:r>
        <w:rPr>
          <w:rFonts w:hint="eastAsia"/>
          <w:color w:val="auto"/>
          <w:lang w:val="en-US" w:eastAsia="zh-CN"/>
        </w:rPr>
        <w:t>22</w:t>
      </w:r>
      <w:r>
        <w:rPr>
          <w:color w:val="auto"/>
        </w:rPr>
        <w:t>日</w:t>
      </w:r>
    </w:p>
    <w:p>
      <w:pPr>
        <w:spacing w:line="360" w:lineRule="auto"/>
        <w:rPr>
          <w:color w:val="auto"/>
        </w:rPr>
      </w:pPr>
      <w:bookmarkStart w:id="164" w:name="_GoBack"/>
      <w:bookmarkEnd w:id="164"/>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0F581AD1"/>
    <w:rsid w:val="2B5F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next w:val="1"/>
    <w:autoRedefine/>
    <w:qFormat/>
    <w:uiPriority w:val="0"/>
    <w:pPr>
      <w:spacing w:after="120"/>
    </w:pPr>
  </w:style>
  <w:style w:type="paragraph" w:styleId="4">
    <w:name w:val="Body Text First Indent 2"/>
    <w:basedOn w:val="5"/>
    <w:next w:val="1"/>
    <w:qFormat/>
    <w:uiPriority w:val="0"/>
    <w:pPr>
      <w:spacing w:after="120" w:line="240" w:lineRule="auto"/>
      <w:ind w:left="420" w:leftChars="200" w:firstLine="420"/>
    </w:pPr>
    <w:rPr>
      <w:sz w:val="21"/>
    </w:rPr>
  </w:style>
  <w:style w:type="paragraph" w:styleId="5">
    <w:name w:val="Body Text Indent"/>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2024-08-13T02:08:00Z</dcterms:created>
  <dc:creator>HP</dc:creator>
  <cp:lastModifiedBy>郭亚楠</cp:lastModifiedBy>
  <dcterms:modified xsi:type="dcterms:W3CDTF">2024-08-22T09:26:56Z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762EE3332E4D4114848ACEBF2E31614E_12</vt:lpwstr>
  </property>
</Properties>
</file>