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544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/>
        </w:rPr>
      </w:pPr>
      <w:bookmarkStart w:id="0" w:name="_Toc320019728"/>
      <w:r>
        <w:rPr>
          <w:rFonts w:hint="eastAsia" w:cs="宋体"/>
          <w:b/>
          <w:bCs/>
          <w:color w:val="auto"/>
          <w:sz w:val="24"/>
          <w:szCs w:val="24"/>
          <w:highlight w:val="none"/>
          <w:lang w:val="en-US" w:eastAsia="zh-CN"/>
        </w:rPr>
        <w:t>武汉天河机场</w:t>
      </w:r>
      <w:r>
        <w:rPr>
          <w:rFonts w:hint="eastAsia" w:cs="宋体"/>
          <w:b/>
          <w:bCs/>
          <w:color w:val="auto"/>
          <w:sz w:val="24"/>
          <w:szCs w:val="24"/>
          <w:highlight w:val="none"/>
          <w:lang w:eastAsia="zh-CN"/>
        </w:rPr>
        <w:t>T1、T3航站楼、T3地下停车场、医疗急救中心和公共区空港隧道消防设备维修零配件更换采购项目</w:t>
      </w:r>
      <w:r>
        <w:rPr>
          <w:rFonts w:hint="eastAsia" w:cs="宋体"/>
          <w:b/>
          <w:bCs/>
          <w:color w:val="auto"/>
          <w:sz w:val="24"/>
          <w:szCs w:val="24"/>
          <w:highlight w:val="none"/>
          <w:lang w:val="en-US" w:eastAsia="zh-CN"/>
        </w:rPr>
        <w:t>询价公告</w:t>
      </w:r>
    </w:p>
    <w:p w14:paraId="6A7C45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</w:p>
    <w:p w14:paraId="1F89FE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（以下简称“采购代理机构”）受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武汉天河机场有限责任公司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（以下简称“采购人”）的委托，对本项目组织询价采购。欢迎符合资格条件的供应商参加询价报价。</w:t>
      </w:r>
      <w:bookmarkStart w:id="35" w:name="_GoBack"/>
      <w:bookmarkEnd w:id="35"/>
    </w:p>
    <w:p w14:paraId="282E25E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/>
          <w:color w:val="auto"/>
          <w:highlight w:val="none"/>
        </w:rPr>
      </w:pPr>
    </w:p>
    <w:p w14:paraId="043ED5AB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  <w:tab w:val="left" w:pos="199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1" w:name="_Toc422334105"/>
      <w:bookmarkStart w:id="2" w:name="_Toc422766880"/>
      <w:bookmarkStart w:id="3" w:name="_Toc390955783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项目概况</w:t>
      </w:r>
      <w:bookmarkEnd w:id="1"/>
      <w:bookmarkEnd w:id="2"/>
      <w:bookmarkEnd w:id="3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ab/>
      </w:r>
    </w:p>
    <w:p w14:paraId="3A9D8A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1、项目编号：ZB-16-04C-2024-D-E17915</w:t>
      </w:r>
    </w:p>
    <w:p w14:paraId="0C01EA9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2、项目名称：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武汉天河机场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T1、T3航站楼、T3地下停车场、医疗急救中心和公共区空港隧道消防设备维修零配件更换采购项目</w:t>
      </w:r>
    </w:p>
    <w:p w14:paraId="32A04A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采购预算：15.835万元，不得超过采购预算，否则其报价无效</w:t>
      </w:r>
    </w:p>
    <w:p w14:paraId="5FA2F9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4、采购内容：消防设备维修零配件更换。具体详见第三章采购需求</w:t>
      </w:r>
    </w:p>
    <w:p w14:paraId="1B9BFCB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5、标包划分：本项目不划分标包</w:t>
      </w:r>
    </w:p>
    <w:p w14:paraId="3981033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4" w:name="_Toc259607747"/>
      <w:bookmarkStart w:id="5" w:name="_Toc422766881"/>
      <w:bookmarkStart w:id="6" w:name="_Toc422334106"/>
      <w:bookmarkStart w:id="7" w:name="_Toc39095578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交货期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签订合同之日起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日历天完成交货</w:t>
      </w:r>
    </w:p>
    <w:p w14:paraId="3CA095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质保期：壹年，自货物验收合格之日起算。质保期内，供应商负责免费对产品进行更换，更换产品必须是原厂生产的标准产品</w:t>
      </w:r>
    </w:p>
    <w:p w14:paraId="641E4F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/>
          <w:color w:val="auto"/>
          <w:highlight w:val="none"/>
          <w:lang w:eastAsia="zh-CN"/>
        </w:rPr>
      </w:pPr>
    </w:p>
    <w:p w14:paraId="11A239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二、供应商资格要求</w:t>
      </w:r>
      <w:bookmarkEnd w:id="4"/>
      <w:bookmarkEnd w:id="5"/>
      <w:bookmarkEnd w:id="6"/>
      <w:bookmarkEnd w:id="7"/>
      <w:bookmarkStart w:id="8" w:name="_Toc422334107"/>
      <w:bookmarkStart w:id="9" w:name="_Toc422766882"/>
    </w:p>
    <w:p w14:paraId="185238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1、供应商须是中华人民共和国境内正式注册并具有独立法人资格，具备有效的营业执照。</w:t>
      </w:r>
    </w:p>
    <w:p w14:paraId="42C91C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highlight w:val="none"/>
        </w:rPr>
        <w:t>业绩要求：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供应商近三年（2021年8月1日至今）至少承担过1项单项合同金额5万元及以上的消防设备配件供货业绩，要求提供合同关键页（包括但不限于封面页、金额页、签字盖章页等能体现合同关键要素的材料）复印件。</w:t>
      </w:r>
    </w:p>
    <w:p w14:paraId="4CBE41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3、信誉要求：供应商不能是被列入“信用中国”网站（www.creditchina.gov.cn）或中国执行信息公开网失信被执行人名单（提供网站查询截图）。</w:t>
      </w:r>
    </w:p>
    <w:p w14:paraId="381FD98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4、供应商需针对《湖北机场集团有限公司“供应商不良行为”管理办法》在响应文件中作出承诺（详见第六章响应文件格式）。</w:t>
      </w:r>
    </w:p>
    <w:p w14:paraId="415296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5、本项目不接受联合体响应，不得转包分包（详见第六章响应文件格式）。</w:t>
      </w:r>
    </w:p>
    <w:p w14:paraId="619D146D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6D7C10F4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三、询价文件的获取</w:t>
      </w:r>
      <w:bookmarkEnd w:id="8"/>
      <w:bookmarkEnd w:id="9"/>
    </w:p>
    <w:p w14:paraId="1CE324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分（北京时间，下同）。</w:t>
      </w:r>
    </w:p>
    <w:p w14:paraId="69F65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地点：“诚E招电子采购交易平台”（网址：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497BF9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</w:p>
    <w:p w14:paraId="4E844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1）供应商通过“诚E招电子采购交易平台”（网址：https：//www.chengezhao.com/）完成本项目文件的获取与下载。</w:t>
      </w:r>
    </w:p>
    <w:p w14:paraId="63A261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2）输入网址，点击【新用户注册】（注册步骤详见门户网站：【供应商操作指南】-【注册指引】）。登录账号后点击【常用文件】，下载《供应商&amp;供应商操作手册》。</w:t>
      </w:r>
    </w:p>
    <w:p w14:paraId="574CB3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3）注册成功后登录平台，点击【商机发现】，检索本项目并直接获取（无需上传任何材料）。具体操作若有疑问，可致电客服热线。</w:t>
      </w:r>
    </w:p>
    <w:p w14:paraId="43837F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免责声明：“诚E招电子采购交易平台”（网址：https：//www.chengezhao.com/）为本项目文件获取的唯一渠道，其他平台的文件获取均属无效。</w:t>
      </w:r>
    </w:p>
    <w:p w14:paraId="78C4C3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售价：￥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00.0元（人民币）</w:t>
      </w:r>
    </w:p>
    <w:p w14:paraId="20F4B52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33BC9DC5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0" w:name="_Toc10536"/>
      <w:bookmarkStart w:id="11" w:name="_Toc26018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四、响应文件提交</w:t>
      </w:r>
      <w:bookmarkEnd w:id="10"/>
      <w:bookmarkEnd w:id="11"/>
    </w:p>
    <w:p w14:paraId="7296110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截止时间：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分（北京时间）</w:t>
      </w:r>
    </w:p>
    <w:p w14:paraId="4BA3790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bookmarkStart w:id="12" w:name="_Toc35393634"/>
      <w:bookmarkStart w:id="13" w:name="_Toc28359017"/>
      <w:bookmarkStart w:id="14" w:name="_Toc35393803"/>
      <w:bookmarkStart w:id="15" w:name="_Toc28359094"/>
      <w:r>
        <w:rPr>
          <w:rFonts w:hint="eastAsia" w:cs="宋体"/>
          <w:color w:val="auto"/>
          <w:sz w:val="24"/>
          <w:szCs w:val="24"/>
          <w:highlight w:val="none"/>
          <w:u w:val="none"/>
          <w:lang w:eastAsia="zh-CN"/>
        </w:rPr>
        <w:t>（会议室</w:t>
      </w:r>
      <w:r>
        <w:rPr>
          <w:rFonts w:hint="eastAsia" w:cs="宋体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cs="宋体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46AEAD4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</w:p>
    <w:p w14:paraId="777C2E90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</w:pPr>
      <w:bookmarkStart w:id="16" w:name="_Toc2130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五、开启</w:t>
      </w:r>
      <w:bookmarkEnd w:id="16"/>
    </w:p>
    <w:p w14:paraId="19A2617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分（北京时间）</w:t>
      </w:r>
    </w:p>
    <w:p w14:paraId="5FE3F4F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（会议室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582FCAE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AFF974D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7" w:name="_Toc5975"/>
      <w:bookmarkStart w:id="18" w:name="_Toc16286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六、公告期限</w:t>
      </w:r>
      <w:bookmarkEnd w:id="12"/>
      <w:bookmarkEnd w:id="13"/>
      <w:bookmarkEnd w:id="14"/>
      <w:bookmarkEnd w:id="15"/>
      <w:bookmarkEnd w:id="17"/>
      <w:bookmarkEnd w:id="18"/>
    </w:p>
    <w:p w14:paraId="0DA0442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自本公告发布之日起3个工作日。</w:t>
      </w:r>
    </w:p>
    <w:p w14:paraId="5713FB6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A997CF9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9" w:name="_Toc35393804"/>
      <w:bookmarkStart w:id="20" w:name="_Toc2897"/>
      <w:bookmarkStart w:id="21" w:name="_Toc29339"/>
      <w:bookmarkStart w:id="22" w:name="_Toc35393635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七、其他补充事宜</w:t>
      </w:r>
      <w:bookmarkEnd w:id="19"/>
      <w:bookmarkEnd w:id="20"/>
      <w:bookmarkEnd w:id="21"/>
      <w:bookmarkEnd w:id="22"/>
      <w:bookmarkStart w:id="23" w:name="_Toc28359018"/>
      <w:bookmarkStart w:id="24" w:name="_Toc35393636"/>
      <w:bookmarkStart w:id="25" w:name="_Toc28359095"/>
      <w:bookmarkStart w:id="26" w:name="_Toc17304"/>
      <w:bookmarkStart w:id="27" w:name="_Toc35393805"/>
      <w:bookmarkStart w:id="28" w:name="_Toc28822"/>
    </w:p>
    <w:p w14:paraId="7433E7B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2406970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2CF83E7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八、凡对本次采购提出询问，请按以下方式联系</w:t>
      </w:r>
      <w:bookmarkEnd w:id="23"/>
      <w:bookmarkEnd w:id="24"/>
      <w:bookmarkEnd w:id="25"/>
      <w:bookmarkEnd w:id="26"/>
      <w:bookmarkEnd w:id="27"/>
      <w:bookmarkEnd w:id="28"/>
    </w:p>
    <w:p w14:paraId="70597AD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29" w:name="_Toc15962_WPSOffice_Level3"/>
      <w:bookmarkStart w:id="30" w:name="_Toc2780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  <w:bookmarkEnd w:id="29"/>
      <w:bookmarkEnd w:id="30"/>
    </w:p>
    <w:p w14:paraId="00F4AA5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名称：武汉天河机场有限责任公司</w:t>
      </w:r>
    </w:p>
    <w:p w14:paraId="14760B2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地址：武汉市黄陂区天河镇</w:t>
      </w:r>
    </w:p>
    <w:p w14:paraId="53383C5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联系人：罗刚</w:t>
      </w:r>
    </w:p>
    <w:p w14:paraId="69B3835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联系方式：</w:t>
      </w:r>
      <w:bookmarkStart w:id="31" w:name="_Toc28359086"/>
      <w:bookmarkStart w:id="32" w:name="_Toc2835900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18971671698</w:t>
      </w:r>
    </w:p>
    <w:p w14:paraId="3A6563A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33" w:name="_Toc31019_WPSOffice_Level3"/>
      <w:bookmarkStart w:id="34" w:name="_Toc1952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2.采购代理机构信息</w:t>
      </w:r>
      <w:bookmarkEnd w:id="31"/>
      <w:bookmarkEnd w:id="32"/>
      <w:bookmarkEnd w:id="33"/>
      <w:bookmarkEnd w:id="34"/>
    </w:p>
    <w:p w14:paraId="54596F2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名称：公诚管理咨询有限公司</w:t>
      </w:r>
    </w:p>
    <w:p w14:paraId="2579D2B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地址：武汉市武昌区徐东二路2号东创创意园（中国农业科学院油料所内）2栋1楼</w:t>
      </w:r>
    </w:p>
    <w:p w14:paraId="0BFA17E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魏文斌、马驰成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、田时启、徐茂盛</w:t>
      </w:r>
    </w:p>
    <w:p w14:paraId="7468719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027-87500052-8002/18507145007/weiwb@gcbidding.com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D1CFA"/>
    <w:multiLevelType w:val="singleLevel"/>
    <w:tmpl w:val="2C6D1CFA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</w:pPr>
      <w:rPr>
        <w:rFonts w:hint="eastAsia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YzNhNmM5ODM1NTRiYjQyMWZhYTYxZGVhNzdhMjQifQ=="/>
  </w:docVars>
  <w:rsids>
    <w:rsidRoot w:val="66C37395"/>
    <w:rsid w:val="058B21B3"/>
    <w:rsid w:val="084009AE"/>
    <w:rsid w:val="09945D3F"/>
    <w:rsid w:val="0A9C2206"/>
    <w:rsid w:val="0C047A79"/>
    <w:rsid w:val="0C9C5D08"/>
    <w:rsid w:val="0CE56273"/>
    <w:rsid w:val="0D70006B"/>
    <w:rsid w:val="0EC0587C"/>
    <w:rsid w:val="0F9C1270"/>
    <w:rsid w:val="0FA51B98"/>
    <w:rsid w:val="132D5DAF"/>
    <w:rsid w:val="135845E7"/>
    <w:rsid w:val="143852DD"/>
    <w:rsid w:val="14BF204A"/>
    <w:rsid w:val="15DA7B5E"/>
    <w:rsid w:val="180F3786"/>
    <w:rsid w:val="19243529"/>
    <w:rsid w:val="1BF11F79"/>
    <w:rsid w:val="1DEE7137"/>
    <w:rsid w:val="1E764B43"/>
    <w:rsid w:val="206255ED"/>
    <w:rsid w:val="22A60709"/>
    <w:rsid w:val="24FC5E27"/>
    <w:rsid w:val="28A84AFF"/>
    <w:rsid w:val="2C06720E"/>
    <w:rsid w:val="30646631"/>
    <w:rsid w:val="33656EB4"/>
    <w:rsid w:val="34082F83"/>
    <w:rsid w:val="34B90AE8"/>
    <w:rsid w:val="352F05E2"/>
    <w:rsid w:val="368B44A7"/>
    <w:rsid w:val="3A364820"/>
    <w:rsid w:val="3B241C29"/>
    <w:rsid w:val="3D014985"/>
    <w:rsid w:val="3E922535"/>
    <w:rsid w:val="41EF7295"/>
    <w:rsid w:val="42C34D0B"/>
    <w:rsid w:val="4341653B"/>
    <w:rsid w:val="45A222D1"/>
    <w:rsid w:val="45AF7469"/>
    <w:rsid w:val="45D76DF7"/>
    <w:rsid w:val="46CD6144"/>
    <w:rsid w:val="48902741"/>
    <w:rsid w:val="4A046F58"/>
    <w:rsid w:val="4A5D36C4"/>
    <w:rsid w:val="4A8830FF"/>
    <w:rsid w:val="4B9B3A65"/>
    <w:rsid w:val="4DF56549"/>
    <w:rsid w:val="4F4E4EC5"/>
    <w:rsid w:val="519A3D50"/>
    <w:rsid w:val="545F0C3C"/>
    <w:rsid w:val="54645BA1"/>
    <w:rsid w:val="54FA2D00"/>
    <w:rsid w:val="56055D0F"/>
    <w:rsid w:val="5D1408C7"/>
    <w:rsid w:val="5E455DA7"/>
    <w:rsid w:val="61D045A0"/>
    <w:rsid w:val="640B4755"/>
    <w:rsid w:val="65285A6C"/>
    <w:rsid w:val="66C37395"/>
    <w:rsid w:val="67D3010F"/>
    <w:rsid w:val="68990BC5"/>
    <w:rsid w:val="69C26056"/>
    <w:rsid w:val="69EA5598"/>
    <w:rsid w:val="6BF27EC6"/>
    <w:rsid w:val="6C2A7359"/>
    <w:rsid w:val="6D276162"/>
    <w:rsid w:val="6D2E1061"/>
    <w:rsid w:val="6DFC7772"/>
    <w:rsid w:val="6E694933"/>
    <w:rsid w:val="6EBE501D"/>
    <w:rsid w:val="6F887AA1"/>
    <w:rsid w:val="70CF0605"/>
    <w:rsid w:val="751A5826"/>
    <w:rsid w:val="758337A7"/>
    <w:rsid w:val="773A2315"/>
    <w:rsid w:val="78E22FBC"/>
    <w:rsid w:val="7B420A92"/>
    <w:rsid w:val="7CA3207D"/>
    <w:rsid w:val="7CE42AB5"/>
    <w:rsid w:val="7D0723DD"/>
    <w:rsid w:val="7D234D9A"/>
    <w:rsid w:val="7D8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360" w:lineRule="auto"/>
      <w:ind w:firstLine="0" w:firstLineChars="0"/>
      <w:jc w:val="both"/>
      <w:textAlignment w:val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keepNext/>
      <w:keepLines/>
      <w:spacing w:before="200" w:after="200" w:line="480" w:lineRule="auto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numPr>
        <w:ilvl w:val="0"/>
        <w:numId w:val="1"/>
      </w:numPr>
      <w:spacing w:before="200" w:after="200"/>
      <w:jc w:val="center"/>
      <w:outlineLvl w:val="1"/>
    </w:pPr>
    <w:rPr>
      <w:rFonts w:ascii="Cambria" w:hAnsi="Cambria" w:cs="Cambria"/>
      <w:b/>
      <w:bCs/>
      <w:sz w:val="32"/>
      <w:szCs w:val="32"/>
      <w:highlight w:val="none"/>
    </w:rPr>
  </w:style>
  <w:style w:type="paragraph" w:styleId="5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pacing w:before="200" w:beforeLines="0" w:after="200" w:afterLines="0" w:line="360" w:lineRule="auto"/>
      <w:jc w:val="center"/>
      <w:outlineLvl w:val="2"/>
    </w:pPr>
    <w:rPr>
      <w:rFonts w:ascii="宋体" w:hAnsi="宋体" w:eastAsia="宋体" w:cs="宋体"/>
      <w:b/>
      <w:sz w:val="3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character" w:customStyle="1" w:styleId="9">
    <w:name w:val="标题 3 Char"/>
    <w:link w:val="5"/>
    <w:autoRedefine/>
    <w:qFormat/>
    <w:uiPriority w:val="9"/>
    <w:rPr>
      <w:rFonts w:ascii="宋体" w:hAnsi="宋体" w:eastAsia="宋体" w:cs="宋体"/>
      <w:b/>
      <w:sz w:val="30"/>
      <w:szCs w:val="20"/>
    </w:rPr>
  </w:style>
  <w:style w:type="character" w:customStyle="1" w:styleId="10">
    <w:name w:val="标题 2 Char"/>
    <w:link w:val="4"/>
    <w:autoRedefine/>
    <w:qFormat/>
    <w:uiPriority w:val="0"/>
    <w:rPr>
      <w:rFonts w:ascii="Arial" w:hAnsi="Arial" w:eastAsia="宋体" w:cs="宋体"/>
      <w:b/>
      <w:snapToGrid w:val="0"/>
      <w:color w:val="000000"/>
      <w:kern w:val="0"/>
      <w:sz w:val="32"/>
      <w:szCs w:val="24"/>
      <w:lang w:val="en-US" w:eastAsia="zh-CN" w:bidi="ar"/>
    </w:rPr>
  </w:style>
  <w:style w:type="character" w:customStyle="1" w:styleId="11">
    <w:name w:val="标题 1 Char"/>
    <w:link w:val="3"/>
    <w:qFormat/>
    <w:locked/>
    <w:uiPriority w:val="99"/>
    <w:rPr>
      <w:rFonts w:ascii="Times New Roman" w:hAnsi="Times New Roman" w:eastAsia="宋体" w:cs="Times New Roman"/>
      <w:b/>
      <w:kern w:val="44"/>
      <w:sz w:val="4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2024-08-20T09:23:00Z</dcterms:created>
  <dc:creator>w</dc:creator>
  <cp:lastModifiedBy>w</cp:lastModifiedBy>
  <dcterms:modified xsi:type="dcterms:W3CDTF">2024-08-20T09:24:51Z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7270126974FF4A70B8F936446F304FF7_11</vt:lpwstr>
  </property>
</Properties>
</file>