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99E7">
      <w:pPr>
        <w:pStyle w:val="2"/>
        <w:spacing w:before="0" w:after="0" w:line="360" w:lineRule="auto"/>
        <w:rPr>
          <w:rFonts w:hint="eastAsia" w:ascii="微软雅黑" w:hAnsi="微软雅黑" w:eastAsia="微软雅黑"/>
          <w:bCs/>
          <w:color w:val="auto"/>
          <w:sz w:val="32"/>
          <w:szCs w:val="32"/>
        </w:rPr>
      </w:pPr>
      <w:bookmarkStart w:id="0" w:name="_Toc109899709"/>
      <w:bookmarkStart w:id="1" w:name="_Toc154572793"/>
      <w:bookmarkStart w:id="2" w:name="_Toc109900128"/>
      <w:bookmarkStart w:id="3" w:name="_Toc109897611"/>
      <w:bookmarkStart w:id="4" w:name="_Toc486407796"/>
      <w:r>
        <w:rPr>
          <w:rFonts w:hint="eastAsia" w:ascii="微软雅黑" w:hAnsi="微软雅黑" w:eastAsia="微软雅黑"/>
          <w:bCs/>
          <w:color w:val="auto"/>
          <w:sz w:val="32"/>
          <w:szCs w:val="32"/>
        </w:rPr>
        <w:t>襄阳机场水质及T1、T2航站楼空气质量检测服务项目</w:t>
      </w:r>
    </w:p>
    <w:p w14:paraId="2C20C1C1">
      <w:pPr>
        <w:pStyle w:val="2"/>
        <w:spacing w:before="0" w:after="0" w:line="360" w:lineRule="auto"/>
        <w:rPr>
          <w:rFonts w:hint="default" w:ascii="微软雅黑" w:hAnsi="微软雅黑" w:eastAsia="微软雅黑"/>
          <w:bCs/>
          <w:color w:val="auto"/>
          <w:sz w:val="32"/>
          <w:szCs w:val="32"/>
        </w:rPr>
      </w:pPr>
      <w:bookmarkStart w:id="7" w:name="_GoBack"/>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r>
        <w:rPr>
          <w:rFonts w:ascii="微软雅黑" w:hAnsi="微软雅黑" w:eastAsia="微软雅黑"/>
          <w:bCs/>
          <w:color w:val="auto"/>
          <w:sz w:val="32"/>
          <w:szCs w:val="32"/>
        </w:rPr>
        <w:t>询价公告</w:t>
      </w:r>
      <w:bookmarkEnd w:id="0"/>
      <w:bookmarkEnd w:id="1"/>
      <w:bookmarkEnd w:id="2"/>
      <w:bookmarkEnd w:id="3"/>
      <w:bookmarkEnd w:id="4"/>
    </w:p>
    <w:bookmarkEnd w:id="7"/>
    <w:p w14:paraId="1772DF78">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4DE8B469">
      <w:pPr>
        <w:spacing w:line="360" w:lineRule="auto"/>
        <w:rPr>
          <w:rFonts w:ascii="宋体" w:hAnsi="宋体"/>
          <w:color w:val="auto"/>
          <w:sz w:val="24"/>
          <w:szCs w:val="24"/>
        </w:rPr>
      </w:pPr>
      <w:r>
        <w:rPr>
          <w:rFonts w:hint="eastAsia" w:ascii="宋体" w:hAnsi="宋体"/>
          <w:color w:val="auto"/>
          <w:sz w:val="24"/>
          <w:szCs w:val="24"/>
        </w:rPr>
        <w:t>一、招标条件</w:t>
      </w:r>
    </w:p>
    <w:p w14:paraId="6A7968E3">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襄阳机场水质及T1、T2航站楼空气质量检测服务项目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二次</w:t>
      </w:r>
      <w:r>
        <w:rPr>
          <w:rFonts w:hint="eastAsia" w:ascii="宋体" w:hAnsi="宋体" w:eastAsia="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预算5.6</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6B2DA75D">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3073EDF3">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526D67AF">
      <w:pPr>
        <w:spacing w:line="360" w:lineRule="auto"/>
        <w:ind w:firstLine="480" w:firstLineChars="200"/>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2.采购内容：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398"/>
        <w:gridCol w:w="1705"/>
        <w:gridCol w:w="1705"/>
        <w:gridCol w:w="1705"/>
      </w:tblGrid>
      <w:tr w14:paraId="331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14:paraId="7BD160F4">
            <w:pPr>
              <w:snapToGrid w:val="0"/>
              <w:jc w:val="center"/>
              <w:rPr>
                <w:rFonts w:hint="eastAsia" w:ascii="黑体" w:hAnsi="黑体" w:eastAsia="黑体" w:cs="黑体"/>
                <w:color w:val="auto"/>
                <w:sz w:val="22"/>
                <w:szCs w:val="22"/>
                <w:lang w:val="en-US" w:eastAsia="zh-CN" w:bidi="ar-SA"/>
              </w:rPr>
            </w:pPr>
            <w:r>
              <w:rPr>
                <w:rFonts w:hint="eastAsia" w:ascii="黑体" w:hAnsi="黑体" w:eastAsia="黑体" w:cs="黑体"/>
                <w:color w:val="auto"/>
                <w:sz w:val="22"/>
                <w:szCs w:val="22"/>
              </w:rPr>
              <w:t>序号</w:t>
            </w:r>
          </w:p>
        </w:tc>
        <w:tc>
          <w:tcPr>
            <w:tcW w:w="2400" w:type="dxa"/>
            <w:vAlign w:val="center"/>
          </w:tcPr>
          <w:p w14:paraId="50A50C69">
            <w:pPr>
              <w:snapToGrid w:val="0"/>
              <w:jc w:val="center"/>
              <w:rPr>
                <w:rFonts w:hint="eastAsia" w:ascii="黑体" w:hAnsi="黑体" w:eastAsia="黑体" w:cs="黑体"/>
                <w:color w:val="auto"/>
                <w:sz w:val="22"/>
                <w:szCs w:val="22"/>
                <w:lang w:val="en-US" w:eastAsia="zh-CN" w:bidi="ar-SA"/>
              </w:rPr>
            </w:pPr>
            <w:r>
              <w:rPr>
                <w:rFonts w:hint="eastAsia" w:ascii="黑体" w:hAnsi="黑体" w:eastAsia="黑体" w:cs="黑体"/>
                <w:color w:val="auto"/>
                <w:sz w:val="22"/>
                <w:szCs w:val="22"/>
                <w:lang w:val="en-US" w:eastAsia="zh-CN"/>
              </w:rPr>
              <w:t>检测</w:t>
            </w:r>
            <w:r>
              <w:rPr>
                <w:rFonts w:hint="eastAsia" w:ascii="黑体" w:hAnsi="黑体" w:eastAsia="黑体" w:cs="黑体"/>
                <w:color w:val="auto"/>
                <w:sz w:val="22"/>
                <w:szCs w:val="22"/>
              </w:rPr>
              <w:t>名称</w:t>
            </w:r>
          </w:p>
        </w:tc>
        <w:tc>
          <w:tcPr>
            <w:tcW w:w="1706" w:type="dxa"/>
            <w:vAlign w:val="center"/>
          </w:tcPr>
          <w:p w14:paraId="098ABF04">
            <w:pPr>
              <w:snapToGrid w:val="0"/>
              <w:jc w:val="center"/>
              <w:rPr>
                <w:rFonts w:hint="eastAsia" w:ascii="黑体" w:hAnsi="黑体" w:eastAsia="黑体" w:cs="黑体"/>
                <w:color w:val="auto"/>
                <w:sz w:val="22"/>
                <w:szCs w:val="22"/>
                <w:lang w:val="en-US" w:eastAsia="zh-CN" w:bidi="ar-SA"/>
              </w:rPr>
            </w:pPr>
            <w:r>
              <w:rPr>
                <w:rFonts w:hint="eastAsia" w:ascii="黑体" w:hAnsi="黑体" w:eastAsia="黑体" w:cs="黑体"/>
                <w:color w:val="auto"/>
                <w:sz w:val="22"/>
                <w:szCs w:val="22"/>
              </w:rPr>
              <w:t>数量</w:t>
            </w:r>
            <w:r>
              <w:rPr>
                <w:rFonts w:hint="eastAsia" w:ascii="黑体" w:hAnsi="黑体" w:eastAsia="黑体" w:cs="黑体"/>
                <w:color w:val="auto"/>
                <w:sz w:val="22"/>
                <w:szCs w:val="22"/>
                <w:lang w:eastAsia="zh-CN"/>
              </w:rPr>
              <w:t>（</w:t>
            </w:r>
            <w:r>
              <w:rPr>
                <w:rFonts w:hint="eastAsia" w:ascii="黑体" w:hAnsi="黑体" w:eastAsia="黑体" w:cs="黑体"/>
                <w:color w:val="auto"/>
                <w:sz w:val="22"/>
                <w:szCs w:val="22"/>
                <w:lang w:val="en-US" w:eastAsia="zh-CN"/>
              </w:rPr>
              <w:t>次</w:t>
            </w:r>
            <w:r>
              <w:rPr>
                <w:rFonts w:hint="eastAsia" w:ascii="黑体" w:hAnsi="黑体" w:eastAsia="黑体" w:cs="黑体"/>
                <w:color w:val="auto"/>
                <w:sz w:val="22"/>
                <w:szCs w:val="22"/>
                <w:lang w:eastAsia="zh-CN"/>
              </w:rPr>
              <w:t>）</w:t>
            </w:r>
          </w:p>
        </w:tc>
        <w:tc>
          <w:tcPr>
            <w:tcW w:w="1706" w:type="dxa"/>
            <w:vAlign w:val="center"/>
          </w:tcPr>
          <w:p w14:paraId="6B9DBD96">
            <w:pPr>
              <w:snapToGrid w:val="0"/>
              <w:jc w:val="center"/>
              <w:rPr>
                <w:rFonts w:hint="eastAsia" w:ascii="黑体" w:hAnsi="黑体" w:eastAsia="黑体" w:cs="黑体"/>
                <w:color w:val="auto"/>
                <w:sz w:val="22"/>
                <w:szCs w:val="22"/>
              </w:rPr>
            </w:pPr>
            <w:r>
              <w:rPr>
                <w:rFonts w:hint="eastAsia" w:ascii="黑体" w:hAnsi="黑体" w:eastAsia="黑体" w:cs="黑体"/>
                <w:color w:val="auto"/>
                <w:sz w:val="22"/>
                <w:szCs w:val="22"/>
              </w:rPr>
              <w:t>单价</w:t>
            </w:r>
          </w:p>
          <w:p w14:paraId="7033A7C0">
            <w:pPr>
              <w:snapToGrid w:val="0"/>
              <w:jc w:val="center"/>
              <w:rPr>
                <w:rFonts w:hint="eastAsia" w:ascii="黑体" w:hAnsi="黑体" w:eastAsia="黑体" w:cs="黑体"/>
                <w:color w:val="auto"/>
                <w:sz w:val="22"/>
                <w:szCs w:val="22"/>
                <w:lang w:val="en-US" w:eastAsia="zh-CN" w:bidi="ar-SA"/>
              </w:rPr>
            </w:pPr>
            <w:r>
              <w:rPr>
                <w:rFonts w:hint="eastAsia" w:ascii="黑体" w:hAnsi="黑体" w:eastAsia="黑体" w:cs="黑体"/>
                <w:color w:val="auto"/>
                <w:sz w:val="22"/>
                <w:szCs w:val="22"/>
              </w:rPr>
              <w:t>（</w:t>
            </w:r>
            <w:r>
              <w:rPr>
                <w:rFonts w:hint="eastAsia" w:ascii="黑体" w:hAnsi="黑体" w:eastAsia="黑体" w:cs="黑体"/>
                <w:color w:val="auto"/>
                <w:sz w:val="22"/>
                <w:szCs w:val="22"/>
                <w:lang w:val="en-US" w:eastAsia="zh-CN"/>
              </w:rPr>
              <w:t>万</w:t>
            </w:r>
            <w:r>
              <w:rPr>
                <w:rFonts w:hint="eastAsia" w:ascii="黑体" w:hAnsi="黑体" w:eastAsia="黑体" w:cs="黑体"/>
                <w:color w:val="auto"/>
                <w:sz w:val="22"/>
                <w:szCs w:val="22"/>
              </w:rPr>
              <w:t>元）</w:t>
            </w:r>
          </w:p>
        </w:tc>
        <w:tc>
          <w:tcPr>
            <w:tcW w:w="1706" w:type="dxa"/>
            <w:vAlign w:val="center"/>
          </w:tcPr>
          <w:p w14:paraId="17EC6416">
            <w:pPr>
              <w:snapToGrid w:val="0"/>
              <w:jc w:val="center"/>
              <w:rPr>
                <w:rFonts w:hint="eastAsia" w:ascii="黑体" w:hAnsi="黑体" w:eastAsia="黑体" w:cs="黑体"/>
                <w:color w:val="auto"/>
                <w:sz w:val="22"/>
                <w:szCs w:val="22"/>
              </w:rPr>
            </w:pPr>
            <w:r>
              <w:rPr>
                <w:rFonts w:hint="eastAsia" w:ascii="黑体" w:hAnsi="黑体" w:eastAsia="黑体" w:cs="黑体"/>
                <w:color w:val="auto"/>
                <w:sz w:val="22"/>
                <w:szCs w:val="22"/>
              </w:rPr>
              <w:t>总价</w:t>
            </w:r>
          </w:p>
          <w:p w14:paraId="365250A2">
            <w:pPr>
              <w:snapToGrid w:val="0"/>
              <w:jc w:val="center"/>
              <w:rPr>
                <w:rFonts w:hint="eastAsia" w:ascii="黑体" w:hAnsi="黑体" w:eastAsia="黑体" w:cs="黑体"/>
                <w:color w:val="auto"/>
                <w:sz w:val="22"/>
                <w:szCs w:val="22"/>
                <w:lang w:val="en-US" w:eastAsia="zh-CN" w:bidi="ar-SA"/>
              </w:rPr>
            </w:pPr>
            <w:r>
              <w:rPr>
                <w:rFonts w:hint="eastAsia" w:ascii="黑体" w:hAnsi="黑体" w:eastAsia="黑体" w:cs="黑体"/>
                <w:color w:val="auto"/>
                <w:sz w:val="22"/>
                <w:szCs w:val="22"/>
              </w:rPr>
              <w:t>（</w:t>
            </w:r>
            <w:r>
              <w:rPr>
                <w:rFonts w:hint="eastAsia" w:ascii="黑体" w:hAnsi="黑体" w:eastAsia="黑体" w:cs="黑体"/>
                <w:color w:val="auto"/>
                <w:sz w:val="22"/>
                <w:szCs w:val="22"/>
                <w:lang w:val="en-US" w:eastAsia="zh-CN"/>
              </w:rPr>
              <w:t>万</w:t>
            </w:r>
            <w:r>
              <w:rPr>
                <w:rFonts w:hint="eastAsia" w:ascii="黑体" w:hAnsi="黑体" w:eastAsia="黑体" w:cs="黑体"/>
                <w:color w:val="auto"/>
                <w:sz w:val="22"/>
                <w:szCs w:val="22"/>
              </w:rPr>
              <w:t>元）</w:t>
            </w:r>
          </w:p>
        </w:tc>
      </w:tr>
      <w:tr w14:paraId="5A21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14:paraId="49E55FAB">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1</w:t>
            </w:r>
          </w:p>
        </w:tc>
        <w:tc>
          <w:tcPr>
            <w:tcW w:w="2400" w:type="dxa"/>
          </w:tcPr>
          <w:p w14:paraId="2D60952E">
            <w:pPr>
              <w:spacing w:line="360" w:lineRule="auto"/>
              <w:jc w:val="center"/>
              <w:rPr>
                <w:rFonts w:hint="eastAsia" w:ascii="宋体" w:hAnsi="宋体" w:cs="Times New Roman"/>
                <w:color w:val="auto"/>
                <w:sz w:val="24"/>
                <w:szCs w:val="24"/>
                <w:vertAlign w:val="baseline"/>
                <w:lang w:val="en-US" w:eastAsia="zh-CN"/>
              </w:rPr>
            </w:pPr>
            <w:r>
              <w:rPr>
                <w:rFonts w:hint="eastAsia" w:ascii="宋体" w:hAnsi="宋体" w:eastAsia="宋体" w:cs="宋体"/>
                <w:color w:val="auto"/>
                <w:sz w:val="24"/>
                <w:szCs w:val="24"/>
                <w:lang w:val="en-US" w:eastAsia="zh-CN"/>
              </w:rPr>
              <w:t>T1、T2航站楼空气质量、集中空调通风系统等检测服务</w:t>
            </w:r>
          </w:p>
        </w:tc>
        <w:tc>
          <w:tcPr>
            <w:tcW w:w="1706" w:type="dxa"/>
          </w:tcPr>
          <w:p w14:paraId="295CE1ED">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2</w:t>
            </w:r>
          </w:p>
        </w:tc>
        <w:tc>
          <w:tcPr>
            <w:tcW w:w="1706" w:type="dxa"/>
          </w:tcPr>
          <w:p w14:paraId="557D0DA1">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1.3</w:t>
            </w:r>
          </w:p>
        </w:tc>
        <w:tc>
          <w:tcPr>
            <w:tcW w:w="1706" w:type="dxa"/>
          </w:tcPr>
          <w:p w14:paraId="1B19BC5C">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2.6</w:t>
            </w:r>
          </w:p>
        </w:tc>
      </w:tr>
      <w:tr w14:paraId="70B3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14:paraId="1F3B3591">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2</w:t>
            </w:r>
          </w:p>
        </w:tc>
        <w:tc>
          <w:tcPr>
            <w:tcW w:w="2400" w:type="dxa"/>
          </w:tcPr>
          <w:p w14:paraId="1D9ED8BA">
            <w:pPr>
              <w:spacing w:line="360" w:lineRule="auto"/>
              <w:jc w:val="center"/>
              <w:rPr>
                <w:rFonts w:hint="eastAsia" w:ascii="宋体" w:hAnsi="宋体" w:cs="Times New Roman"/>
                <w:color w:val="auto"/>
                <w:sz w:val="24"/>
                <w:szCs w:val="24"/>
                <w:vertAlign w:val="baseline"/>
                <w:lang w:val="en-US" w:eastAsia="zh-CN"/>
              </w:rPr>
            </w:pPr>
            <w:r>
              <w:rPr>
                <w:rFonts w:hint="eastAsia" w:ascii="宋体" w:hAnsi="宋体" w:eastAsia="宋体" w:cs="宋体"/>
                <w:color w:val="auto"/>
                <w:sz w:val="24"/>
                <w:szCs w:val="24"/>
                <w:lang w:val="en-US" w:eastAsia="zh-CN"/>
              </w:rPr>
              <w:t>供水站水质检测服务</w:t>
            </w:r>
          </w:p>
        </w:tc>
        <w:tc>
          <w:tcPr>
            <w:tcW w:w="1706" w:type="dxa"/>
          </w:tcPr>
          <w:p w14:paraId="1D8C1328">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3</w:t>
            </w:r>
          </w:p>
        </w:tc>
        <w:tc>
          <w:tcPr>
            <w:tcW w:w="1706" w:type="dxa"/>
          </w:tcPr>
          <w:p w14:paraId="7A4A9A58">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1</w:t>
            </w:r>
          </w:p>
        </w:tc>
        <w:tc>
          <w:tcPr>
            <w:tcW w:w="1706" w:type="dxa"/>
          </w:tcPr>
          <w:p w14:paraId="15BB8A75">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3</w:t>
            </w:r>
          </w:p>
        </w:tc>
      </w:tr>
      <w:tr w14:paraId="1096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gridSpan w:val="3"/>
          </w:tcPr>
          <w:p w14:paraId="51911432">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总价</w:t>
            </w:r>
            <w:r>
              <w:rPr>
                <w:rFonts w:hint="eastAsia" w:ascii="Arial" w:hAnsi="Arial" w:cs="Arial"/>
                <w:color w:val="auto"/>
                <w:szCs w:val="21"/>
              </w:rPr>
              <w:t>（</w:t>
            </w:r>
            <w:r>
              <w:rPr>
                <w:rFonts w:hint="eastAsia" w:ascii="Arial" w:hAnsi="Arial" w:cs="Arial"/>
                <w:color w:val="auto"/>
                <w:szCs w:val="21"/>
                <w:lang w:val="en-US" w:eastAsia="zh-CN"/>
              </w:rPr>
              <w:t>万</w:t>
            </w:r>
            <w:r>
              <w:rPr>
                <w:rFonts w:hint="eastAsia" w:ascii="Arial" w:hAnsi="Arial" w:cs="Arial"/>
                <w:color w:val="auto"/>
                <w:szCs w:val="21"/>
              </w:rPr>
              <w:t>元）</w:t>
            </w:r>
          </w:p>
        </w:tc>
        <w:tc>
          <w:tcPr>
            <w:tcW w:w="3412" w:type="dxa"/>
            <w:gridSpan w:val="2"/>
            <w:vAlign w:val="top"/>
          </w:tcPr>
          <w:p w14:paraId="68539ADE">
            <w:pPr>
              <w:spacing w:line="360" w:lineRule="auto"/>
              <w:jc w:val="center"/>
              <w:rPr>
                <w:rFonts w:hint="default" w:ascii="宋体" w:hAnsi="宋体" w:cs="Times New Roman"/>
                <w:color w:val="auto"/>
                <w:sz w:val="24"/>
                <w:szCs w:val="24"/>
                <w:vertAlign w:val="baseline"/>
                <w:lang w:val="en-US" w:eastAsia="zh-CN"/>
              </w:rPr>
            </w:pPr>
            <w:r>
              <w:rPr>
                <w:rFonts w:hint="eastAsia" w:ascii="宋体" w:hAnsi="宋体" w:cs="Times New Roman"/>
                <w:color w:val="auto"/>
                <w:sz w:val="24"/>
                <w:szCs w:val="24"/>
                <w:vertAlign w:val="baseline"/>
                <w:lang w:val="en-US" w:eastAsia="zh-CN"/>
              </w:rPr>
              <w:t>5.6</w:t>
            </w:r>
          </w:p>
        </w:tc>
      </w:tr>
    </w:tbl>
    <w:p w14:paraId="50F627E3">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（注：报价不得高于预算单价及预算总价金额，高于预算金额的响应文件按照无效投标处理。）</w:t>
      </w:r>
    </w:p>
    <w:p w14:paraId="562CED74">
      <w:pPr>
        <w:spacing w:line="360" w:lineRule="auto"/>
        <w:ind w:firstLine="480" w:firstLineChars="200"/>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3.服务期：</w:t>
      </w:r>
    </w:p>
    <w:p w14:paraId="3430E4B3">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（1）供水站</w:t>
      </w:r>
      <w:r>
        <w:rPr>
          <w:rFonts w:hint="eastAsia" w:ascii="宋体" w:hAnsi="宋体" w:eastAsia="宋体" w:cs="Times New Roman"/>
          <w:color w:val="auto"/>
          <w:sz w:val="24"/>
          <w:szCs w:val="24"/>
        </w:rPr>
        <w:t>水质</w:t>
      </w:r>
      <w:r>
        <w:rPr>
          <w:rFonts w:hint="eastAsia" w:ascii="宋体" w:hAnsi="宋体" w:eastAsia="宋体" w:cs="Times New Roman"/>
          <w:color w:val="auto"/>
          <w:sz w:val="24"/>
          <w:szCs w:val="24"/>
          <w:lang w:val="en-US" w:eastAsia="zh-CN"/>
        </w:rPr>
        <w:t>检测服务期：合同签订之日至2026年12月31日；</w:t>
      </w:r>
    </w:p>
    <w:p w14:paraId="265DE317">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（2）T1、T2航站楼空气质量、集中空调通风系统等检测服务期；2025年1月1日至2026年12月31日。</w:t>
      </w:r>
    </w:p>
    <w:p w14:paraId="1DB73133">
      <w:pPr>
        <w:spacing w:line="360" w:lineRule="auto"/>
        <w:ind w:firstLine="480" w:firstLineChars="200"/>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4.交货期：</w:t>
      </w:r>
      <w:r>
        <w:rPr>
          <w:rFonts w:hint="eastAsia" w:ascii="宋体" w:hAnsi="宋体" w:eastAsia="宋体" w:cs="Times New Roman"/>
          <w:color w:val="auto"/>
          <w:sz w:val="24"/>
          <w:szCs w:val="24"/>
          <w:lang w:val="en-US" w:eastAsia="zh-CN"/>
        </w:rPr>
        <w:t>每次检测完成后1</w:t>
      </w:r>
      <w:r>
        <w:rPr>
          <w:rFonts w:hint="eastAsia" w:ascii="宋体" w:hAnsi="宋体" w:cs="Times New Roman"/>
          <w:color w:val="auto"/>
          <w:sz w:val="24"/>
          <w:szCs w:val="24"/>
          <w:lang w:val="en-US" w:eastAsia="zh-CN"/>
        </w:rPr>
        <w:t>5日历天出具检测报告。</w:t>
      </w:r>
    </w:p>
    <w:p w14:paraId="06A36D83">
      <w:pPr>
        <w:spacing w:line="360" w:lineRule="auto"/>
        <w:rPr>
          <w:rFonts w:ascii="宋体" w:hAnsi="宋体"/>
          <w:color w:val="auto"/>
          <w:sz w:val="24"/>
          <w:szCs w:val="24"/>
        </w:rPr>
      </w:pPr>
      <w:r>
        <w:rPr>
          <w:rFonts w:hint="eastAsia" w:ascii="宋体" w:hAnsi="宋体"/>
          <w:color w:val="auto"/>
          <w:sz w:val="24"/>
          <w:szCs w:val="24"/>
        </w:rPr>
        <w:t>三、投标人资格要求</w:t>
      </w:r>
    </w:p>
    <w:p w14:paraId="776FFE7D">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襄阳机场水质及T1、T2航站楼空气质量检测服务项目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二次</w:t>
      </w:r>
      <w:r>
        <w:rPr>
          <w:rFonts w:hint="eastAsia" w:ascii="宋体" w:hAnsi="宋体" w:eastAsia="宋体" w:cs="Times New Roman"/>
          <w:color w:val="auto"/>
          <w:sz w:val="24"/>
          <w:szCs w:val="24"/>
          <w:lang w:eastAsia="zh-CN"/>
        </w:rPr>
        <w:t>）</w:t>
      </w:r>
      <w:r>
        <w:rPr>
          <w:rFonts w:hint="eastAsia" w:ascii="宋体" w:hAnsi="宋体"/>
          <w:color w:val="auto"/>
          <w:sz w:val="24"/>
          <w:szCs w:val="24"/>
        </w:rPr>
        <w:t>的投标人资格能力要求：</w:t>
      </w:r>
    </w:p>
    <w:p w14:paraId="1971E469">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5E882654">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27</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w:t>
      </w:r>
      <w:r>
        <w:rPr>
          <w:rFonts w:hint="eastAsia" w:ascii="宋体" w:hAnsi="宋体"/>
          <w:color w:val="auto"/>
          <w:sz w:val="24"/>
          <w:szCs w:val="24"/>
          <w:lang w:val="en-US" w:eastAsia="zh-CN"/>
        </w:rPr>
        <w:t>服务</w:t>
      </w:r>
      <w:r>
        <w:rPr>
          <w:rFonts w:hint="eastAsia" w:ascii="宋体" w:hAnsi="宋体"/>
          <w:color w:val="auto"/>
          <w:sz w:val="24"/>
          <w:szCs w:val="24"/>
          <w:lang w:eastAsia="zh-CN"/>
        </w:rPr>
        <w:t>内容和</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79495332">
      <w:pPr>
        <w:autoSpaceDE w:val="0"/>
        <w:autoSpaceDN w:val="0"/>
        <w:adjustRightInd w:val="0"/>
        <w:spacing w:line="360" w:lineRule="auto"/>
        <w:ind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3.供应商应同时具备空气质量、集中空调通风系统检测和水质检测的检验资质（提供资质盖章版复印件）；</w:t>
      </w:r>
    </w:p>
    <w:p w14:paraId="2269C829">
      <w:pPr>
        <w:autoSpaceDE w:val="0"/>
        <w:autoSpaceDN w:val="0"/>
        <w:adjustRightInd w:val="0"/>
        <w:spacing w:line="360" w:lineRule="auto"/>
        <w:ind w:firstLine="480" w:firstLineChars="20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4.供应商应具有市场监督管理局颁发的有效的资质管理体系认证证书，资质认定包括检验检测机构计量认证（即可以出具CMA认证检测结果）【提供证书盖章版复印件】；</w:t>
      </w:r>
    </w:p>
    <w:p w14:paraId="0EF3DBD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5.</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749927D">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6.</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01F63C56">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3016414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8</w:t>
      </w:r>
      <w:r>
        <w:rPr>
          <w:rFonts w:hint="eastAsia" w:ascii="宋体" w:hAnsi="宋体"/>
          <w:color w:val="auto"/>
          <w:sz w:val="24"/>
          <w:szCs w:val="24"/>
        </w:rPr>
        <w:t>.供应商需提供增值税专用发票。</w:t>
      </w:r>
    </w:p>
    <w:p w14:paraId="70F72DEF">
      <w:pPr>
        <w:spacing w:line="360" w:lineRule="auto"/>
        <w:rPr>
          <w:rFonts w:ascii="宋体" w:hAnsi="宋体"/>
          <w:color w:val="auto"/>
          <w:sz w:val="24"/>
          <w:szCs w:val="24"/>
        </w:rPr>
      </w:pPr>
      <w:r>
        <w:rPr>
          <w:rFonts w:hint="eastAsia" w:ascii="宋体" w:hAnsi="宋体"/>
          <w:color w:val="auto"/>
          <w:sz w:val="24"/>
          <w:szCs w:val="24"/>
        </w:rPr>
        <w:t>四、招标文件的获取</w:t>
      </w:r>
    </w:p>
    <w:p w14:paraId="61B78125">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8 </w:t>
      </w:r>
      <w:r>
        <w:rPr>
          <w:rFonts w:hint="eastAsia" w:ascii="宋体" w:hAnsi="宋体"/>
          <w:color w:val="auto"/>
          <w:sz w:val="24"/>
          <w:szCs w:val="24"/>
        </w:rPr>
        <w:t>月</w:t>
      </w:r>
      <w:r>
        <w:rPr>
          <w:rFonts w:hint="eastAsia" w:ascii="宋体" w:hAnsi="宋体"/>
          <w:color w:val="auto"/>
          <w:sz w:val="24"/>
          <w:szCs w:val="24"/>
          <w:lang w:val="en-US" w:eastAsia="zh-CN"/>
        </w:rPr>
        <w:t>22</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F290885">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3678584E">
      <w:pPr>
        <w:spacing w:line="360" w:lineRule="auto"/>
        <w:rPr>
          <w:rFonts w:ascii="宋体" w:hAnsi="宋体"/>
          <w:color w:val="auto"/>
          <w:sz w:val="24"/>
          <w:szCs w:val="24"/>
        </w:rPr>
      </w:pPr>
      <w:r>
        <w:rPr>
          <w:rFonts w:hint="eastAsia" w:ascii="宋体" w:hAnsi="宋体"/>
          <w:color w:val="auto"/>
          <w:sz w:val="24"/>
          <w:szCs w:val="24"/>
        </w:rPr>
        <w:t>五、投标文件的递交</w:t>
      </w:r>
    </w:p>
    <w:p w14:paraId="02C9DA2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w:t>
      </w:r>
      <w:r>
        <w:rPr>
          <w:rFonts w:hint="eastAsia" w:ascii="宋体" w:hAnsi="宋体"/>
          <w:color w:val="auto"/>
          <w:sz w:val="24"/>
          <w:szCs w:val="24"/>
          <w:lang w:val="en-US" w:eastAsia="zh-CN"/>
        </w:rPr>
        <w:t>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26</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26BA1C95">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42CAD444">
      <w:pPr>
        <w:spacing w:line="360" w:lineRule="auto"/>
        <w:rPr>
          <w:rFonts w:ascii="宋体" w:hAnsi="宋体"/>
          <w:color w:val="auto"/>
          <w:sz w:val="24"/>
          <w:szCs w:val="24"/>
        </w:rPr>
      </w:pPr>
      <w:r>
        <w:rPr>
          <w:rFonts w:hint="eastAsia" w:ascii="宋体" w:hAnsi="宋体"/>
          <w:color w:val="auto"/>
          <w:sz w:val="24"/>
          <w:szCs w:val="24"/>
        </w:rPr>
        <w:t>六、开标时间及地点</w:t>
      </w:r>
    </w:p>
    <w:p w14:paraId="0BFEB02B">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w:t>
      </w:r>
      <w:r>
        <w:rPr>
          <w:rFonts w:hint="eastAsia" w:ascii="宋体" w:hAnsi="宋体"/>
          <w:color w:val="auto"/>
          <w:sz w:val="24"/>
          <w:szCs w:val="24"/>
          <w:lang w:val="en-US" w:eastAsia="zh-CN"/>
        </w:rPr>
        <w:t>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26</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3F4B7D2">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14:paraId="35DBB52D">
      <w:pPr>
        <w:spacing w:line="360" w:lineRule="auto"/>
        <w:rPr>
          <w:rFonts w:ascii="宋体" w:hAnsi="宋体"/>
          <w:color w:val="auto"/>
          <w:sz w:val="24"/>
          <w:szCs w:val="24"/>
        </w:rPr>
      </w:pPr>
      <w:r>
        <w:rPr>
          <w:rFonts w:hint="eastAsia" w:ascii="宋体" w:hAnsi="宋体"/>
          <w:color w:val="auto"/>
          <w:sz w:val="24"/>
          <w:szCs w:val="24"/>
        </w:rPr>
        <w:t>七、其他</w:t>
      </w:r>
    </w:p>
    <w:p w14:paraId="6208CC3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14:paraId="0096C239">
      <w:pPr>
        <w:spacing w:line="360" w:lineRule="auto"/>
        <w:rPr>
          <w:rFonts w:ascii="宋体" w:hAnsi="宋体"/>
          <w:color w:val="auto"/>
          <w:sz w:val="24"/>
          <w:szCs w:val="24"/>
        </w:rPr>
      </w:pPr>
      <w:r>
        <w:rPr>
          <w:rFonts w:hint="eastAsia" w:ascii="宋体" w:hAnsi="宋体"/>
          <w:color w:val="auto"/>
          <w:sz w:val="24"/>
          <w:szCs w:val="24"/>
        </w:rPr>
        <w:t>八、监督部门</w:t>
      </w:r>
    </w:p>
    <w:p w14:paraId="7A388121">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1CFF0246">
      <w:pPr>
        <w:spacing w:line="360" w:lineRule="auto"/>
        <w:rPr>
          <w:rFonts w:ascii="宋体" w:hAnsi="宋体"/>
          <w:color w:val="auto"/>
          <w:sz w:val="24"/>
          <w:szCs w:val="24"/>
        </w:rPr>
      </w:pPr>
      <w:r>
        <w:rPr>
          <w:rFonts w:hint="eastAsia" w:ascii="宋体" w:hAnsi="宋体"/>
          <w:color w:val="auto"/>
          <w:sz w:val="24"/>
          <w:szCs w:val="24"/>
        </w:rPr>
        <w:t>九、联系方式</w:t>
      </w:r>
    </w:p>
    <w:p w14:paraId="7751B95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1A5E383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6A03741A">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5CD96CA7">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255A3489">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469EFE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79E61575"/>
    <w:rsid w:val="29916F47"/>
    <w:rsid w:val="2B674918"/>
    <w:rsid w:val="40040409"/>
    <w:rsid w:val="6FAC2C9B"/>
    <w:rsid w:val="789A117D"/>
    <w:rsid w:val="79E6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spacing w:before="120" w:after="120"/>
      <w:jc w:val="left"/>
    </w:pPr>
    <w:rPr>
      <w:b/>
      <w:bCs/>
      <w:caps/>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1448</Characters>
  <Lines>0</Lines>
  <Paragraphs>0</Paragraphs>
  <TotalTime>6</TotalTime>
  <ScaleCrop>false</ScaleCrop>
  <LinksUpToDate>false</LinksUpToDate>
  <CharactersWithSpaces>1487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2024-08-07T08:05:00Z</dcterms:created>
  <dc:creator>葡萄</dc:creator>
  <cp:lastModifiedBy>葡萄</cp:lastModifiedBy>
  <dcterms:modified xsi:type="dcterms:W3CDTF">2024-08-19T04:28:46Z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C2ED15748D7A45E7815135A74B417D68_11</vt:lpwstr>
  </property>
</Properties>
</file>